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color w:val="auto"/>
          <w:sz w:val="28"/>
          <w:szCs w:val="36"/>
          <w:lang w:val="en-US" w:eastAsia="zh-CN"/>
        </w:rPr>
      </w:pPr>
      <w:r>
        <w:rPr>
          <w:rFonts w:hint="default" w:ascii="Times New Roman" w:hAnsi="Times New Roman" w:eastAsia="黑体" w:cs="Times New Roman"/>
          <w:color w:val="auto"/>
          <w:sz w:val="28"/>
          <w:szCs w:val="36"/>
          <w:lang w:val="en-US" w:eastAsia="zh-CN"/>
        </w:rPr>
        <w:drawing>
          <wp:inline distT="0" distB="0" distL="114300" distR="114300">
            <wp:extent cx="5473065" cy="7739380"/>
            <wp:effectExtent l="0" t="0" r="13335" b="13970"/>
            <wp:docPr id="41" name="图片 41" descr="4d606a82975361e2fb1dbac4ecc2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4d606a82975361e2fb1dbac4ecc2c21"/>
                    <pic:cNvPicPr>
                      <a:picLocks noChangeAspect="1"/>
                    </pic:cNvPicPr>
                  </pic:nvPicPr>
                  <pic:blipFill>
                    <a:blip r:embed="rId6"/>
                    <a:stretch>
                      <a:fillRect/>
                    </a:stretch>
                  </pic:blipFill>
                  <pic:spPr>
                    <a:xfrm>
                      <a:off x="0" y="0"/>
                      <a:ext cx="5473065" cy="7739380"/>
                    </a:xfrm>
                    <a:prstGeom prst="rect">
                      <a:avLst/>
                    </a:prstGeom>
                  </pic:spPr>
                </pic:pic>
              </a:graphicData>
            </a:graphic>
          </wp:inline>
        </w:drawing>
      </w:r>
    </w:p>
    <w:p>
      <w:pPr>
        <w:pStyle w:val="26"/>
        <w:rPr>
          <w:rFonts w:hint="default" w:ascii="Times New Roman" w:hAnsi="Times New Roman" w:eastAsia="黑体" w:cs="Times New Roman"/>
          <w:color w:val="auto"/>
          <w:sz w:val="28"/>
          <w:szCs w:val="36"/>
          <w:lang w:val="en-US" w:eastAsia="zh-CN"/>
        </w:rPr>
      </w:pPr>
    </w:p>
    <w:p>
      <w:pPr>
        <w:spacing w:line="360" w:lineRule="auto"/>
        <w:jc w:val="center"/>
        <w:rPr>
          <w:rFonts w:hint="default" w:ascii="Times New Roman" w:hAnsi="Times New Roman" w:eastAsia="宋体" w:cs="Times New Roman"/>
          <w:b/>
          <w:bCs/>
          <w:sz w:val="24"/>
          <w:szCs w:val="24"/>
          <w:lang w:val="en-US" w:eastAsia="zh-CN"/>
        </w:rPr>
      </w:pPr>
    </w:p>
    <w:p>
      <w:pPr>
        <w:spacing w:line="360" w:lineRule="auto"/>
        <w:jc w:val="center"/>
        <w:rPr>
          <w:rFonts w:hint="default" w:ascii="Times New Roman" w:hAnsi="Times New Roman" w:eastAsia="宋体" w:cs="Times New Roman"/>
          <w:b/>
          <w:bCs/>
          <w:sz w:val="24"/>
          <w:szCs w:val="24"/>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spacing w:line="360" w:lineRule="auto"/>
        <w:jc w:val="center"/>
        <w:rPr>
          <w:rFonts w:hint="default" w:ascii="Times New Roman" w:hAnsi="Times New Roman" w:eastAsia="宋体" w:cs="Times New Roman"/>
          <w:b/>
          <w:bCs/>
          <w:sz w:val="24"/>
          <w:szCs w:val="24"/>
          <w:lang w:val="en-US" w:eastAsia="zh-CN"/>
        </w:rPr>
      </w:pPr>
    </w:p>
    <w:p>
      <w:pPr>
        <w:spacing w:line="360" w:lineRule="auto"/>
        <w:jc w:val="center"/>
        <w:rPr>
          <w:rFonts w:hint="eastAsia"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val="en-US" w:eastAsia="zh-CN"/>
        </w:rPr>
        <w:t>河南科源电子铝箔有限公司高压电子铝箔生产技术改造项目</w:t>
      </w:r>
      <w:r>
        <w:rPr>
          <w:rFonts w:hint="default" w:ascii="Times New Roman" w:hAnsi="Times New Roman" w:eastAsia="宋体" w:cs="Times New Roman"/>
          <w:b/>
          <w:bCs/>
          <w:sz w:val="24"/>
          <w:szCs w:val="24"/>
        </w:rPr>
        <w:t>环境影响报告</w:t>
      </w:r>
      <w:r>
        <w:rPr>
          <w:rFonts w:hint="eastAsia" w:ascii="Times New Roman" w:hAnsi="Times New Roman" w:eastAsia="宋体" w:cs="Times New Roman"/>
          <w:b/>
          <w:bCs/>
          <w:sz w:val="24"/>
          <w:szCs w:val="24"/>
          <w:lang w:eastAsia="zh-CN"/>
        </w:rPr>
        <w:t>表</w:t>
      </w:r>
    </w:p>
    <w:p>
      <w:pPr>
        <w:spacing w:line="360"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修改说明</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4311"/>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184" w:hRule="atLeast"/>
        </w:trPr>
        <w:tc>
          <w:tcPr>
            <w:tcW w:w="2530" w:type="pct"/>
            <w:tcBorders>
              <w:bottom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意见</w:t>
            </w:r>
          </w:p>
        </w:tc>
        <w:tc>
          <w:tcPr>
            <w:tcW w:w="2469" w:type="pct"/>
            <w:tcBorders>
              <w:bottom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1061" w:hRule="atLeast"/>
        </w:trPr>
        <w:tc>
          <w:tcPr>
            <w:tcW w:w="2530"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default" w:ascii="Times New Roman" w:hAnsi="Times New Roman" w:cs="Times New Roman"/>
                <w:bCs/>
                <w:sz w:val="21"/>
                <w:szCs w:val="21"/>
                <w:lang w:val="en-US"/>
              </w:rPr>
            </w:pPr>
            <w:r>
              <w:rPr>
                <w:rFonts w:hint="eastAsia" w:ascii="Times New Roman" w:hAnsi="Times New Roman" w:cs="Times New Roman"/>
                <w:bCs/>
                <w:sz w:val="21"/>
                <w:szCs w:val="21"/>
                <w:lang w:val="en-US" w:eastAsia="zh-CN"/>
              </w:rPr>
              <w:t>1、更新《永城经济技术开发区发展规划（2022-2035年）及审查意见</w:t>
            </w:r>
          </w:p>
        </w:tc>
        <w:tc>
          <w:tcPr>
            <w:tcW w:w="246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eastAsia" w:ascii="Times New Roman" w:hAnsi="Times New Roman" w:eastAsia="宋体" w:cs="Times New Roman"/>
                <w:b/>
                <w:bCs/>
                <w:sz w:val="21"/>
                <w:szCs w:val="21"/>
                <w:lang w:eastAsia="zh-CN"/>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1-P8黑色划线部分。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trPr>
        <w:tc>
          <w:tcPr>
            <w:tcW w:w="2530"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default" w:ascii="Times New Roman" w:hAnsi="Times New Roman" w:cs="Times New Roman"/>
                <w:bCs/>
                <w:sz w:val="21"/>
                <w:szCs w:val="21"/>
                <w:lang w:val="en-US"/>
              </w:rPr>
            </w:pPr>
            <w:r>
              <w:rPr>
                <w:rFonts w:hint="default" w:ascii="Times New Roman" w:hAnsi="Times New Roman" w:cs="Times New Roman"/>
                <w:bCs/>
                <w:sz w:val="21"/>
                <w:szCs w:val="21"/>
                <w:lang w:val="en-US" w:eastAsia="zh-CN"/>
              </w:rPr>
              <w:t>2、</w:t>
            </w:r>
            <w:r>
              <w:rPr>
                <w:rFonts w:hint="eastAsia" w:ascii="Times New Roman" w:hAnsi="Times New Roman" w:cs="Times New Roman"/>
                <w:bCs/>
                <w:sz w:val="21"/>
                <w:szCs w:val="21"/>
                <w:lang w:val="en-US" w:eastAsia="zh-CN"/>
              </w:rPr>
              <w:t>完善环境准入清单</w:t>
            </w:r>
          </w:p>
        </w:tc>
        <w:tc>
          <w:tcPr>
            <w:tcW w:w="246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default" w:ascii="Times New Roman" w:hAnsi="Times New Roman" w:cs="Times New Roman"/>
                <w:bCs/>
                <w:sz w:val="21"/>
                <w:szCs w:val="21"/>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9-P12黑色划线部分。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trPr>
        <w:tc>
          <w:tcPr>
            <w:tcW w:w="2530"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3、</w:t>
            </w:r>
            <w:r>
              <w:rPr>
                <w:rFonts w:hint="eastAsia" w:ascii="Times New Roman" w:hAnsi="Times New Roman" w:cs="Times New Roman"/>
                <w:bCs/>
                <w:sz w:val="21"/>
                <w:szCs w:val="21"/>
                <w:lang w:val="en-US" w:eastAsia="zh-CN"/>
              </w:rPr>
              <w:t>核实细化本次技改内容</w:t>
            </w:r>
          </w:p>
        </w:tc>
        <w:tc>
          <w:tcPr>
            <w:tcW w:w="246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default" w:ascii="Times New Roman" w:hAnsi="Times New Roman" w:cs="Times New Roman"/>
                <w:bCs/>
                <w:sz w:val="21"/>
                <w:szCs w:val="21"/>
                <w:lang w:val="en-US" w:eastAsia="zh-CN"/>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18黑色划线部分。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trPr>
        <w:tc>
          <w:tcPr>
            <w:tcW w:w="25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default" w:ascii="Times New Roman" w:hAnsi="Times New Roman" w:cs="Times New Roman"/>
                <w:bCs/>
                <w:sz w:val="21"/>
                <w:szCs w:val="21"/>
                <w:lang w:val="en-US"/>
              </w:rPr>
            </w:pPr>
            <w:r>
              <w:rPr>
                <w:rFonts w:hint="default" w:ascii="Times New Roman" w:hAnsi="Times New Roman" w:cs="Times New Roman"/>
                <w:bCs/>
                <w:sz w:val="21"/>
                <w:szCs w:val="21"/>
                <w:lang w:val="en-US" w:eastAsia="zh-CN"/>
              </w:rPr>
              <w:t>4、</w:t>
            </w:r>
            <w:r>
              <w:rPr>
                <w:rFonts w:hint="eastAsia" w:ascii="Times New Roman" w:hAnsi="Times New Roman" w:cs="Times New Roman"/>
                <w:bCs/>
                <w:sz w:val="21"/>
                <w:szCs w:val="21"/>
                <w:lang w:val="en-US" w:eastAsia="zh-CN"/>
              </w:rPr>
              <w:t>补充技改前后产品、原辅料变化情况</w:t>
            </w:r>
          </w:p>
        </w:tc>
        <w:tc>
          <w:tcPr>
            <w:tcW w:w="246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default" w:ascii="Times New Roman" w:hAnsi="Times New Roman" w:cs="Times New Roman"/>
                <w:b/>
                <w:bCs/>
                <w:sz w:val="21"/>
                <w:szCs w:val="21"/>
                <w:lang w:val="en-US"/>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19、P21黑色划线部分。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trPr>
        <w:tc>
          <w:tcPr>
            <w:tcW w:w="25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5、补充技改前后生产设备变化情况</w:t>
            </w:r>
          </w:p>
        </w:tc>
        <w:tc>
          <w:tcPr>
            <w:tcW w:w="246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eastAsia" w:ascii="Times New Roman" w:hAnsi="Times New Roman" w:cs="Times New Roman"/>
                <w:b/>
                <w:bCs/>
                <w:sz w:val="21"/>
                <w:szCs w:val="21"/>
                <w:lang w:eastAsia="zh-CN"/>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20-P21黑色划线部分。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trPr>
        <w:tc>
          <w:tcPr>
            <w:tcW w:w="25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6、核实技改前后生产工艺变化情况</w:t>
            </w:r>
          </w:p>
        </w:tc>
        <w:tc>
          <w:tcPr>
            <w:tcW w:w="246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eastAsia" w:ascii="Times New Roman" w:hAnsi="Times New Roman" w:cs="Times New Roman"/>
                <w:b/>
                <w:bCs w:val="0"/>
                <w:sz w:val="21"/>
                <w:szCs w:val="21"/>
                <w:lang w:val="en-US" w:eastAsia="zh-CN"/>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24黑色划线部分。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trPr>
        <w:tc>
          <w:tcPr>
            <w:tcW w:w="25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7、细化现有项目存在的环保问题及整改要求</w:t>
            </w:r>
          </w:p>
        </w:tc>
        <w:tc>
          <w:tcPr>
            <w:tcW w:w="246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eastAsia" w:ascii="Times New Roman" w:hAnsi="Times New Roman" w:cs="Times New Roman"/>
                <w:b/>
                <w:bCs w:val="0"/>
                <w:sz w:val="21"/>
                <w:szCs w:val="21"/>
                <w:lang w:val="en-US" w:eastAsia="zh-CN"/>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31黑色划线部分。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trPr>
        <w:tc>
          <w:tcPr>
            <w:tcW w:w="25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8、核实细化大气评价范围内敏感目标</w:t>
            </w:r>
          </w:p>
        </w:tc>
        <w:tc>
          <w:tcPr>
            <w:tcW w:w="246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eastAsia" w:ascii="Times New Roman" w:hAnsi="Times New Roman" w:cs="Times New Roman"/>
                <w:b/>
                <w:bCs w:val="0"/>
                <w:sz w:val="21"/>
                <w:szCs w:val="21"/>
                <w:lang w:val="en-US" w:eastAsia="zh-CN"/>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35黑色划线部分。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trPr>
        <w:tc>
          <w:tcPr>
            <w:tcW w:w="25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9、补充技改项目三本账分析</w:t>
            </w:r>
          </w:p>
        </w:tc>
        <w:tc>
          <w:tcPr>
            <w:tcW w:w="246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default" w:ascii="Times New Roman" w:hAnsi="Times New Roman" w:cs="Times New Roman"/>
                <w:b/>
                <w:bCs w:val="0"/>
                <w:sz w:val="21"/>
                <w:szCs w:val="21"/>
                <w:lang w:val="en-US" w:eastAsia="zh-CN"/>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53黑色划线部分。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trPr>
        <w:tc>
          <w:tcPr>
            <w:tcW w:w="25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10、进一步核实建设项目污染物排放量汇总表</w:t>
            </w:r>
          </w:p>
        </w:tc>
        <w:tc>
          <w:tcPr>
            <w:tcW w:w="246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eastAsia" w:ascii="Times New Roman" w:hAnsi="Times New Roman" w:cs="Times New Roman"/>
                <w:b/>
                <w:bCs w:val="0"/>
                <w:sz w:val="21"/>
                <w:szCs w:val="21"/>
                <w:lang w:val="en-US" w:eastAsia="zh-CN"/>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57黑色划线部分。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trPr>
        <w:tc>
          <w:tcPr>
            <w:tcW w:w="25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11、补充工程师到场照片</w:t>
            </w:r>
          </w:p>
        </w:tc>
        <w:tc>
          <w:tcPr>
            <w:tcW w:w="246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line="240" w:lineRule="auto"/>
              <w:ind w:firstLine="0"/>
              <w:jc w:val="both"/>
              <w:textAlignment w:val="auto"/>
              <w:rPr>
                <w:rFonts w:hint="default" w:ascii="Times New Roman" w:hAnsi="Times New Roman" w:cs="Times New Roman"/>
                <w:b/>
                <w:bCs w:val="0"/>
                <w:sz w:val="21"/>
                <w:szCs w:val="21"/>
                <w:lang w:val="en-US" w:eastAsia="zh-CN"/>
              </w:rPr>
            </w:pPr>
            <w:r>
              <w:rPr>
                <w:rFonts w:hint="eastAsia" w:ascii="Times New Roman" w:hAnsi="Times New Roman" w:cs="Times New Roman"/>
                <w:b/>
                <w:bCs w:val="0"/>
                <w:sz w:val="21"/>
                <w:szCs w:val="21"/>
                <w:lang w:val="en-US" w:eastAsia="zh-CN"/>
              </w:rPr>
              <w:t>详见附图5</w:t>
            </w:r>
          </w:p>
        </w:tc>
      </w:tr>
    </w:tbl>
    <w:p>
      <w:pPr>
        <w:pStyle w:val="26"/>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jc w:val="center"/>
        <w:rPr>
          <w:rFonts w:hint="default" w:ascii="Times New Roman" w:hAnsi="Times New Roman" w:eastAsia="黑体" w:cs="Times New Roman"/>
          <w:color w:val="auto"/>
          <w:sz w:val="28"/>
          <w:szCs w:val="36"/>
          <w:lang w:val="en-US" w:eastAsia="zh-CN"/>
        </w:rPr>
      </w:pPr>
      <w:r>
        <w:rPr>
          <w:rFonts w:hint="default" w:ascii="Times New Roman" w:hAnsi="Times New Roman" w:eastAsia="黑体" w:cs="Times New Roman"/>
          <w:color w:val="auto"/>
          <w:sz w:val="28"/>
          <w:szCs w:val="36"/>
          <w:lang w:val="en-US" w:eastAsia="zh-CN"/>
        </w:rPr>
        <w:t>一、建设项目基本情况</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538"/>
        <w:gridCol w:w="1626"/>
        <w:gridCol w:w="1973"/>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建设项目名称</w:t>
            </w:r>
          </w:p>
        </w:tc>
        <w:tc>
          <w:tcPr>
            <w:tcW w:w="66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河南科源电子铝箔有限公司高压电子铝箔生产技术改造项目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项目代码</w:t>
            </w:r>
          </w:p>
        </w:tc>
        <w:tc>
          <w:tcPr>
            <w:tcW w:w="66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2311-411481-04-02-781087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建设单位联系人</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vertAlign w:val="baseline"/>
                <w:lang w:val="en-US" w:eastAsia="zh-CN"/>
              </w:rPr>
            </w:pP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联系方式</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建设地点</w:t>
            </w:r>
          </w:p>
        </w:tc>
        <w:tc>
          <w:tcPr>
            <w:tcW w:w="66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永城市</w:t>
            </w:r>
            <w:r>
              <w:rPr>
                <w:rFonts w:hint="eastAsia" w:ascii="Times New Roman" w:hAnsi="Times New Roman" w:cs="Times New Roman"/>
                <w:color w:val="auto"/>
                <w:sz w:val="24"/>
                <w:szCs w:val="24"/>
                <w:vertAlign w:val="baseline"/>
                <w:lang w:val="en-US" w:eastAsia="zh-CN"/>
              </w:rPr>
              <w:t>经济技术开发区科源大道南段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地理坐标</w:t>
            </w:r>
          </w:p>
        </w:tc>
        <w:tc>
          <w:tcPr>
            <w:tcW w:w="66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u w:val="single"/>
              </w:rPr>
              <w:t>116</w:t>
            </w:r>
            <w:r>
              <w:rPr>
                <w:rFonts w:hint="default" w:ascii="Times New Roman" w:hAnsi="Times New Roman" w:cs="Times New Roman"/>
                <w:color w:val="auto"/>
                <w:sz w:val="24"/>
                <w:szCs w:val="24"/>
                <w:highlight w:val="none"/>
              </w:rPr>
              <w:t>度</w:t>
            </w:r>
            <w:r>
              <w:rPr>
                <w:rFonts w:hint="default" w:ascii="Times New Roman" w:hAnsi="Times New Roman" w:cs="Times New Roman"/>
                <w:color w:val="auto"/>
                <w:sz w:val="24"/>
                <w:szCs w:val="24"/>
                <w:highlight w:val="none"/>
                <w:u w:val="single"/>
              </w:rPr>
              <w:t>32</w:t>
            </w:r>
            <w:r>
              <w:rPr>
                <w:rFonts w:hint="default" w:ascii="Times New Roman" w:hAnsi="Times New Roman" w:cs="Times New Roman"/>
                <w:color w:val="auto"/>
                <w:sz w:val="24"/>
                <w:szCs w:val="24"/>
                <w:highlight w:val="none"/>
              </w:rPr>
              <w:t>分</w:t>
            </w:r>
            <w:r>
              <w:rPr>
                <w:rFonts w:hint="default" w:ascii="Times New Roman" w:hAnsi="Times New Roman" w:cs="Times New Roman"/>
                <w:color w:val="auto"/>
                <w:sz w:val="24"/>
                <w:szCs w:val="24"/>
                <w:highlight w:val="none"/>
                <w:u w:val="single"/>
              </w:rPr>
              <w:t>17.809</w:t>
            </w:r>
            <w:r>
              <w:rPr>
                <w:rFonts w:hint="default" w:ascii="Times New Roman" w:hAnsi="Times New Roman" w:cs="Times New Roman"/>
                <w:color w:val="auto"/>
                <w:sz w:val="24"/>
                <w:szCs w:val="24"/>
                <w:highlight w:val="none"/>
              </w:rPr>
              <w:t>秒，</w:t>
            </w:r>
            <w:r>
              <w:rPr>
                <w:rFonts w:hint="default" w:ascii="Times New Roman" w:hAnsi="Times New Roman" w:cs="Times New Roman"/>
                <w:color w:val="auto"/>
                <w:sz w:val="24"/>
                <w:szCs w:val="24"/>
                <w:highlight w:val="none"/>
                <w:u w:val="single"/>
              </w:rPr>
              <w:t>33</w:t>
            </w:r>
            <w:r>
              <w:rPr>
                <w:rFonts w:hint="default" w:ascii="Times New Roman" w:hAnsi="Times New Roman" w:cs="Times New Roman"/>
                <w:color w:val="auto"/>
                <w:sz w:val="24"/>
                <w:szCs w:val="24"/>
                <w:highlight w:val="none"/>
              </w:rPr>
              <w:t>度</w:t>
            </w:r>
            <w:r>
              <w:rPr>
                <w:rFonts w:hint="default" w:ascii="Times New Roman" w:hAnsi="Times New Roman" w:cs="Times New Roman"/>
                <w:color w:val="auto"/>
                <w:sz w:val="24"/>
                <w:szCs w:val="24"/>
                <w:highlight w:val="none"/>
                <w:u w:val="single"/>
              </w:rPr>
              <w:t>53</w:t>
            </w:r>
            <w:r>
              <w:rPr>
                <w:rFonts w:hint="default" w:ascii="Times New Roman" w:hAnsi="Times New Roman" w:cs="Times New Roman"/>
                <w:color w:val="auto"/>
                <w:sz w:val="24"/>
                <w:szCs w:val="24"/>
                <w:highlight w:val="none"/>
              </w:rPr>
              <w:t>分</w:t>
            </w:r>
            <w:r>
              <w:rPr>
                <w:rFonts w:hint="default" w:ascii="Times New Roman" w:hAnsi="Times New Roman" w:cs="Times New Roman"/>
                <w:color w:val="auto"/>
                <w:sz w:val="24"/>
                <w:szCs w:val="24"/>
                <w:highlight w:val="none"/>
                <w:u w:val="single"/>
              </w:rPr>
              <w:t>54.051</w:t>
            </w:r>
            <w:r>
              <w:rPr>
                <w:rFonts w:hint="default" w:ascii="Times New Roman" w:hAnsi="Times New Roman" w:cs="Times New Roman"/>
                <w:color w:val="auto"/>
                <w:sz w:val="24"/>
                <w:szCs w:val="24"/>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国民经济行业类别</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lang w:val="en-US" w:eastAsia="zh-CN"/>
              </w:rPr>
              <w:t>C</w:t>
            </w:r>
            <w:r>
              <w:rPr>
                <w:rFonts w:hint="default" w:ascii="Times New Roman" w:hAnsi="Times New Roman" w:cs="Times New Roman"/>
                <w:color w:val="auto"/>
                <w:sz w:val="24"/>
                <w:szCs w:val="24"/>
                <w:highlight w:val="none"/>
                <w:lang w:val="en-US" w:eastAsia="zh-CN"/>
              </w:rPr>
              <w:t>3252铝压延加工</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建设项目行业类别</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二十九、有色金属冶炼和压延加工业32  65、有色金属压延加工325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建设性质</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sym w:font="Wingdings 2" w:char="00A3"/>
            </w:r>
            <w:r>
              <w:rPr>
                <w:rFonts w:hint="default" w:ascii="Times New Roman" w:hAnsi="Times New Roman" w:eastAsia="宋体" w:cs="Times New Roman"/>
                <w:color w:val="auto"/>
                <w:sz w:val="24"/>
                <w:szCs w:val="24"/>
              </w:rPr>
              <w:t>新建（迁建）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sym w:font="Wingdings 2" w:char="0052"/>
            </w:r>
            <w:r>
              <w:rPr>
                <w:rFonts w:hint="default" w:ascii="Times New Roman" w:hAnsi="Times New Roman" w:eastAsia="宋体" w:cs="Times New Roman"/>
                <w:color w:val="auto"/>
                <w:sz w:val="24"/>
                <w:szCs w:val="24"/>
              </w:rPr>
              <w:t>改建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sym w:font="Wingdings 2" w:char="00A3"/>
            </w:r>
            <w:r>
              <w:rPr>
                <w:rFonts w:hint="default" w:ascii="Times New Roman" w:hAnsi="Times New Roman" w:eastAsia="宋体" w:cs="Times New Roman"/>
                <w:color w:val="auto"/>
                <w:sz w:val="24"/>
                <w:szCs w:val="24"/>
              </w:rPr>
              <w:t>扩建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lang w:eastAsia="zh-CN"/>
              </w:rPr>
              <w:sym w:font="Wingdings 2" w:char="00A3"/>
            </w:r>
            <w:r>
              <w:rPr>
                <w:rFonts w:hint="default" w:ascii="Times New Roman" w:hAnsi="Times New Roman" w:eastAsia="宋体" w:cs="Times New Roman"/>
                <w:color w:val="auto"/>
                <w:sz w:val="24"/>
                <w:szCs w:val="24"/>
              </w:rPr>
              <w:t>技术改造</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建设项目申报情形</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首次申报项目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不予批准后再次申报项目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超五年重新审核项目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项目审批（核准/备案）部门（选填）</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rPr>
              <w:t>永城</w:t>
            </w:r>
            <w:r>
              <w:rPr>
                <w:rFonts w:hint="default" w:ascii="Times New Roman" w:hAnsi="Times New Roman" w:cs="Times New Roman"/>
                <w:color w:val="auto"/>
                <w:sz w:val="24"/>
                <w:szCs w:val="24"/>
                <w:lang w:eastAsia="zh-CN"/>
              </w:rPr>
              <w:t>经济技术开发区经济发展局</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项目审批（核准/备案）文号（选填）</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总投资（万元）</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eastAsia" w:ascii="Times New Roman" w:hAnsi="Times New Roman" w:cs="Times New Roman"/>
                <w:color w:val="auto"/>
                <w:sz w:val="24"/>
                <w:szCs w:val="24"/>
                <w:highlight w:val="none"/>
                <w:vertAlign w:val="baseline"/>
                <w:lang w:val="en-US" w:eastAsia="zh-CN"/>
              </w:rPr>
              <w:t>3000</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环保投资（万元）</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eastAsia" w:ascii="Times New Roman" w:hAnsi="Times New Roman" w:cs="Times New Roman"/>
                <w:color w:val="auto"/>
                <w:sz w:val="24"/>
                <w:szCs w:val="24"/>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环保投资占比（%）</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eastAsia" w:ascii="Times New Roman" w:hAnsi="Times New Roman" w:cs="Times New Roman"/>
                <w:color w:val="auto"/>
                <w:sz w:val="24"/>
                <w:szCs w:val="24"/>
                <w:highlight w:val="none"/>
                <w:vertAlign w:val="baseline"/>
                <w:lang w:val="en-US" w:eastAsia="zh-CN"/>
              </w:rPr>
              <w:t>1</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施工工期</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30d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是否开工建设</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sym w:font="Wingdings 2" w:char="0052"/>
            </w:r>
            <w:r>
              <w:rPr>
                <w:rFonts w:hint="default" w:ascii="Times New Roman" w:hAnsi="Times New Roman" w:eastAsia="宋体" w:cs="Times New Roman"/>
                <w:color w:val="auto"/>
                <w:sz w:val="24"/>
                <w:szCs w:val="24"/>
              </w:rPr>
              <w:t>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u w:val="single"/>
                <w:vertAlign w:val="baseline"/>
                <w:lang w:val="en-US" w:eastAsia="zh-CN"/>
              </w:rPr>
            </w:pP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是：</w:t>
            </w:r>
            <w:r>
              <w:rPr>
                <w:rFonts w:hint="default" w:ascii="Times New Roman" w:hAnsi="Times New Roman" w:cs="Times New Roman"/>
                <w:color w:val="auto"/>
                <w:sz w:val="24"/>
                <w:szCs w:val="24"/>
                <w:u w:val="single"/>
                <w:lang w:val="en-US" w:eastAsia="zh-CN"/>
              </w:rPr>
              <w:t xml:space="preserve">          </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用地（用海）面积（m</w:t>
            </w:r>
            <w:r>
              <w:rPr>
                <w:rFonts w:hint="default" w:ascii="Times New Roman" w:hAnsi="Times New Roman" w:eastAsia="宋体" w:cs="Times New Roman"/>
                <w:b/>
                <w:bCs/>
                <w:color w:val="auto"/>
                <w:sz w:val="24"/>
                <w:szCs w:val="24"/>
                <w:vertAlign w:val="superscript"/>
                <w:lang w:val="en-US" w:eastAsia="zh-CN"/>
              </w:rPr>
              <w:t>2</w:t>
            </w:r>
            <w:r>
              <w:rPr>
                <w:rFonts w:hint="default" w:ascii="Times New Roman" w:hAnsi="Times New Roman" w:eastAsia="宋体" w:cs="Times New Roman"/>
                <w:b/>
                <w:bCs/>
                <w:color w:val="auto"/>
                <w:sz w:val="24"/>
                <w:szCs w:val="24"/>
                <w:vertAlign w:val="baseline"/>
                <w:lang w:val="en-US" w:eastAsia="zh-CN"/>
              </w:rPr>
              <w:t>）</w:t>
            </w:r>
          </w:p>
        </w:tc>
        <w:tc>
          <w:tcPr>
            <w:tcW w:w="2973" w:type="dxa"/>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kern w:val="0"/>
                <w:sz w:val="24"/>
                <w:szCs w:val="24"/>
                <w:highlight w:val="none"/>
                <w:lang w:val="en-US" w:eastAsia="zh-CN"/>
              </w:rPr>
              <w:t>不新增用地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专项评价设置情况</w:t>
            </w:r>
          </w:p>
        </w:tc>
        <w:tc>
          <w:tcPr>
            <w:tcW w:w="66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b w:val="0"/>
                <w:bCs w:val="0"/>
                <w:sz w:val="24"/>
                <w:szCs w:val="24"/>
                <w:lang w:val="en-US" w:eastAsia="zh-CN"/>
              </w:rPr>
              <w:t>根据《建设项目环境影响报告表编制技术指南（污染影响类）（试行）》专项评价设置要求，因项目排放废气含有毒有害污染物（</w:t>
            </w:r>
            <w:r>
              <w:rPr>
                <w:rFonts w:hint="eastAsia" w:ascii="Times New Roman" w:hAnsi="Times New Roman" w:eastAsia="宋体" w:cs="Times New Roman"/>
                <w:b w:val="0"/>
                <w:bCs w:val="0"/>
                <w:sz w:val="24"/>
                <w:szCs w:val="24"/>
                <w:lang w:val="en-US" w:eastAsia="zh-CN"/>
              </w:rPr>
              <w:t>铅及其化合物</w:t>
            </w:r>
            <w:r>
              <w:rPr>
                <w:rFonts w:hint="default" w:ascii="Times New Roman" w:hAnsi="Times New Roman" w:eastAsia="宋体" w:cs="Times New Roman"/>
                <w:b w:val="0"/>
                <w:bCs w:val="0"/>
                <w:sz w:val="24"/>
                <w:szCs w:val="24"/>
                <w:lang w:val="en-US" w:eastAsia="zh-CN"/>
              </w:rPr>
              <w:t>），且边界外500m范围内有环境空气保护目标，故本项目需设置大气环境影响评价专项。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规划情况</w:t>
            </w:r>
          </w:p>
        </w:tc>
        <w:tc>
          <w:tcPr>
            <w:tcW w:w="6602" w:type="dxa"/>
            <w:gridSpan w:val="3"/>
            <w:noWrap w:val="0"/>
            <w:vAlign w:val="center"/>
          </w:tcPr>
          <w:p>
            <w:pPr>
              <w:autoSpaceDE w:val="0"/>
              <w:autoSpaceDN w:val="0"/>
              <w:adjustRightInd/>
              <w:snapToGrid/>
              <w:spacing w:line="360" w:lineRule="auto"/>
              <w:ind w:left="0" w:firstLine="0" w:firstLineChars="0"/>
              <w:jc w:val="left"/>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b w:val="0"/>
                <w:bCs w:val="0"/>
                <w:color w:val="auto"/>
                <w:kern w:val="0"/>
                <w:sz w:val="24"/>
                <w:lang w:eastAsia="zh-CN"/>
              </w:rPr>
              <w:t>规划名称：</w:t>
            </w:r>
            <w:r>
              <w:rPr>
                <w:rFonts w:hint="default" w:ascii="Times New Roman" w:hAnsi="Times New Roman" w:eastAsia="宋体" w:cs="Times New Roman"/>
                <w:color w:val="auto"/>
                <w:kern w:val="0"/>
                <w:sz w:val="24"/>
                <w:szCs w:val="24"/>
                <w:lang w:val="en-US" w:eastAsia="zh-CN"/>
              </w:rPr>
              <w:t>《</w:t>
            </w:r>
            <w:r>
              <w:rPr>
                <w:rFonts w:hint="eastAsia" w:ascii="Times New Roman" w:hAnsi="Times New Roman" w:cs="Times New Roman"/>
                <w:color w:val="auto"/>
                <w:kern w:val="0"/>
                <w:sz w:val="24"/>
                <w:szCs w:val="24"/>
                <w:lang w:val="en-US" w:eastAsia="zh-CN"/>
              </w:rPr>
              <w:t>永城经济技术开发区发展规划</w:t>
            </w:r>
            <w:r>
              <w:rPr>
                <w:rFonts w:hint="default" w:ascii="Times New Roman" w:hAnsi="Times New Roman" w:eastAsia="宋体" w:cs="Times New Roman"/>
                <w:color w:val="auto"/>
                <w:kern w:val="0"/>
                <w:sz w:val="24"/>
                <w:szCs w:val="24"/>
                <w:lang w:val="en-US" w:eastAsia="zh-CN"/>
              </w:rPr>
              <w:t>（20</w:t>
            </w:r>
            <w:r>
              <w:rPr>
                <w:rFonts w:hint="eastAsia" w:ascii="Times New Roman" w:hAnsi="Times New Roman" w:cs="Times New Roman"/>
                <w:color w:val="auto"/>
                <w:kern w:val="0"/>
                <w:sz w:val="24"/>
                <w:szCs w:val="24"/>
                <w:lang w:val="en-US" w:eastAsia="zh-CN"/>
              </w:rPr>
              <w:t>2</w:t>
            </w:r>
            <w:r>
              <w:rPr>
                <w:rFonts w:hint="default" w:ascii="Times New Roman" w:hAnsi="Times New Roman" w:eastAsia="宋体" w:cs="Times New Roman"/>
                <w:color w:val="auto"/>
                <w:kern w:val="0"/>
                <w:sz w:val="24"/>
                <w:szCs w:val="24"/>
                <w:lang w:val="en-US" w:eastAsia="zh-CN"/>
              </w:rPr>
              <w:t>2-20</w:t>
            </w:r>
            <w:r>
              <w:rPr>
                <w:rFonts w:hint="eastAsia" w:ascii="Times New Roman" w:hAnsi="Times New Roman" w:cs="Times New Roman"/>
                <w:color w:val="auto"/>
                <w:kern w:val="0"/>
                <w:sz w:val="24"/>
                <w:szCs w:val="24"/>
                <w:lang w:val="en-US" w:eastAsia="zh-CN"/>
              </w:rPr>
              <w:t>35</w:t>
            </w:r>
            <w:r>
              <w:rPr>
                <w:rFonts w:hint="default" w:ascii="Times New Roman" w:hAnsi="Times New Roman" w:eastAsia="宋体" w:cs="Times New Roman"/>
                <w:color w:val="auto"/>
                <w:kern w:val="0"/>
                <w:sz w:val="24"/>
                <w:szCs w:val="24"/>
                <w:lang w:val="en-US" w:eastAsia="zh-CN"/>
              </w:rPr>
              <w:t>年）》</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default" w:ascii="Times New Roman" w:hAnsi="Times New Roman" w:eastAsia="宋体" w:cs="Times New Roman"/>
                <w:color w:val="auto"/>
                <w:kern w:val="0"/>
                <w:sz w:val="24"/>
                <w:szCs w:val="24"/>
                <w:vertAlign w:val="baseline"/>
                <w:lang w:val="en-US" w:eastAsia="zh-CN"/>
              </w:rPr>
            </w:pPr>
            <w:r>
              <w:rPr>
                <w:rFonts w:hint="default" w:ascii="Times New Roman" w:hAnsi="Times New Roman" w:eastAsia="宋体" w:cs="Times New Roman"/>
                <w:b w:val="0"/>
                <w:bCs w:val="0"/>
                <w:color w:val="auto"/>
                <w:kern w:val="0"/>
                <w:sz w:val="24"/>
                <w:lang w:eastAsia="zh-CN"/>
              </w:rPr>
              <w:t>规划审批机关：</w:t>
            </w:r>
            <w:r>
              <w:rPr>
                <w:rFonts w:hint="default" w:ascii="Times New Roman" w:hAnsi="Times New Roman" w:eastAsia="宋体" w:cs="Times New Roman"/>
                <w:color w:val="auto"/>
                <w:kern w:val="0"/>
                <w:sz w:val="24"/>
                <w:szCs w:val="24"/>
                <w:lang w:val="en-US" w:eastAsia="zh-CN"/>
              </w:rPr>
              <w:t>河南省发展和改革委员会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1920" w:type="dxa"/>
            <w:gridSpan w:val="2"/>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u w:val="single"/>
                <w:vertAlign w:val="baseline"/>
                <w:lang w:val="en-US" w:eastAsia="zh-CN"/>
              </w:rPr>
            </w:pPr>
            <w:r>
              <w:rPr>
                <w:rFonts w:hint="default" w:ascii="Times New Roman" w:hAnsi="Times New Roman" w:eastAsia="宋体" w:cs="Times New Roman"/>
                <w:b/>
                <w:bCs/>
                <w:color w:val="auto"/>
                <w:sz w:val="24"/>
                <w:szCs w:val="24"/>
                <w:u w:val="single"/>
                <w:vertAlign w:val="baseline"/>
                <w:lang w:val="en-US" w:eastAsia="zh-CN"/>
              </w:rPr>
              <w:t>规划环境影响评价情况</w:t>
            </w:r>
          </w:p>
        </w:tc>
        <w:tc>
          <w:tcPr>
            <w:tcW w:w="6602" w:type="dxa"/>
            <w:gridSpan w:val="3"/>
            <w:tcBorders>
              <w:bottom w:val="single" w:color="000000" w:sz="4" w:space="0"/>
            </w:tcBorders>
            <w:noWrap w:val="0"/>
            <w:vAlign w:val="center"/>
          </w:tcPr>
          <w:p>
            <w:pPr>
              <w:autoSpaceDE w:val="0"/>
              <w:autoSpaceDN w:val="0"/>
              <w:spacing w:line="360" w:lineRule="auto"/>
              <w:ind w:firstLine="0" w:firstLineChars="0"/>
              <w:jc w:val="left"/>
              <w:rPr>
                <w:rFonts w:hint="default" w:ascii="Times New Roman" w:hAnsi="Times New Roman" w:eastAsia="宋体" w:cs="Times New Roman"/>
                <w:b/>
                <w:bCs/>
                <w:color w:val="auto"/>
                <w:kern w:val="0"/>
                <w:sz w:val="24"/>
                <w:szCs w:val="24"/>
                <w:u w:val="single"/>
                <w:lang w:val="en-US" w:eastAsia="zh-CN"/>
              </w:rPr>
            </w:pPr>
            <w:r>
              <w:rPr>
                <w:rFonts w:hint="default" w:ascii="Times New Roman" w:hAnsi="Times New Roman" w:eastAsia="宋体" w:cs="Times New Roman"/>
                <w:b/>
                <w:bCs/>
                <w:color w:val="auto"/>
                <w:kern w:val="0"/>
                <w:sz w:val="24"/>
                <w:u w:val="single"/>
                <w:lang w:eastAsia="zh-CN"/>
              </w:rPr>
              <w:t>规划环境影响评价文件名称：</w:t>
            </w:r>
            <w:r>
              <w:rPr>
                <w:rFonts w:hint="default" w:ascii="Times New Roman" w:hAnsi="Times New Roman" w:eastAsia="宋体" w:cs="Times New Roman"/>
                <w:b/>
                <w:bCs/>
                <w:color w:val="auto"/>
                <w:kern w:val="0"/>
                <w:sz w:val="24"/>
                <w:szCs w:val="24"/>
                <w:u w:val="single"/>
                <w:lang w:val="en-US" w:eastAsia="zh-CN"/>
              </w:rPr>
              <w:t>《</w:t>
            </w:r>
            <w:r>
              <w:rPr>
                <w:rFonts w:hint="eastAsia" w:ascii="Times New Roman" w:hAnsi="Times New Roman" w:cs="Times New Roman"/>
                <w:b/>
                <w:bCs/>
                <w:color w:val="auto"/>
                <w:kern w:val="0"/>
                <w:sz w:val="24"/>
                <w:szCs w:val="24"/>
                <w:u w:val="single"/>
                <w:lang w:val="en-US" w:eastAsia="zh-CN"/>
              </w:rPr>
              <w:t>永城经济技术开发区发展规划</w:t>
            </w:r>
            <w:r>
              <w:rPr>
                <w:rFonts w:hint="default" w:ascii="Times New Roman" w:hAnsi="Times New Roman" w:eastAsia="宋体" w:cs="Times New Roman"/>
                <w:b/>
                <w:bCs/>
                <w:color w:val="auto"/>
                <w:kern w:val="0"/>
                <w:sz w:val="24"/>
                <w:szCs w:val="24"/>
                <w:u w:val="single"/>
                <w:lang w:val="en-US" w:eastAsia="zh-CN"/>
              </w:rPr>
              <w:t>（20</w:t>
            </w:r>
            <w:r>
              <w:rPr>
                <w:rFonts w:hint="eastAsia" w:ascii="Times New Roman" w:hAnsi="Times New Roman" w:cs="Times New Roman"/>
                <w:b/>
                <w:bCs/>
                <w:color w:val="auto"/>
                <w:kern w:val="0"/>
                <w:sz w:val="24"/>
                <w:szCs w:val="24"/>
                <w:u w:val="single"/>
                <w:lang w:val="en-US" w:eastAsia="zh-CN"/>
              </w:rPr>
              <w:t>2</w:t>
            </w:r>
            <w:r>
              <w:rPr>
                <w:rFonts w:hint="default" w:ascii="Times New Roman" w:hAnsi="Times New Roman" w:eastAsia="宋体" w:cs="Times New Roman"/>
                <w:b/>
                <w:bCs/>
                <w:color w:val="auto"/>
                <w:kern w:val="0"/>
                <w:sz w:val="24"/>
                <w:szCs w:val="24"/>
                <w:u w:val="single"/>
                <w:lang w:val="en-US" w:eastAsia="zh-CN"/>
              </w:rPr>
              <w:t>2-20</w:t>
            </w:r>
            <w:r>
              <w:rPr>
                <w:rFonts w:hint="eastAsia" w:ascii="Times New Roman" w:hAnsi="Times New Roman" w:cs="Times New Roman"/>
                <w:b/>
                <w:bCs/>
                <w:color w:val="auto"/>
                <w:kern w:val="0"/>
                <w:sz w:val="24"/>
                <w:szCs w:val="24"/>
                <w:u w:val="single"/>
                <w:lang w:val="en-US" w:eastAsia="zh-CN"/>
              </w:rPr>
              <w:t>35</w:t>
            </w:r>
            <w:r>
              <w:rPr>
                <w:rFonts w:hint="default" w:ascii="Times New Roman" w:hAnsi="Times New Roman" w:eastAsia="宋体" w:cs="Times New Roman"/>
                <w:b/>
                <w:bCs/>
                <w:color w:val="auto"/>
                <w:kern w:val="0"/>
                <w:sz w:val="24"/>
                <w:szCs w:val="24"/>
                <w:u w:val="single"/>
                <w:lang w:val="en-US" w:eastAsia="zh-CN"/>
              </w:rPr>
              <w:t>年）</w:t>
            </w:r>
            <w:r>
              <w:rPr>
                <w:rFonts w:hint="eastAsia" w:ascii="Times New Roman" w:hAnsi="Times New Roman" w:cs="Times New Roman"/>
                <w:b/>
                <w:bCs/>
                <w:color w:val="auto"/>
                <w:kern w:val="0"/>
                <w:sz w:val="24"/>
                <w:szCs w:val="24"/>
                <w:u w:val="single"/>
                <w:lang w:val="en-US" w:eastAsia="zh-CN"/>
              </w:rPr>
              <w:t>环境影响报告书</w:t>
            </w:r>
            <w:r>
              <w:rPr>
                <w:rFonts w:hint="default" w:ascii="Times New Roman" w:hAnsi="Times New Roman" w:eastAsia="宋体" w:cs="Times New Roman"/>
                <w:b/>
                <w:bCs/>
                <w:color w:val="auto"/>
                <w:kern w:val="0"/>
                <w:sz w:val="24"/>
                <w:szCs w:val="24"/>
                <w:u w:val="single"/>
                <w:lang w:val="en-US" w:eastAsia="zh-CN"/>
              </w:rPr>
              <w:t>》</w:t>
            </w:r>
          </w:p>
          <w:p>
            <w:pPr>
              <w:autoSpaceDE w:val="0"/>
              <w:autoSpaceDN w:val="0"/>
              <w:spacing w:line="360" w:lineRule="auto"/>
              <w:ind w:firstLine="0" w:firstLineChars="0"/>
              <w:jc w:val="left"/>
              <w:rPr>
                <w:rFonts w:hint="default" w:ascii="Times New Roman" w:hAnsi="Times New Roman" w:eastAsia="宋体" w:cs="Times New Roman"/>
                <w:b/>
                <w:bCs/>
                <w:color w:val="auto"/>
                <w:kern w:val="0"/>
                <w:sz w:val="24"/>
                <w:u w:val="single"/>
                <w:lang w:val="en-US" w:eastAsia="zh-CN"/>
              </w:rPr>
            </w:pPr>
            <w:r>
              <w:rPr>
                <w:rFonts w:hint="default" w:ascii="Times New Roman" w:hAnsi="Times New Roman" w:eastAsia="宋体" w:cs="Times New Roman"/>
                <w:b/>
                <w:bCs/>
                <w:color w:val="auto"/>
                <w:kern w:val="0"/>
                <w:sz w:val="24"/>
                <w:u w:val="single"/>
                <w:lang w:val="en-US" w:eastAsia="zh-CN"/>
              </w:rPr>
              <w:t>审查机关：</w:t>
            </w:r>
            <w:r>
              <w:rPr>
                <w:rFonts w:hint="default" w:ascii="Times New Roman" w:hAnsi="Times New Roman" w:eastAsia="宋体" w:cs="Times New Roman"/>
                <w:b/>
                <w:bCs/>
                <w:color w:val="auto"/>
                <w:kern w:val="0"/>
                <w:sz w:val="24"/>
                <w:szCs w:val="24"/>
                <w:u w:val="single"/>
                <w:lang w:val="en-US" w:eastAsia="zh-CN"/>
              </w:rPr>
              <w:t>河南省生态环境厅</w:t>
            </w:r>
          </w:p>
          <w:p>
            <w:pPr>
              <w:autoSpaceDE w:val="0"/>
              <w:autoSpaceDN w:val="0"/>
              <w:spacing w:line="360" w:lineRule="auto"/>
              <w:ind w:firstLine="0" w:firstLineChars="0"/>
              <w:jc w:val="left"/>
              <w:rPr>
                <w:rFonts w:hint="default" w:ascii="Times New Roman" w:hAnsi="Times New Roman" w:eastAsia="宋体" w:cs="Times New Roman"/>
                <w:b/>
                <w:bCs/>
                <w:color w:val="auto"/>
                <w:kern w:val="0"/>
                <w:sz w:val="24"/>
                <w:szCs w:val="24"/>
                <w:u w:val="single"/>
                <w:vertAlign w:val="baseline"/>
                <w:lang w:val="en-US" w:eastAsia="zh-CN"/>
              </w:rPr>
            </w:pPr>
            <w:r>
              <w:rPr>
                <w:rFonts w:hint="default" w:ascii="Times New Roman" w:hAnsi="Times New Roman" w:eastAsia="宋体" w:cs="Times New Roman"/>
                <w:b/>
                <w:bCs/>
                <w:color w:val="auto"/>
                <w:kern w:val="0"/>
                <w:sz w:val="24"/>
                <w:u w:val="single"/>
                <w:lang w:val="en-US" w:eastAsia="zh-CN"/>
              </w:rPr>
              <w:t>审查文件及文号：</w:t>
            </w:r>
            <w:r>
              <w:rPr>
                <w:rFonts w:hint="default" w:ascii="Times New Roman" w:hAnsi="Times New Roman" w:eastAsia="宋体" w:cs="Times New Roman"/>
                <w:b/>
                <w:bCs/>
                <w:color w:val="auto"/>
                <w:kern w:val="0"/>
                <w:sz w:val="24"/>
                <w:szCs w:val="24"/>
                <w:u w:val="single"/>
                <w:lang w:val="en-US" w:eastAsia="zh-CN"/>
              </w:rPr>
              <w:t>《关于永城市产业集聚区发展规划调整方案（20</w:t>
            </w:r>
            <w:r>
              <w:rPr>
                <w:rFonts w:hint="eastAsia" w:ascii="Times New Roman" w:hAnsi="Times New Roman" w:cs="Times New Roman"/>
                <w:b/>
                <w:bCs/>
                <w:color w:val="auto"/>
                <w:kern w:val="0"/>
                <w:sz w:val="24"/>
                <w:szCs w:val="24"/>
                <w:u w:val="single"/>
                <w:lang w:val="en-US" w:eastAsia="zh-CN"/>
              </w:rPr>
              <w:t>2</w:t>
            </w:r>
            <w:r>
              <w:rPr>
                <w:rFonts w:hint="default" w:ascii="Times New Roman" w:hAnsi="Times New Roman" w:eastAsia="宋体" w:cs="Times New Roman"/>
                <w:b/>
                <w:bCs/>
                <w:color w:val="auto"/>
                <w:kern w:val="0"/>
                <w:sz w:val="24"/>
                <w:szCs w:val="24"/>
                <w:u w:val="single"/>
                <w:lang w:val="en-US" w:eastAsia="zh-CN"/>
              </w:rPr>
              <w:t>2-20</w:t>
            </w:r>
            <w:r>
              <w:rPr>
                <w:rFonts w:hint="eastAsia" w:ascii="Times New Roman" w:hAnsi="Times New Roman" w:cs="Times New Roman"/>
                <w:b/>
                <w:bCs/>
                <w:color w:val="auto"/>
                <w:kern w:val="0"/>
                <w:sz w:val="24"/>
                <w:szCs w:val="24"/>
                <w:u w:val="single"/>
                <w:lang w:val="en-US" w:eastAsia="zh-CN"/>
              </w:rPr>
              <w:t>35</w:t>
            </w:r>
            <w:r>
              <w:rPr>
                <w:rFonts w:hint="default" w:ascii="Times New Roman" w:hAnsi="Times New Roman" w:eastAsia="宋体" w:cs="Times New Roman"/>
                <w:b/>
                <w:bCs/>
                <w:color w:val="auto"/>
                <w:kern w:val="0"/>
                <w:sz w:val="24"/>
                <w:szCs w:val="24"/>
                <w:u w:val="single"/>
                <w:lang w:val="en-US" w:eastAsia="zh-CN"/>
              </w:rPr>
              <w:t>）环境影响报告书审查意见》（文号：豫环函〔20</w:t>
            </w:r>
            <w:r>
              <w:rPr>
                <w:rFonts w:hint="eastAsia" w:ascii="Times New Roman" w:hAnsi="Times New Roman" w:cs="Times New Roman"/>
                <w:b/>
                <w:bCs/>
                <w:color w:val="auto"/>
                <w:kern w:val="0"/>
                <w:sz w:val="24"/>
                <w:szCs w:val="24"/>
                <w:u w:val="single"/>
                <w:lang w:val="en-US" w:eastAsia="zh-CN"/>
              </w:rPr>
              <w:t>24</w:t>
            </w:r>
            <w:r>
              <w:rPr>
                <w:rFonts w:hint="default" w:ascii="Times New Roman" w:hAnsi="Times New Roman" w:eastAsia="宋体" w:cs="Times New Roman"/>
                <w:b/>
                <w:bCs/>
                <w:color w:val="auto"/>
                <w:kern w:val="0"/>
                <w:sz w:val="24"/>
                <w:szCs w:val="24"/>
                <w:u w:val="single"/>
                <w:lang w:val="en-US" w:eastAsia="zh-CN"/>
              </w:rPr>
              <w:t>〕</w:t>
            </w:r>
            <w:r>
              <w:rPr>
                <w:rFonts w:hint="eastAsia" w:ascii="Times New Roman" w:hAnsi="Times New Roman" w:cs="Times New Roman"/>
                <w:b/>
                <w:bCs/>
                <w:color w:val="auto"/>
                <w:kern w:val="0"/>
                <w:sz w:val="24"/>
                <w:szCs w:val="24"/>
                <w:u w:val="single"/>
                <w:lang w:val="en-US" w:eastAsia="zh-CN"/>
              </w:rPr>
              <w:t>16</w:t>
            </w:r>
            <w:r>
              <w:rPr>
                <w:rFonts w:hint="default" w:ascii="Times New Roman" w:hAnsi="Times New Roman" w:eastAsia="宋体" w:cs="Times New Roman"/>
                <w:b/>
                <w:bCs/>
                <w:color w:val="auto"/>
                <w:kern w:val="0"/>
                <w:sz w:val="24"/>
                <w:szCs w:val="24"/>
                <w:u w:val="single"/>
                <w:lang w:val="en-US"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规划及规划环境影响评价符合性分析</w:t>
            </w:r>
          </w:p>
        </w:tc>
        <w:tc>
          <w:tcPr>
            <w:tcW w:w="816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与永城经济技术开发区发展规划(2022-2035)环境影响报告书》主要内容相符性分析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left"/>
              <w:textAlignment w:val="auto"/>
              <w:rPr>
                <w:rFonts w:hint="eastAsia" w:ascii="Times New Roman" w:hAnsi="Times New Roman" w:cs="Times New Roman"/>
                <w:b/>
                <w:bCs/>
                <w:color w:val="auto"/>
                <w:sz w:val="24"/>
                <w:u w:val="single"/>
                <w:lang w:eastAsia="zh-CN"/>
              </w:rPr>
            </w:pPr>
            <w:r>
              <w:rPr>
                <w:rFonts w:hint="default" w:ascii="Times New Roman" w:hAnsi="Times New Roman" w:cs="Times New Roman"/>
                <w:b/>
                <w:bCs/>
                <w:color w:val="auto"/>
                <w:sz w:val="24"/>
                <w:u w:val="single"/>
              </w:rPr>
              <w:t>永城经济技术开发区发展规划(2022-2035)</w:t>
            </w:r>
            <w:r>
              <w:rPr>
                <w:rFonts w:hint="eastAsia" w:ascii="Times New Roman" w:hAnsi="Times New Roman" w:cs="Times New Roman"/>
                <w:b/>
                <w:bCs/>
                <w:color w:val="auto"/>
                <w:sz w:val="24"/>
                <w:u w:val="single"/>
                <w:lang w:eastAsia="zh-CN"/>
              </w:rPr>
              <w:t>环评已于20</w:t>
            </w:r>
            <w:r>
              <w:rPr>
                <w:rFonts w:hint="eastAsia" w:ascii="Times New Roman" w:hAnsi="Times New Roman" w:cs="Times New Roman"/>
                <w:b/>
                <w:bCs/>
                <w:color w:val="auto"/>
                <w:sz w:val="24"/>
                <w:u w:val="single"/>
                <w:lang w:val="en-US" w:eastAsia="zh-CN"/>
              </w:rPr>
              <w:t>24</w:t>
            </w:r>
            <w:r>
              <w:rPr>
                <w:rFonts w:hint="eastAsia" w:ascii="Times New Roman" w:hAnsi="Times New Roman" w:cs="Times New Roman"/>
                <w:b/>
                <w:bCs/>
                <w:color w:val="auto"/>
                <w:sz w:val="24"/>
                <w:u w:val="single"/>
                <w:lang w:eastAsia="zh-CN"/>
              </w:rPr>
              <w:t>年</w:t>
            </w:r>
            <w:r>
              <w:rPr>
                <w:rFonts w:hint="eastAsia" w:ascii="Times New Roman" w:hAnsi="Times New Roman" w:cs="Times New Roman"/>
                <w:b/>
                <w:bCs/>
                <w:color w:val="auto"/>
                <w:sz w:val="24"/>
                <w:u w:val="single"/>
                <w:lang w:val="en-US" w:eastAsia="zh-CN"/>
              </w:rPr>
              <w:t>2</w:t>
            </w:r>
            <w:r>
              <w:rPr>
                <w:rFonts w:hint="eastAsia" w:ascii="Times New Roman" w:hAnsi="Times New Roman" w:cs="Times New Roman"/>
                <w:b/>
                <w:bCs/>
                <w:color w:val="auto"/>
                <w:sz w:val="24"/>
                <w:u w:val="single"/>
                <w:lang w:eastAsia="zh-CN"/>
              </w:rPr>
              <w:t>有</w:t>
            </w:r>
            <w:r>
              <w:rPr>
                <w:rFonts w:hint="eastAsia" w:ascii="Times New Roman" w:hAnsi="Times New Roman" w:cs="Times New Roman"/>
                <w:b/>
                <w:bCs/>
                <w:color w:val="auto"/>
                <w:sz w:val="24"/>
                <w:u w:val="single"/>
                <w:lang w:val="en-US" w:eastAsia="zh-CN"/>
              </w:rPr>
              <w:t>18</w:t>
            </w:r>
            <w:r>
              <w:rPr>
                <w:rFonts w:hint="eastAsia" w:ascii="Times New Roman" w:hAnsi="Times New Roman" w:cs="Times New Roman"/>
                <w:b/>
                <w:bCs/>
                <w:color w:val="auto"/>
                <w:sz w:val="24"/>
                <w:u w:val="single"/>
                <w:lang w:eastAsia="zh-CN"/>
              </w:rPr>
              <w:t>日由河南省</w:t>
            </w:r>
            <w:r>
              <w:rPr>
                <w:rFonts w:hint="eastAsia" w:ascii="Times New Roman" w:hAnsi="Times New Roman" w:cs="Times New Roman"/>
                <w:b/>
                <w:bCs/>
                <w:color w:val="auto"/>
                <w:sz w:val="24"/>
                <w:u w:val="single"/>
                <w:lang w:val="en-US" w:eastAsia="zh-CN"/>
              </w:rPr>
              <w:t>生态环境厅</w:t>
            </w:r>
            <w:r>
              <w:rPr>
                <w:rFonts w:hint="eastAsia" w:ascii="Times New Roman" w:hAnsi="Times New Roman" w:cs="Times New Roman"/>
                <w:b/>
                <w:bCs/>
                <w:color w:val="auto"/>
                <w:sz w:val="24"/>
                <w:u w:val="single"/>
                <w:lang w:eastAsia="zh-CN"/>
              </w:rPr>
              <w:t>以豫环</w:t>
            </w:r>
            <w:r>
              <w:rPr>
                <w:rFonts w:hint="eastAsia" w:ascii="Times New Roman" w:hAnsi="Times New Roman" w:cs="Times New Roman"/>
                <w:b/>
                <w:bCs/>
                <w:color w:val="auto"/>
                <w:sz w:val="24"/>
                <w:u w:val="single"/>
                <w:lang w:val="en-US" w:eastAsia="zh-CN"/>
              </w:rPr>
              <w:t>函</w:t>
            </w:r>
            <w:r>
              <w:rPr>
                <w:rFonts w:hint="eastAsia" w:ascii="Times New Roman" w:hAnsi="Times New Roman" w:cs="Times New Roman"/>
                <w:b/>
                <w:bCs/>
                <w:color w:val="auto"/>
                <w:sz w:val="24"/>
                <w:u w:val="single"/>
                <w:lang w:eastAsia="zh-CN"/>
              </w:rPr>
              <w:t>〔20</w:t>
            </w:r>
            <w:r>
              <w:rPr>
                <w:rFonts w:hint="eastAsia" w:ascii="Times New Roman" w:hAnsi="Times New Roman" w:cs="Times New Roman"/>
                <w:b/>
                <w:bCs/>
                <w:color w:val="auto"/>
                <w:sz w:val="24"/>
                <w:u w:val="single"/>
                <w:lang w:val="en-US" w:eastAsia="zh-CN"/>
              </w:rPr>
              <w:t>24</w:t>
            </w:r>
            <w:r>
              <w:rPr>
                <w:rFonts w:hint="eastAsia" w:ascii="Times New Roman" w:hAnsi="Times New Roman" w:cs="Times New Roman"/>
                <w:b/>
                <w:bCs/>
                <w:color w:val="auto"/>
                <w:sz w:val="24"/>
                <w:u w:val="single"/>
                <w:lang w:eastAsia="zh-CN"/>
              </w:rPr>
              <w:t>〕</w:t>
            </w:r>
            <w:r>
              <w:rPr>
                <w:rFonts w:hint="eastAsia" w:ascii="Times New Roman" w:hAnsi="Times New Roman" w:cs="Times New Roman"/>
                <w:b/>
                <w:bCs/>
                <w:color w:val="auto"/>
                <w:sz w:val="24"/>
                <w:u w:val="single"/>
                <w:lang w:val="en-US" w:eastAsia="zh-CN"/>
              </w:rPr>
              <w:t>16</w:t>
            </w:r>
            <w:r>
              <w:rPr>
                <w:rFonts w:hint="eastAsia" w:ascii="Times New Roman" w:hAnsi="Times New Roman" w:cs="Times New Roman"/>
                <w:b/>
                <w:bCs/>
                <w:color w:val="auto"/>
                <w:sz w:val="24"/>
                <w:u w:val="single"/>
                <w:lang w:eastAsia="zh-CN"/>
              </w:rPr>
              <w:t>号文件予以审查通过。永城经济技术开发区包括南片区、东片区、钢厂片区和中央商务区四个片区，其中南片区(片区1)规划(围合)范围四至 边界为东至德上高速西侧，北至永城市月季苑和百花小区南侧，西至裕东热电厂西边界，南至G343南侧1000米。东片区(片区2)规划(围合)范围四至边界为东至神火工业园东边界、北至小运河、西至科源大道、南至河南中录科技有限公司南侧村道。中央商务片区(片区3)规划(围合)范围四至边界为东至中原路，北至淮海大道、西至雪枫路，南至商业路。钢厂片区(片区4)规划(围合)范围四至边界为东至规划永芒轻轨，北至福州路北侧，西至S201,南至陈四楼运煤铁路北侧。规划建设用地面积2018.62公顷。规划主导产业由化工、装备制造、食品加工、新型铝材料调整为化工、装备制造、食品加工、先进金属材料。</w:t>
            </w:r>
          </w:p>
          <w:p>
            <w:pPr>
              <w:pStyle w:val="2"/>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Times New Roman" w:hAnsi="Times New Roman" w:eastAsia="宋体" w:cs="Times New Roman"/>
                <w:b/>
                <w:bCs/>
                <w:color w:val="auto"/>
                <w:kern w:val="2"/>
                <w:sz w:val="24"/>
                <w:szCs w:val="24"/>
                <w:u w:val="single"/>
                <w:lang w:val="en-US" w:eastAsia="zh-CN" w:bidi="ar-SA"/>
              </w:rPr>
            </w:pPr>
            <w:r>
              <w:rPr>
                <w:rFonts w:hint="default" w:ascii="Times New Roman" w:hAnsi="Times New Roman" w:eastAsia="宋体" w:cs="Times New Roman"/>
                <w:b/>
                <w:bCs/>
                <w:color w:val="auto"/>
                <w:kern w:val="2"/>
                <w:sz w:val="24"/>
                <w:szCs w:val="24"/>
                <w:u w:val="single"/>
                <w:lang w:val="en-US" w:eastAsia="zh-CN" w:bidi="ar-SA"/>
              </w:rPr>
              <w:t>本次评价以永城经济技术开发区发展规划（2022-2035）确定的产业准入要求为基础，结合规划调整建议，形成永城经济技术开发区发展规划（2022-2035）产业准入要求</w:t>
            </w:r>
            <w:r>
              <w:rPr>
                <w:rFonts w:hint="eastAsia" w:ascii="Times New Roman" w:hAnsi="Times New Roman" w:cs="Times New Roman"/>
                <w:b/>
                <w:bCs/>
                <w:color w:val="auto"/>
                <w:kern w:val="2"/>
                <w:sz w:val="24"/>
                <w:szCs w:val="24"/>
                <w:u w:val="single"/>
                <w:lang w:val="en-US" w:eastAsia="zh-CN" w:bidi="ar-SA"/>
              </w:rPr>
              <w:t>，具体见下表</w:t>
            </w:r>
            <w:r>
              <w:rPr>
                <w:rFonts w:hint="default" w:ascii="Times New Roman" w:hAnsi="Times New Roman" w:eastAsia="宋体" w:cs="Times New Roman"/>
                <w:b/>
                <w:bCs/>
                <w:color w:val="auto"/>
                <w:kern w:val="2"/>
                <w:sz w:val="24"/>
                <w:szCs w:val="24"/>
                <w:u w:val="single"/>
                <w:lang w:val="en-US" w:eastAsia="zh-CN" w:bidi="ar-SA"/>
              </w:rPr>
              <w:t>。</w:t>
            </w:r>
          </w:p>
          <w:p>
            <w:pPr>
              <w:pStyle w:val="2"/>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color w:val="auto"/>
                <w:sz w:val="24"/>
                <w:u w:val="single"/>
                <w:lang w:val="en-US" w:eastAsia="zh-CN"/>
              </w:rPr>
            </w:pPr>
            <w:r>
              <w:rPr>
                <w:rFonts w:hint="default" w:ascii="Times New Roman" w:hAnsi="Times New Roman" w:cs="Times New Roman"/>
                <w:b/>
                <w:bCs/>
                <w:color w:val="auto"/>
                <w:sz w:val="24"/>
                <w:u w:val="single"/>
                <w:lang w:val="en-US" w:eastAsia="zh-CN"/>
              </w:rPr>
              <w:t xml:space="preserve">  永城经济技术开发区</w:t>
            </w:r>
            <w:r>
              <w:rPr>
                <w:rFonts w:hint="eastAsia" w:ascii="Times New Roman" w:hAnsi="Times New Roman" w:cs="Times New Roman"/>
                <w:b/>
                <w:bCs/>
                <w:color w:val="auto"/>
                <w:sz w:val="24"/>
                <w:u w:val="single"/>
                <w:lang w:val="en-US" w:eastAsia="zh-CN"/>
              </w:rPr>
              <w:t>产业</w:t>
            </w:r>
            <w:r>
              <w:rPr>
                <w:rFonts w:hint="default" w:ascii="Times New Roman" w:hAnsi="Times New Roman" w:cs="Times New Roman"/>
                <w:b/>
                <w:bCs/>
                <w:color w:val="auto"/>
                <w:sz w:val="24"/>
                <w:u w:val="single"/>
                <w:lang w:val="en-US" w:eastAsia="zh-CN"/>
              </w:rPr>
              <w:t>准入条件</w:t>
            </w:r>
          </w:p>
          <w:tbl>
            <w:tblPr>
              <w:tblStyle w:val="27"/>
              <w:tblW w:w="50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
              <w:gridCol w:w="266"/>
              <w:gridCol w:w="231"/>
              <w:gridCol w:w="5028"/>
              <w:gridCol w:w="1574"/>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u w:val="single"/>
                      <w:lang w:eastAsia="zh-CN"/>
                    </w:rPr>
                  </w:pPr>
                  <w:r>
                    <w:rPr>
                      <w:rFonts w:hint="default" w:ascii="Times New Roman" w:hAnsi="Times New Roman" w:cs="Times New Roman"/>
                      <w:b/>
                      <w:bCs/>
                      <w:color w:val="auto"/>
                      <w:sz w:val="21"/>
                      <w:szCs w:val="21"/>
                      <w:highlight w:val="none"/>
                      <w:u w:val="single"/>
                      <w:lang w:val="en-US" w:eastAsia="zh-CN"/>
                    </w:rPr>
                    <w:t>序号</w:t>
                  </w:r>
                </w:p>
              </w:tc>
              <w:tc>
                <w:tcPr>
                  <w:tcW w:w="328" w:type="pct"/>
                  <w:gridSpan w:val="2"/>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类别</w:t>
                  </w:r>
                </w:p>
              </w:tc>
              <w:tc>
                <w:tcPr>
                  <w:tcW w:w="3194"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永城经济技术开发区产业准入及退出管理要求</w:t>
                  </w:r>
                </w:p>
              </w:tc>
              <w:tc>
                <w:tcPr>
                  <w:tcW w:w="1004"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本项目情况</w:t>
                  </w:r>
                </w:p>
              </w:tc>
              <w:tc>
                <w:tcPr>
                  <w:tcW w:w="363"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trPr>
              <w:tc>
                <w:tcPr>
                  <w:tcW w:w="109"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1</w:t>
                  </w:r>
                </w:p>
              </w:tc>
              <w:tc>
                <w:tcPr>
                  <w:tcW w:w="175" w:type="pct"/>
                  <w:vMerge w:val="restar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项目准入条件</w:t>
                  </w:r>
                </w:p>
              </w:tc>
              <w:tc>
                <w:tcPr>
                  <w:tcW w:w="153" w:type="pct"/>
                  <w:vMerge w:val="restar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基本条件</w:t>
                  </w: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项目引进必须符合国家、省、市有关法律、法规、规章、规范标准和有关政策规定，符合永城经济技术开发区发展规划、各类专项规划发展目标、功能定位、产业布局、节约集约用地、节能环保等相关要求</w:t>
                  </w:r>
                </w:p>
              </w:tc>
              <w:tc>
                <w:tcPr>
                  <w:tcW w:w="100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本项目位于</w:t>
                  </w:r>
                  <w:r>
                    <w:rPr>
                      <w:rFonts w:hint="default" w:ascii="Times New Roman" w:hAnsi="Times New Roman" w:cs="Times New Roman"/>
                      <w:b/>
                      <w:bCs/>
                      <w:color w:val="auto"/>
                      <w:sz w:val="21"/>
                      <w:szCs w:val="21"/>
                      <w:highlight w:val="none"/>
                      <w:u w:val="single"/>
                      <w:lang w:val="en-US" w:eastAsia="zh-CN"/>
                    </w:rPr>
                    <w:t>永城市经济技术开发区科源大道南段</w:t>
                  </w:r>
                  <w:r>
                    <w:rPr>
                      <w:rFonts w:hint="default" w:ascii="Times New Roman" w:hAnsi="Times New Roman" w:cs="Times New Roman"/>
                      <w:b/>
                      <w:bCs/>
                      <w:color w:val="auto"/>
                      <w:sz w:val="21"/>
                      <w:szCs w:val="21"/>
                      <w:highlight w:val="none"/>
                      <w:u w:val="single"/>
                    </w:rPr>
                    <w:t>，符合</w:t>
                  </w:r>
                  <w:r>
                    <w:rPr>
                      <w:rFonts w:hint="default" w:ascii="Times New Roman" w:hAnsi="Times New Roman" w:cs="Times New Roman"/>
                      <w:b/>
                      <w:bCs/>
                      <w:color w:val="auto"/>
                      <w:sz w:val="21"/>
                      <w:szCs w:val="21"/>
                      <w:highlight w:val="none"/>
                      <w:u w:val="single"/>
                      <w:lang w:val="en-US" w:eastAsia="zh-CN"/>
                    </w:rPr>
                    <w:t>园</w:t>
                  </w:r>
                  <w:r>
                    <w:rPr>
                      <w:rFonts w:hint="default" w:ascii="Times New Roman" w:hAnsi="Times New Roman" w:cs="Times New Roman"/>
                      <w:b/>
                      <w:bCs/>
                      <w:color w:val="auto"/>
                      <w:sz w:val="21"/>
                      <w:szCs w:val="21"/>
                      <w:highlight w:val="none"/>
                      <w:u w:val="single"/>
                    </w:rPr>
                    <w:t>区产业定位</w:t>
                  </w:r>
                </w:p>
              </w:tc>
              <w:tc>
                <w:tcPr>
                  <w:tcW w:w="363"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2</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凡拟选址入驻永城经济技术开发区的项目，原则上实施主体应为独立核算、统计和纳税的法人企业</w:t>
                  </w:r>
                </w:p>
              </w:tc>
              <w:tc>
                <w:tcPr>
                  <w:tcW w:w="1004" w:type="pct"/>
                  <w:vAlign w:val="center"/>
                </w:tcPr>
                <w:p>
                  <w:p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本项目为</w:t>
                  </w:r>
                  <w:r>
                    <w:rPr>
                      <w:rFonts w:hint="default" w:ascii="Times New Roman" w:hAnsi="Times New Roman" w:cs="Times New Roman"/>
                      <w:b/>
                      <w:bCs/>
                      <w:color w:val="auto"/>
                      <w:sz w:val="21"/>
                      <w:szCs w:val="21"/>
                      <w:highlight w:val="none"/>
                      <w:u w:val="single"/>
                    </w:rPr>
                    <w:t>独立核算、统计和纳税的法人企业</w:t>
                  </w:r>
                </w:p>
              </w:tc>
              <w:tc>
                <w:tcPr>
                  <w:tcW w:w="363"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3</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投资规模：新建（不包括技改）单独供地工业项目固定资产投资不少于2亿元，高新技术产业和战略性新兴产业项目固定资产投资不少于5000万元，总部经济项目、科技服务项目、商业综合体项目和城市综合体项目原则上不低于3亿元，其他服务业类产业项目原则上不低于5000万元。对于特殊情况实行“一事一议”</w:t>
                  </w:r>
                </w:p>
              </w:tc>
              <w:tc>
                <w:tcPr>
                  <w:tcW w:w="1004" w:type="pct"/>
                  <w:vAlign w:val="center"/>
                </w:tcPr>
                <w:p>
                  <w:p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eastAsia" w:ascii="Times New Roman" w:hAnsi="Times New Roman" w:cs="Times New Roman"/>
                      <w:b/>
                      <w:bCs/>
                      <w:color w:val="auto"/>
                      <w:sz w:val="21"/>
                      <w:szCs w:val="21"/>
                      <w:highlight w:val="none"/>
                      <w:u w:val="single"/>
                      <w:lang w:val="en-US" w:eastAsia="zh-CN"/>
                    </w:rPr>
                    <w:t>本项目为技改项目，</w:t>
                  </w:r>
                  <w:r>
                    <w:rPr>
                      <w:rFonts w:hint="default" w:ascii="Times New Roman" w:hAnsi="Times New Roman" w:cs="Times New Roman"/>
                      <w:b/>
                      <w:bCs/>
                      <w:color w:val="auto"/>
                      <w:sz w:val="21"/>
                      <w:szCs w:val="21"/>
                      <w:highlight w:val="none"/>
                      <w:u w:val="single"/>
                      <w:lang w:val="en-US" w:eastAsia="zh-CN"/>
                    </w:rPr>
                    <w:t>总投资</w:t>
                  </w:r>
                  <w:r>
                    <w:rPr>
                      <w:rFonts w:hint="eastAsia" w:ascii="Times New Roman" w:hAnsi="Times New Roman" w:cs="Times New Roman"/>
                      <w:b/>
                      <w:bCs/>
                      <w:color w:val="auto"/>
                      <w:sz w:val="21"/>
                      <w:szCs w:val="21"/>
                      <w:highlight w:val="none"/>
                      <w:u w:val="single"/>
                      <w:lang w:val="en-US" w:eastAsia="zh-CN"/>
                    </w:rPr>
                    <w:t>3000万</w:t>
                  </w:r>
                  <w:r>
                    <w:rPr>
                      <w:rFonts w:hint="default" w:ascii="Times New Roman" w:hAnsi="Times New Roman" w:cs="Times New Roman"/>
                      <w:b/>
                      <w:bCs/>
                      <w:color w:val="auto"/>
                      <w:sz w:val="21"/>
                      <w:szCs w:val="21"/>
                      <w:highlight w:val="none"/>
                      <w:u w:val="single"/>
                      <w:lang w:val="en-US" w:eastAsia="zh-CN"/>
                    </w:rPr>
                    <w:t>元</w:t>
                  </w:r>
                </w:p>
              </w:tc>
              <w:tc>
                <w:tcPr>
                  <w:tcW w:w="363"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4</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投资强度：依据《关于实施河南省开发区标准体系及基准值（试行）》豫政办[2022]43号，开发区固定资产投资强度原则上不低于420万元/亩，其中食品加工不低于140万元/亩，新材料项目不低于196万元/亩，装备制造项目不低于189万元/亩，化工项目不低于210万元/亩，总部经济项目、商业综合体项目和城市综合体项目原则上不低于700万元/亩，科技服务项目原则上不低于350万元/亩，其他服务业类产业项目原则上不低于245万元/亩</w:t>
                  </w:r>
                </w:p>
              </w:tc>
              <w:tc>
                <w:tcPr>
                  <w:tcW w:w="1004" w:type="pct"/>
                  <w:vAlign w:val="center"/>
                </w:tcPr>
                <w:p>
                  <w:p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本项目</w:t>
                  </w:r>
                  <w:r>
                    <w:rPr>
                      <w:rFonts w:hint="eastAsia" w:ascii="Times New Roman" w:hAnsi="Times New Roman" w:cs="Times New Roman"/>
                      <w:b/>
                      <w:bCs/>
                      <w:color w:val="auto"/>
                      <w:sz w:val="21"/>
                      <w:szCs w:val="21"/>
                      <w:highlight w:val="none"/>
                      <w:u w:val="single"/>
                      <w:lang w:val="en-US" w:eastAsia="zh-CN"/>
                    </w:rPr>
                    <w:t>为技改项目，不新增用地</w:t>
                  </w:r>
                </w:p>
              </w:tc>
              <w:tc>
                <w:tcPr>
                  <w:tcW w:w="363"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5</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产出强度：采用“亩均销售（营业）收入”衡量。工业项目原则上不低于600万元/亩，总部经济项目、商业综合体项目和城市综合体项目原则上不低于800万元/亩，科技服务项目原则上不低于800万元/亩，其他服务业类产业项目原则上不低于400万元/亩</w:t>
                  </w:r>
                </w:p>
              </w:tc>
              <w:tc>
                <w:tcPr>
                  <w:tcW w:w="1004" w:type="pct"/>
                  <w:vAlign w:val="center"/>
                </w:tcPr>
                <w:p>
                  <w:p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本项目</w:t>
                  </w:r>
                  <w:r>
                    <w:rPr>
                      <w:rFonts w:hint="eastAsia" w:ascii="Times New Roman" w:hAnsi="Times New Roman" w:cs="Times New Roman"/>
                      <w:b/>
                      <w:bCs/>
                      <w:color w:val="auto"/>
                      <w:sz w:val="21"/>
                      <w:szCs w:val="21"/>
                      <w:highlight w:val="none"/>
                      <w:u w:val="single"/>
                      <w:lang w:val="en-US" w:eastAsia="zh-CN"/>
                    </w:rPr>
                    <w:t>为技改项目，不新增用地</w:t>
                  </w:r>
                </w:p>
              </w:tc>
              <w:tc>
                <w:tcPr>
                  <w:tcW w:w="363"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6</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税收贡献：依据《关于实施河南省开发区标准体系及基准值（试行）》豫政办[2022]43号，工业项目原则上不低于14万元/亩，总部经济项目、商业综合体项目和城市综合体项目原则上不低于35万元/亩，科技服务项目原则上不低于28万元/亩，其他服务业类产业项目原则上不低于21万元/亩，租赁厂房项目原则上不低于200元人民币/平方米</w:t>
                  </w:r>
                </w:p>
              </w:tc>
              <w:tc>
                <w:tcPr>
                  <w:tcW w:w="1004" w:type="pct"/>
                  <w:vAlign w:val="center"/>
                </w:tcPr>
                <w:p>
                  <w:p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本项目</w:t>
                  </w:r>
                  <w:r>
                    <w:rPr>
                      <w:rFonts w:hint="eastAsia" w:ascii="Times New Roman" w:hAnsi="Times New Roman" w:cs="Times New Roman"/>
                      <w:b/>
                      <w:bCs/>
                      <w:color w:val="auto"/>
                      <w:sz w:val="21"/>
                      <w:szCs w:val="21"/>
                      <w:highlight w:val="none"/>
                      <w:u w:val="single"/>
                      <w:lang w:val="en-US" w:eastAsia="zh-CN"/>
                    </w:rPr>
                    <w:t>为技改项目，不新增用地</w:t>
                  </w:r>
                </w:p>
              </w:tc>
              <w:tc>
                <w:tcPr>
                  <w:tcW w:w="363"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7</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研发投入强度：采用“研究与试验发展支出占营业收入比重”衡量，工业项目研发投入强度原则上不低于2%</w:t>
                  </w:r>
                </w:p>
              </w:tc>
              <w:tc>
                <w:tcPr>
                  <w:tcW w:w="100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lang w:val="en-US"/>
                    </w:rPr>
                  </w:pPr>
                  <w:r>
                    <w:rPr>
                      <w:rFonts w:hint="default" w:ascii="Times New Roman" w:hAnsi="Times New Roman" w:cs="Times New Roman"/>
                      <w:b/>
                      <w:bCs/>
                      <w:color w:val="auto"/>
                      <w:sz w:val="21"/>
                      <w:szCs w:val="21"/>
                      <w:highlight w:val="none"/>
                      <w:u w:val="single"/>
                      <w:lang w:val="en-US" w:eastAsia="zh-CN"/>
                    </w:rPr>
                    <w:t>本项目为工业项目，项目实施后研发投入强度不低于2%</w:t>
                  </w:r>
                </w:p>
              </w:tc>
              <w:tc>
                <w:tcPr>
                  <w:tcW w:w="363"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8</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永城经济技术开发区范围内所有引进的供地产业项目实行准入管理，凡拟选址入区项目，均应与工业信息化和科技局签订项目投资建设合同，按照合同中约定的开工时间进行建设，建设周期原则上自开工之日起不超过两年，逾期不能开工或建成投产的，将按照有关规定征收土地闲置费直至收回土地。重大投资项目或有特殊工艺要求的项目可根据实际情况科学安排建设周期</w:t>
                  </w:r>
                </w:p>
              </w:tc>
              <w:tc>
                <w:tcPr>
                  <w:tcW w:w="1004" w:type="pct"/>
                  <w:vAlign w:val="center"/>
                </w:tcPr>
                <w:p>
                  <w:p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本项目</w:t>
                  </w:r>
                  <w:r>
                    <w:rPr>
                      <w:rFonts w:hint="eastAsia" w:ascii="Times New Roman" w:hAnsi="Times New Roman" w:cs="Times New Roman"/>
                      <w:b/>
                      <w:bCs/>
                      <w:color w:val="auto"/>
                      <w:sz w:val="21"/>
                      <w:szCs w:val="21"/>
                      <w:highlight w:val="none"/>
                      <w:u w:val="single"/>
                      <w:lang w:val="en-US" w:eastAsia="zh-CN"/>
                    </w:rPr>
                    <w:t>为技改项目，不新增用地</w:t>
                  </w:r>
                </w:p>
              </w:tc>
              <w:tc>
                <w:tcPr>
                  <w:tcW w:w="363"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9</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凡拟选址入驻永城经济技术开发区、需分期实施的项目，分期供地，一期项目在完成投资、建筑面积70%且产能达到协议约定的50%后，启动后续项目供地；若一期项目未在约定期限内建成投产，原则上取消后续项目供地</w:t>
                  </w:r>
                </w:p>
              </w:tc>
              <w:tc>
                <w:tcPr>
                  <w:tcW w:w="100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本项目</w:t>
                  </w:r>
                  <w:r>
                    <w:rPr>
                      <w:rFonts w:hint="eastAsia" w:ascii="Times New Roman" w:hAnsi="Times New Roman" w:cs="Times New Roman"/>
                      <w:b/>
                      <w:bCs/>
                      <w:color w:val="auto"/>
                      <w:sz w:val="21"/>
                      <w:szCs w:val="21"/>
                      <w:highlight w:val="none"/>
                      <w:u w:val="single"/>
                      <w:lang w:val="en-US" w:eastAsia="zh-CN"/>
                    </w:rPr>
                    <w:t>为技改项目，不新增用地</w:t>
                  </w:r>
                </w:p>
              </w:tc>
              <w:tc>
                <w:tcPr>
                  <w:tcW w:w="363"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10</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集约用地：工业项目建设用地建筑密度应高于40%以上，建设类项目用地容积率应高于1.2；“工业项目用地规模较大，确需自行建设行政办公和生活服务设施的，其占地面积不得超过总用地面积的7%，建筑面积不得超过总建筑面积的15%”；工业企业内部一般不得安排绿地，但因生产工艺等特殊要求需要安排一定比例绿地的，绿地率控制在15%之内；工业项目建设应采用先进的生产工艺、生产设备，节约使用土地。对适合多层标准厂房生产的工业项目，应建设或进入多层标准厂房。原则上用地面积低于20亩的工业项目，不再单独供地</w:t>
                  </w:r>
                </w:p>
              </w:tc>
              <w:tc>
                <w:tcPr>
                  <w:tcW w:w="1004" w:type="pct"/>
                  <w:vAlign w:val="center"/>
                </w:tcPr>
                <w:p>
                  <w:p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本项目为工业项目，建筑密度及容积率均能够满足要求</w:t>
                  </w:r>
                </w:p>
              </w:tc>
              <w:tc>
                <w:tcPr>
                  <w:tcW w:w="363"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11</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土地复合利用。鼓励产业项目多用途复合利用土地，根据产业需求，同一宗土地可设置不同用途（房地产除外），充分实现土地集约节约利用</w:t>
                  </w:r>
                </w:p>
              </w:tc>
              <w:tc>
                <w:tcPr>
                  <w:tcW w:w="100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lang w:val="en-US"/>
                    </w:rPr>
                  </w:pPr>
                  <w:r>
                    <w:rPr>
                      <w:rFonts w:hint="default" w:ascii="Times New Roman" w:hAnsi="Times New Roman" w:cs="Times New Roman"/>
                      <w:b/>
                      <w:bCs/>
                      <w:color w:val="auto"/>
                      <w:sz w:val="21"/>
                      <w:szCs w:val="21"/>
                      <w:highlight w:val="none"/>
                      <w:u w:val="single"/>
                      <w:lang w:val="en-US" w:eastAsia="zh-CN"/>
                    </w:rPr>
                    <w:t>本项目</w:t>
                  </w:r>
                  <w:r>
                    <w:rPr>
                      <w:rFonts w:hint="eastAsia" w:ascii="Times New Roman" w:hAnsi="Times New Roman" w:cs="Times New Roman"/>
                      <w:b/>
                      <w:bCs/>
                      <w:color w:val="auto"/>
                      <w:sz w:val="21"/>
                      <w:szCs w:val="21"/>
                      <w:highlight w:val="none"/>
                      <w:u w:val="single"/>
                      <w:lang w:val="en-US" w:eastAsia="zh-CN"/>
                    </w:rPr>
                    <w:t>为技改项目，不新增用地</w:t>
                  </w:r>
                </w:p>
              </w:tc>
              <w:tc>
                <w:tcPr>
                  <w:tcW w:w="363"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12</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①入驻开发区的“两高”以及钢铁、焦化、煤化工项目能效水平应达到《工业重点领域能效标杆水平和基准水平（2023年版）》（发改产业[2023]723号）、《煤炭清洁高效利用重点领域标杆水平和基准水平（2022年版）》（发改运行[2022]559号）中标杆水平或者行业单位产品能源消耗限额中先进值水平；</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②有色金属冶炼行业须达到能耗限额标准先进值；</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③入驻开发区其他项目（“两高”以及钢铁、焦化、煤化工、有色金属冶炼项目除外）应对照能效标杆水平或能耗限额标准先进值建设实施，推动能效水平应提尽提，力争全面达到标杆水平或能耗限额标准先进值。禁止能效水平低于《工业重点领域能效标杆水平和基准水平（2023年版）》（发改产业[2023]723号）、《煤炭清洁高效利用重点领域标杆水平和基准水平（2022年版）》（发改运行[2022]559号）中基准水平或者行业单位产品能源消耗限额中准入值水平的项目入驻；</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③入驻项目需按照相关要求配套建设相应的污染防治措施，确保达标排放；对于区域不达标的污染物，应优先考虑治理效果，结合区域环境质量改善目标、替代源削减方案实施情况，确保达到最低排放强度和排放浓度。国家、省绩效分级重点行业的新建、改建、扩建项目达到B级以上要求。重点行业二氧化硫、氮氧化物、颗粒物、挥发性有机物（VOCs）全面执行大气污染物特别排放限值</w:t>
                  </w:r>
                </w:p>
              </w:tc>
              <w:tc>
                <w:tcPr>
                  <w:tcW w:w="1004" w:type="pct"/>
                  <w:vAlign w:val="center"/>
                </w:tcPr>
                <w:p>
                  <w:pPr>
                    <w:numPr>
                      <w:ilvl w:val="0"/>
                      <w:numId w:val="2"/>
                    </w:num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eastAsia" w:ascii="Times New Roman" w:hAnsi="Times New Roman" w:cs="Times New Roman"/>
                      <w:b/>
                      <w:bCs/>
                      <w:color w:val="auto"/>
                      <w:sz w:val="21"/>
                      <w:szCs w:val="21"/>
                      <w:highlight w:val="none"/>
                      <w:u w:val="single"/>
                      <w:vertAlign w:val="baseline"/>
                      <w:lang w:val="en-US" w:eastAsia="zh-CN"/>
                    </w:rPr>
                    <w:t>本项目不涉及；</w:t>
                  </w:r>
                </w:p>
                <w:p>
                  <w:pPr>
                    <w:numPr>
                      <w:ilvl w:val="0"/>
                      <w:numId w:val="2"/>
                    </w:num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vertAlign w:val="baseline"/>
                      <w:lang w:val="en-US" w:eastAsia="zh-CN"/>
                    </w:rPr>
                    <w:t>本项目为</w:t>
                  </w:r>
                  <w:r>
                    <w:rPr>
                      <w:rFonts w:hint="eastAsia" w:ascii="Times New Roman" w:hAnsi="Times New Roman" w:cs="Times New Roman"/>
                      <w:b/>
                      <w:bCs/>
                      <w:color w:val="auto"/>
                      <w:sz w:val="21"/>
                      <w:szCs w:val="21"/>
                      <w:highlight w:val="none"/>
                      <w:u w:val="single"/>
                      <w:vertAlign w:val="baseline"/>
                      <w:lang w:val="en-US" w:eastAsia="zh-CN"/>
                    </w:rPr>
                    <w:t>技改</w:t>
                  </w:r>
                  <w:r>
                    <w:rPr>
                      <w:rFonts w:hint="default" w:ascii="Times New Roman" w:hAnsi="Times New Roman" w:cs="Times New Roman"/>
                      <w:b/>
                      <w:bCs/>
                      <w:color w:val="auto"/>
                      <w:sz w:val="21"/>
                      <w:szCs w:val="21"/>
                      <w:highlight w:val="none"/>
                      <w:u w:val="single"/>
                      <w:vertAlign w:val="baseline"/>
                      <w:lang w:val="en-US" w:eastAsia="zh-CN"/>
                    </w:rPr>
                    <w:t>项目，按照绩效A级要求进行建设，使用设备、工艺等水平均按清洁生产要求进行设计。</w:t>
                  </w:r>
                </w:p>
              </w:tc>
              <w:tc>
                <w:tcPr>
                  <w:tcW w:w="363"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13</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优先条件</w:t>
                  </w: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符合上述准入条件并具备下列条件之一者，同等条件下优先准入：</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1）国内外500强企业、国内外行业龙头企业、上市公司；</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2）总投资6亿元以上的工业项目，总投资10亿元以上的现代服务业项目以及注册资本2亿元以上的项目；</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3）投入强度、产出强度和税收贡献强度高于基本准入条件50%的项目；</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4）国家重点扶持的高新技术企业，或拥有关键技术知识产权的发明专利项目、传统产业整合提升项目；</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5）对提升区域竞争力、影响力、吸引力和开放度作用明显的项目；</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6）与开发区现有产业形成产业链上下游配套的项目；</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7）解决“卡脖子”和进口替代问题的补短板项目</w:t>
                  </w:r>
                </w:p>
              </w:tc>
              <w:tc>
                <w:tcPr>
                  <w:tcW w:w="1004" w:type="pct"/>
                  <w:vAlign w:val="center"/>
                </w:tcPr>
                <w:p>
                  <w:p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本项目</w:t>
                  </w:r>
                  <w:r>
                    <w:rPr>
                      <w:rFonts w:hint="eastAsia" w:ascii="Times New Roman" w:hAnsi="Times New Roman" w:cs="Times New Roman"/>
                      <w:b/>
                      <w:bCs/>
                      <w:color w:val="auto"/>
                      <w:sz w:val="21"/>
                      <w:szCs w:val="21"/>
                      <w:highlight w:val="none"/>
                      <w:u w:val="single"/>
                      <w:lang w:val="en-US" w:eastAsia="zh-CN"/>
                    </w:rPr>
                    <w:t>为技改项目，不新增用地</w:t>
                  </w:r>
                </w:p>
              </w:tc>
              <w:tc>
                <w:tcPr>
                  <w:tcW w:w="363"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22</w:t>
                  </w:r>
                </w:p>
              </w:tc>
              <w:tc>
                <w:tcPr>
                  <w:tcW w:w="175" w:type="pct"/>
                  <w:vMerge w:val="restar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产业准入负面清单</w:t>
                  </w:r>
                </w:p>
              </w:tc>
              <w:tc>
                <w:tcPr>
                  <w:tcW w:w="153" w:type="pct"/>
                  <w:vMerge w:val="restar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限值清单</w:t>
                  </w: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严格限制建设涉及《产业结构调整指导目录（2019年本）》（中华人民共和国国家发展和改革委员会令第29号）中限制类项目，此类项目应征询市发改委意见</w:t>
                  </w: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vertAlign w:val="baseline"/>
                      <w:lang w:val="en-US" w:eastAsia="zh-CN"/>
                    </w:rPr>
                    <w:t>本项目为新建项目，根据《产业结构调整指导目录（20</w:t>
                  </w:r>
                  <w:r>
                    <w:rPr>
                      <w:rFonts w:hint="eastAsia" w:ascii="Times New Roman" w:hAnsi="Times New Roman" w:cs="Times New Roman"/>
                      <w:b/>
                      <w:bCs/>
                      <w:color w:val="auto"/>
                      <w:sz w:val="21"/>
                      <w:szCs w:val="21"/>
                      <w:highlight w:val="none"/>
                      <w:u w:val="single"/>
                      <w:vertAlign w:val="baseline"/>
                      <w:lang w:val="en-US" w:eastAsia="zh-CN"/>
                    </w:rPr>
                    <w:t>24</w:t>
                  </w:r>
                  <w:r>
                    <w:rPr>
                      <w:rFonts w:hint="default" w:ascii="Times New Roman" w:hAnsi="Times New Roman" w:cs="Times New Roman"/>
                      <w:b/>
                      <w:bCs/>
                      <w:color w:val="auto"/>
                      <w:sz w:val="21"/>
                      <w:szCs w:val="21"/>
                      <w:highlight w:val="none"/>
                      <w:u w:val="single"/>
                      <w:vertAlign w:val="baseline"/>
                      <w:lang w:val="en-US" w:eastAsia="zh-CN"/>
                    </w:rPr>
                    <w:t>年本）》，本项目不属于鼓励类、限值类、淘汰类，为允许类。</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23</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严格控制尿素、磷铵、电石、烧碱（废盐综合利用的离子膜烧碱装置、天然碱除外）、聚氯乙烯、纯碱（天然碱除外）、黄磷等过剩行业新增产能，确有必要建设的项目实行等量或减量置换，产能置换方案需报请工信部门审批</w:t>
                  </w:r>
                </w:p>
              </w:tc>
              <w:tc>
                <w:tcPr>
                  <w:tcW w:w="1004" w:type="pct"/>
                  <w:vAlign w:val="center"/>
                </w:tcPr>
                <w:p>
                  <w:p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本项目不涉及</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24</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严格限制新建、扩建和改建耗水量超过《工业与城镇生活用水定额》（DB41/T385-2020）中先进值的食品加工产业项目</w:t>
                  </w:r>
                </w:p>
              </w:tc>
              <w:tc>
                <w:tcPr>
                  <w:tcW w:w="1004" w:type="pct"/>
                  <w:vAlign w:val="center"/>
                </w:tcPr>
                <w:p>
                  <w:p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本项目不涉及</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25</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安全限制准入条件：严格控制涉及光气、氯气等有毒气体，光气化、硝化、重氮化、偶氮化等危险工艺，硝酸铵等爆炸性危险性化学品以及硝酸胍、硝基苯系物等高风险项目</w:t>
                  </w:r>
                </w:p>
              </w:tc>
              <w:tc>
                <w:tcPr>
                  <w:tcW w:w="100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本项目不涉及</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26</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限制煤制油气行业入驻，合理控制煤制油气产能规模</w:t>
                  </w:r>
                </w:p>
              </w:tc>
              <w:tc>
                <w:tcPr>
                  <w:tcW w:w="100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本项目不涉及</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27</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环保限制准入条件：</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①新建涉及VOCs的项目，需满足总量控制要求，实行排放量等量替代或倍量替代；</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②严格涉新污染物建设项目准入，按照重点管控新污染物清单，禁止、限制重点管控新污染物的生产、加工使用；</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③符合环保及国家产业政策的“退城入园”项目，必须做到“增产减污”</w:t>
                  </w:r>
                </w:p>
              </w:tc>
              <w:tc>
                <w:tcPr>
                  <w:tcW w:w="1004" w:type="pct"/>
                  <w:vAlign w:val="center"/>
                </w:tcPr>
                <w:p>
                  <w:p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本项目满足总量控制要求，</w:t>
                  </w:r>
                  <w:r>
                    <w:rPr>
                      <w:rFonts w:hint="default" w:ascii="Times New Roman" w:hAnsi="Times New Roman" w:cs="Times New Roman"/>
                      <w:b/>
                      <w:bCs/>
                      <w:color w:val="auto"/>
                      <w:sz w:val="21"/>
                      <w:szCs w:val="21"/>
                      <w:highlight w:val="none"/>
                      <w:u w:val="single"/>
                    </w:rPr>
                    <w:t>实行排放量等量替代或倍量替代</w:t>
                  </w:r>
                  <w:r>
                    <w:rPr>
                      <w:rFonts w:hint="default" w:ascii="Times New Roman" w:hAnsi="Times New Roman" w:cs="Times New Roman"/>
                      <w:b/>
                      <w:bCs/>
                      <w:color w:val="auto"/>
                      <w:sz w:val="21"/>
                      <w:szCs w:val="21"/>
                      <w:highlight w:val="none"/>
                      <w:u w:val="single"/>
                      <w:lang w:eastAsia="zh-CN"/>
                    </w:rPr>
                    <w:t>。</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28</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restart"/>
                  <w:vAlign w:val="center"/>
                </w:tcPr>
                <w:p>
                  <w:pPr>
                    <w:spacing w:line="240" w:lineRule="auto"/>
                    <w:ind w:firstLine="0" w:firstLineChars="0"/>
                    <w:jc w:val="center"/>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禁止清单</w:t>
                  </w: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严禁建设涉及《产业结构调整指导目录（2019年本）》中淘汰类项目</w:t>
                  </w:r>
                </w:p>
              </w:tc>
              <w:tc>
                <w:tcPr>
                  <w:tcW w:w="100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vertAlign w:val="baseline"/>
                      <w:lang w:val="en-US" w:eastAsia="zh-CN"/>
                    </w:rPr>
                    <w:t>本项目为新建项目，根据《产业结构调整指导目录（20</w:t>
                  </w:r>
                  <w:r>
                    <w:rPr>
                      <w:rFonts w:hint="eastAsia" w:ascii="Times New Roman" w:hAnsi="Times New Roman" w:cs="Times New Roman"/>
                      <w:b/>
                      <w:bCs/>
                      <w:color w:val="auto"/>
                      <w:sz w:val="21"/>
                      <w:szCs w:val="21"/>
                      <w:highlight w:val="none"/>
                      <w:u w:val="single"/>
                      <w:vertAlign w:val="baseline"/>
                      <w:lang w:val="en-US" w:eastAsia="zh-CN"/>
                    </w:rPr>
                    <w:t>24</w:t>
                  </w:r>
                  <w:r>
                    <w:rPr>
                      <w:rFonts w:hint="default" w:ascii="Times New Roman" w:hAnsi="Times New Roman" w:cs="Times New Roman"/>
                      <w:b/>
                      <w:bCs/>
                      <w:color w:val="auto"/>
                      <w:sz w:val="21"/>
                      <w:szCs w:val="21"/>
                      <w:highlight w:val="none"/>
                      <w:u w:val="single"/>
                      <w:vertAlign w:val="baseline"/>
                      <w:lang w:val="en-US" w:eastAsia="zh-CN"/>
                    </w:rPr>
                    <w:t>年本）》，本项目不属于鼓励类、限值类、淘汰类，为允许类。</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29</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安全禁止准入条件：</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①禁止建设生产、经营、储存、使用列入禁限控目录中禁止类危险化学品的项目；</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②对列入原国家安全监管总局《关于加强精细化工反应安全风险评估工作的指导意见》（安监总管三[2017]1号）文件中精细化工反应安全风险评估范围的精细化工生产装置，应按规定开展精细化工反应安全风险评估，禁止建设反应工艺危险度等级5级的项目；</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③禁止建设其工艺、设备在《淘汰落后与推广先进安全技术装备目录管理办法的通知》（安监总厅科技[2015]43号）、《淘汰落后安全技术装备目录（2015年第一批）》（安监总科技[2015]75号）、《淘汰落后安全技术工艺、设备目录（2016年）》（安监总科技[2016]137号）、《推广先进与淘汰落后安全技术装备目录（第二批）》（原国家安监总局、科技部、工信部2017年第19号公告）、《淘汰落后危险化学品安全生产工艺技术设备目录（第一批）》（应急厅[2020]38号）内所规定的淘汰落后的工艺技术、淘汰落后的设备的项目；</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④禁止建设达不到安全标准的落后生产工艺、未委托具有相应资质设计单位进行工艺设计的新（改、扩）建项目、搬迁使用旧设备的新（改、扩）建项目</w:t>
                  </w:r>
                </w:p>
              </w:tc>
              <w:tc>
                <w:tcPr>
                  <w:tcW w:w="1004" w:type="pct"/>
                  <w:vAlign w:val="center"/>
                </w:tcPr>
                <w:p>
                  <w:p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本项目不在安全禁止条件内</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30</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环保禁止准入条件：</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①严禁新增钢铁、传统煤化工（含甲醇）、焦化、铝用碳素、铁合金等行业产能，新增钢铁产能按照工信部联原[2022]6号要求，严格落实产能置换，新建钢铁项目炼钢用生铁高炉不得低于1200立方米、炼钢转炉不得低于100吨、电弧炉不得低于100吨（合金钢不得低于50吨，禁止使用淘汰步进式烧结机、球团竖炉等低效率、高能耗、高污染工艺和设备；</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②禁止新建用汞的（聚）氯乙烯产能、化学制浆造纸、电解铝等项目，禁止新建燃煤自备锅炉、自备燃煤机组和燃料类煤气发生炉；</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③严禁新增铅锌冶炼行业产能；</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④铸造项目应严格执行节能、环保、质量、安全技术等相关法律法规标准和《产业结构调整指导目录》等政策，禁止采用无芯工频感应电炉、无磁轭（≥0.25吨）铝壳中频感应电炉、水玻璃熔模精密铸造氯化铵硬化模壳、铝合金六氯乙烷精炼等淘汰类工艺和装备</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⑤禁止建设生产和使用高VOCs含量的溶剂型涂料、油墨、胶粘剂等项目</w:t>
                  </w:r>
                </w:p>
              </w:tc>
              <w:tc>
                <w:tcPr>
                  <w:tcW w:w="1004" w:type="pct"/>
                  <w:vAlign w:val="center"/>
                </w:tcPr>
                <w:p>
                  <w:p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本项目不在环保禁止准入条件内</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31</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化工企业禁止准入条件：</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①禁止在化工园区外承接化工项目；</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②新建危险化学品生产建设项目严禁采用列入《淘汰落后危险化学品安全生产工艺技术设备目录》（应急厅[2020]38号）的工艺技术设备；</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③禁止承接不符合国家石化、现代煤化工等产业布局规划的项目；</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④禁止承接包含目录中所列工艺装备或产品的项目；</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⑤禁止大气污染防治重点区域承接煤化工产能；</w:t>
                  </w:r>
                </w:p>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⑥原则上不再核准（备案）一次性固定资产投资额低于3亿元（不含土地费用）的危险化学品生产建设项目（符合国家《战略性新兴产业重点产品和服务指导目录》的项目，高新技术化工产业项目，涉及环保、安全、节能技术改造项目除外）</w:t>
                  </w:r>
                </w:p>
              </w:tc>
              <w:tc>
                <w:tcPr>
                  <w:tcW w:w="100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lang w:val="en-US"/>
                    </w:rPr>
                  </w:pPr>
                  <w:r>
                    <w:rPr>
                      <w:rFonts w:hint="default" w:ascii="Times New Roman" w:hAnsi="Times New Roman" w:cs="Times New Roman"/>
                      <w:b/>
                      <w:bCs/>
                      <w:color w:val="auto"/>
                      <w:sz w:val="21"/>
                      <w:szCs w:val="21"/>
                      <w:highlight w:val="none"/>
                      <w:u w:val="single"/>
                      <w:lang w:val="en-US" w:eastAsia="zh-CN"/>
                    </w:rPr>
                    <w:t>本项目不涉及</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9" w:type="pct"/>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32</w:t>
                  </w:r>
                </w:p>
              </w:tc>
              <w:tc>
                <w:tcPr>
                  <w:tcW w:w="175"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153" w:type="pct"/>
                  <w:vMerge w:val="continue"/>
                  <w:vAlign w:val="center"/>
                </w:tcPr>
                <w:p>
                  <w:pPr>
                    <w:spacing w:line="240" w:lineRule="auto"/>
                    <w:ind w:firstLine="0" w:firstLineChars="0"/>
                    <w:jc w:val="center"/>
                    <w:rPr>
                      <w:rFonts w:hint="default" w:ascii="Times New Roman" w:hAnsi="Times New Roman" w:cs="Times New Roman"/>
                      <w:b/>
                      <w:bCs/>
                      <w:color w:val="auto"/>
                      <w:sz w:val="21"/>
                      <w:szCs w:val="21"/>
                      <w:highlight w:val="none"/>
                      <w:u w:val="single"/>
                    </w:rPr>
                  </w:pPr>
                </w:p>
              </w:tc>
              <w:tc>
                <w:tcPr>
                  <w:tcW w:w="3194" w:type="pct"/>
                  <w:vAlign w:val="center"/>
                </w:tcPr>
                <w:p>
                  <w:pPr>
                    <w:spacing w:line="240" w:lineRule="auto"/>
                    <w:ind w:firstLine="0" w:firstLineChars="0"/>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物流业禁止准入条件：禁止贮存和输送有毒、有害化学品和危险品</w:t>
                  </w:r>
                </w:p>
              </w:tc>
              <w:tc>
                <w:tcPr>
                  <w:tcW w:w="1004" w:type="pct"/>
                  <w:vAlign w:val="center"/>
                </w:tcPr>
                <w:p>
                  <w:pPr>
                    <w:spacing w:line="240" w:lineRule="auto"/>
                    <w:ind w:firstLine="0" w:firstLineChars="0"/>
                    <w:rPr>
                      <w:rFonts w:hint="default" w:ascii="Times New Roman" w:hAnsi="Times New Roman" w:eastAsia="宋体" w:cs="Times New Roman"/>
                      <w:b/>
                      <w:bCs/>
                      <w:color w:val="auto"/>
                      <w:sz w:val="21"/>
                      <w:szCs w:val="21"/>
                      <w:highlight w:val="none"/>
                      <w:u w:val="single"/>
                      <w:lang w:val="en-US" w:eastAsia="zh-CN"/>
                    </w:rPr>
                  </w:pPr>
                  <w:r>
                    <w:rPr>
                      <w:rFonts w:hint="default" w:ascii="Times New Roman" w:hAnsi="Times New Roman" w:cs="Times New Roman"/>
                      <w:b/>
                      <w:bCs/>
                      <w:color w:val="auto"/>
                      <w:sz w:val="21"/>
                      <w:szCs w:val="21"/>
                      <w:highlight w:val="none"/>
                      <w:u w:val="single"/>
                      <w:lang w:val="en-US" w:eastAsia="zh-CN"/>
                    </w:rPr>
                    <w:t>本项目不涉及</w:t>
                  </w:r>
                </w:p>
              </w:tc>
              <w:tc>
                <w:tcPr>
                  <w:tcW w:w="36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由上表可知，本项目能够满足永城经济技术开发区发展规划（2022-2035）产业准入要求。</w:t>
            </w:r>
          </w:p>
          <w:p>
            <w:pPr>
              <w:pStyle w:val="2"/>
              <w:spacing w:line="360" w:lineRule="auto"/>
              <w:rPr>
                <w:rFonts w:hint="default" w:ascii="Times New Roman" w:hAnsi="Times New Roman" w:cs="Times New Roman"/>
                <w:b/>
                <w:bCs w:val="0"/>
                <w:color w:val="auto"/>
                <w:highlight w:val="none"/>
                <w:u w:val="single"/>
                <w:lang w:val="en-US" w:eastAsia="zh-CN"/>
              </w:rPr>
            </w:pP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b/>
                <w:bCs w:val="0"/>
                <w:color w:val="auto"/>
                <w:sz w:val="24"/>
                <w:highlight w:val="none"/>
                <w:u w:val="single"/>
                <w:lang w:val="en-US" w:eastAsia="zh-CN"/>
              </w:rPr>
              <w:t>项目与《审查意见》要求相符性分析</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0" w:type="dxa"/>
                <w:bottom w:w="57" w:type="dxa"/>
                <w:right w:w="0" w:type="dxa"/>
              </w:tblCellMar>
            </w:tblPr>
            <w:tblGrid>
              <w:gridCol w:w="433"/>
              <w:gridCol w:w="4150"/>
              <w:gridCol w:w="2546"/>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30" w:hRule="atLeast"/>
              </w:trPr>
              <w:tc>
                <w:tcPr>
                  <w:tcW w:w="27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类别</w:t>
                  </w:r>
                </w:p>
              </w:tc>
              <w:tc>
                <w:tcPr>
                  <w:tcW w:w="264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审查意见要求</w:t>
                  </w:r>
                </w:p>
              </w:tc>
              <w:tc>
                <w:tcPr>
                  <w:tcW w:w="162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本项目情况</w:t>
                  </w:r>
                </w:p>
              </w:tc>
              <w:tc>
                <w:tcPr>
                  <w:tcW w:w="451"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30" w:hRule="atLeast"/>
              </w:trPr>
              <w:tc>
                <w:tcPr>
                  <w:tcW w:w="27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坚持绿色低碳高质量发展</w:t>
                  </w:r>
                </w:p>
              </w:tc>
              <w:tc>
                <w:tcPr>
                  <w:tcW w:w="264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规划应贯彻生态优先、绿色低碳、集约高效的绿色发展、协调发展理念，根据国家、省发展战略，以环境质量改善为核心，进一步优化经济技术开发区的产业结构、发展规模、用地布局等，做好与区域“三线一单”成果的协调衔接，实现开发区绿色低碳高质量发展目标。</w:t>
                  </w:r>
                </w:p>
              </w:tc>
              <w:tc>
                <w:tcPr>
                  <w:tcW w:w="162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bCs w:val="0"/>
                      <w:color w:val="auto"/>
                      <w:sz w:val="21"/>
                      <w:szCs w:val="21"/>
                      <w:u w:val="single"/>
                    </w:rPr>
                  </w:pPr>
                  <w:r>
                    <w:rPr>
                      <w:rFonts w:hint="eastAsia" w:ascii="Times New Roman" w:hAnsi="Times New Roman" w:cs="Times New Roman"/>
                      <w:b/>
                      <w:bCs w:val="0"/>
                      <w:color w:val="auto"/>
                      <w:sz w:val="21"/>
                      <w:szCs w:val="21"/>
                      <w:u w:val="single"/>
                      <w:lang w:val="en-US" w:eastAsia="zh-CN"/>
                    </w:rPr>
                    <w:t>本</w:t>
                  </w:r>
                  <w:r>
                    <w:rPr>
                      <w:rFonts w:hint="default" w:ascii="Times New Roman" w:hAnsi="Times New Roman" w:eastAsia="宋体" w:cs="Times New Roman"/>
                      <w:b/>
                      <w:bCs w:val="0"/>
                      <w:color w:val="auto"/>
                      <w:sz w:val="21"/>
                      <w:szCs w:val="21"/>
                      <w:u w:val="single"/>
                      <w:lang w:val="en-US" w:eastAsia="zh-CN"/>
                    </w:rPr>
                    <w:t>项目符合永城市经济技术开发区重点管控区域准入要求</w:t>
                  </w:r>
                </w:p>
              </w:tc>
              <w:tc>
                <w:tcPr>
                  <w:tcW w:w="451"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1303" w:hRule="atLeast"/>
              </w:trPr>
              <w:tc>
                <w:tcPr>
                  <w:tcW w:w="27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加快推进产业转型</w:t>
                  </w:r>
                </w:p>
              </w:tc>
              <w:tc>
                <w:tcPr>
                  <w:tcW w:w="264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永城经济技术开发区应遵循循环经济理念，积极推进产业技术进步和开发区循环化改造；入区新、改、扩建项目应实施清洁生产，生产工艺、设备、污染治理技术，以及单位产品能耗、物耗、污染物排放和资源利用率均需达到同行业国内先进水平，确保产业发展与生态环境保护相协调。</w:t>
                  </w:r>
                </w:p>
              </w:tc>
              <w:tc>
                <w:tcPr>
                  <w:tcW w:w="162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bCs w:val="0"/>
                      <w:color w:val="auto"/>
                      <w:sz w:val="21"/>
                      <w:szCs w:val="21"/>
                      <w:u w:val="single"/>
                      <w:lang w:val="en-US" w:eastAsia="zh-CN"/>
                    </w:rPr>
                  </w:pPr>
                  <w:r>
                    <w:rPr>
                      <w:rFonts w:hint="default" w:ascii="Times New Roman" w:hAnsi="Times New Roman" w:eastAsia="宋体" w:cs="Times New Roman"/>
                      <w:b/>
                      <w:bCs w:val="0"/>
                      <w:color w:val="auto"/>
                      <w:sz w:val="21"/>
                      <w:szCs w:val="21"/>
                      <w:u w:val="single"/>
                    </w:rPr>
                    <w:t>本项目为铝精深加工行业项目，</w:t>
                  </w:r>
                  <w:r>
                    <w:rPr>
                      <w:rFonts w:hint="eastAsia" w:ascii="Times New Roman" w:hAnsi="Times New Roman" w:cs="Times New Roman"/>
                      <w:b/>
                      <w:bCs w:val="0"/>
                      <w:color w:val="auto"/>
                      <w:sz w:val="21"/>
                      <w:szCs w:val="21"/>
                      <w:u w:val="single"/>
                      <w:lang w:val="en-US" w:eastAsia="zh-CN"/>
                    </w:rPr>
                    <w:t>应加强清洁生产审核工作</w:t>
                  </w:r>
                </w:p>
              </w:tc>
              <w:tc>
                <w:tcPr>
                  <w:tcW w:w="451"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2339" w:hRule="atLeast"/>
              </w:trPr>
              <w:tc>
                <w:tcPr>
                  <w:tcW w:w="27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优化空间布局严格空间管控</w:t>
                  </w:r>
                </w:p>
              </w:tc>
              <w:tc>
                <w:tcPr>
                  <w:tcW w:w="264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进一步加强与国土空间规划的街接，保持规划之间协调一致，并按照国土空间规划的管制要求进行开发建设；做好规划控制和生态隔离带建设，将化工片区东侧商业用地调整为物流或工业用地，加快钢厂片区、东片区村庄等敏感点搬迁，加强对开发区及周边生活区的防护；对开发区内存在侯岭乡地下水饮用水水源地，落实饮用水源保护有关要求，避免开发区建设活动对地下水饮用水源保护区产生不良影响，确保开发区产业布局与生态环境保护、人居环境安全相协调。</w:t>
                  </w:r>
                </w:p>
              </w:tc>
              <w:tc>
                <w:tcPr>
                  <w:tcW w:w="162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本项目位于东片区铝精深加工园区，为铝精深加工项目，属于集聚区鼓励引进的项目和优先发展行业，符合</w:t>
                  </w:r>
                  <w:r>
                    <w:rPr>
                      <w:rFonts w:hint="eastAsia" w:ascii="Times New Roman" w:hAnsi="Times New Roman" w:eastAsia="宋体" w:cs="Times New Roman"/>
                      <w:b/>
                      <w:bCs w:val="0"/>
                      <w:color w:val="auto"/>
                      <w:sz w:val="21"/>
                      <w:szCs w:val="21"/>
                      <w:u w:val="single"/>
                      <w:lang w:val="en-US" w:eastAsia="zh-CN"/>
                    </w:rPr>
                    <w:t>永城市</w:t>
                  </w:r>
                  <w:r>
                    <w:rPr>
                      <w:rFonts w:hint="default" w:ascii="Times New Roman" w:hAnsi="Times New Roman" w:eastAsia="宋体" w:cs="Times New Roman"/>
                      <w:b/>
                      <w:bCs w:val="0"/>
                      <w:color w:val="auto"/>
                      <w:sz w:val="21"/>
                      <w:szCs w:val="21"/>
                      <w:u w:val="single"/>
                      <w:lang w:val="en-US" w:eastAsia="zh-CN"/>
                    </w:rPr>
                    <w:t>经济技术开发区</w:t>
                  </w:r>
                  <w:r>
                    <w:rPr>
                      <w:rFonts w:hint="default" w:ascii="Times New Roman" w:hAnsi="Times New Roman" w:eastAsia="宋体" w:cs="Times New Roman"/>
                      <w:b/>
                      <w:bCs w:val="0"/>
                      <w:color w:val="auto"/>
                      <w:sz w:val="21"/>
                      <w:szCs w:val="21"/>
                      <w:u w:val="single"/>
                    </w:rPr>
                    <w:t>发展规划</w:t>
                  </w:r>
                </w:p>
              </w:tc>
              <w:tc>
                <w:tcPr>
                  <w:tcW w:w="451"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30" w:hRule="atLeast"/>
              </w:trPr>
              <w:tc>
                <w:tcPr>
                  <w:tcW w:w="27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强化减污降碳协同增效</w:t>
                  </w:r>
                </w:p>
              </w:tc>
              <w:tc>
                <w:tcPr>
                  <w:tcW w:w="264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根据国家和河南省关于挥发性有机物、工业炉窑等大气和水、土壤污染防治相关要求，严格执行相关行业污染物排放标准及特别排放限值；加强重金属污染物管控，严格执行污染物排放总量控制制度，新增污染物排放指标应做到“等量或倍量替代”;结合碳达峰目标，强化碳评价及减排措施，确保区域环境质量持续改善。</w:t>
                  </w:r>
                </w:p>
              </w:tc>
              <w:tc>
                <w:tcPr>
                  <w:tcW w:w="162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项目从源头减少废气排放，并采取末端治理技术，废气经治理后，均能实现达标排放</w:t>
                  </w:r>
                </w:p>
              </w:tc>
              <w:tc>
                <w:tcPr>
                  <w:tcW w:w="451"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30" w:hRule="atLeast"/>
              </w:trPr>
              <w:tc>
                <w:tcPr>
                  <w:tcW w:w="27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严格落实项目入驻要求</w:t>
                  </w:r>
                </w:p>
              </w:tc>
              <w:tc>
                <w:tcPr>
                  <w:tcW w:w="264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严格落实《报告书》生态环境准入要求，推动高质量发展。鼓励符合开发区功能定位、主导产业、国家产业政策鼓励类项目入驻；严格控制钢铁、焦化、煤化工、铝用碳素、铁合金、耐火材料等行业，新建扩建上述行业项目需满足产能置换要求；禁止新建用汞的(聚)氯乙烯、化学制浆造纸、电解铝、铅锌冶炼(含再生铅)等项目；禁止引进耗水量超过《工业与城镇生活用水定额》(DB41/T385-2020)中先进值的食品加工产业项目；严格控制新建生产和使用高VOCs含量的溶剂型涂料、油墨、胶粘剂、清洗剂项目。</w:t>
                  </w:r>
                </w:p>
              </w:tc>
              <w:tc>
                <w:tcPr>
                  <w:tcW w:w="162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bCs w:val="0"/>
                      <w:color w:val="auto"/>
                      <w:sz w:val="21"/>
                      <w:szCs w:val="21"/>
                      <w:u w:val="single"/>
                      <w:lang w:val="en-US" w:eastAsia="zh-CN"/>
                    </w:rPr>
                  </w:pPr>
                  <w:r>
                    <w:rPr>
                      <w:rFonts w:hint="eastAsia" w:ascii="Times New Roman" w:hAnsi="Times New Roman" w:cs="Times New Roman"/>
                      <w:b/>
                      <w:bCs w:val="0"/>
                      <w:color w:val="auto"/>
                      <w:sz w:val="21"/>
                      <w:szCs w:val="21"/>
                      <w:u w:val="single"/>
                      <w:lang w:val="en-US" w:eastAsia="zh-CN"/>
                    </w:rPr>
                    <w:t>本项目不属于</w:t>
                  </w:r>
                </w:p>
              </w:tc>
              <w:tc>
                <w:tcPr>
                  <w:tcW w:w="451"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30" w:hRule="atLeast"/>
              </w:trPr>
              <w:tc>
                <w:tcPr>
                  <w:tcW w:w="27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加快开发区环境基础设施建设</w:t>
                  </w:r>
                </w:p>
              </w:tc>
              <w:tc>
                <w:tcPr>
                  <w:tcW w:w="264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lang w:val="en-US" w:eastAsia="zh-CN"/>
                    </w:rPr>
                    <w:t>建设完善集中排水、供热、供水等基础设施。尽快实施化工片区化工企业污水管网“一企一管”改造，加快推进开发区污水管网全覆盖，适时新建化工污水处理厂和新材料园区污水处理厂，确保企业外排废水全部有效收集处理，区域污水处理厂出水执行化学需氧量、氨氮、总磷因子出水执行《地表水环境质量标准》(GB3838-2002)IV类标准，其他因子执行《城镇污水处理厂污染物排放标准》(GB18918-2002)一级A标准；加强中水回用，进一步提</w:t>
                  </w:r>
                  <w:r>
                    <w:rPr>
                      <w:rFonts w:hint="default" w:ascii="Times New Roman" w:hAnsi="Times New Roman" w:eastAsia="宋体" w:cs="Times New Roman"/>
                      <w:b/>
                      <w:bCs w:val="0"/>
                      <w:color w:val="auto"/>
                      <w:sz w:val="21"/>
                      <w:szCs w:val="21"/>
                      <w:u w:val="single"/>
                    </w:rPr>
                    <w:t>高区域燃煤电厂及工业企业的中水使用量，最大程度减少废水排放，减少对纳污水体的影响；园区固废应有安全可行的处理处置措施，不得随意弃置，危险固废严格按照有关规定收集、贮存、转运、处置，确保100%安全处置。</w:t>
                  </w:r>
                </w:p>
              </w:tc>
              <w:tc>
                <w:tcPr>
                  <w:tcW w:w="162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bCs w:val="0"/>
                      <w:color w:val="auto"/>
                      <w:sz w:val="21"/>
                      <w:szCs w:val="21"/>
                      <w:u w:val="single"/>
                      <w:lang w:val="en-US" w:eastAsia="zh-CN"/>
                    </w:rPr>
                  </w:pPr>
                  <w:r>
                    <w:rPr>
                      <w:rFonts w:hint="eastAsia" w:ascii="Times New Roman" w:hAnsi="Times New Roman" w:cs="Times New Roman"/>
                      <w:b/>
                      <w:bCs w:val="0"/>
                      <w:color w:val="auto"/>
                      <w:sz w:val="21"/>
                      <w:szCs w:val="21"/>
                      <w:u w:val="single"/>
                      <w:lang w:val="en-US" w:eastAsia="zh-CN"/>
                    </w:rPr>
                    <w:t>本项目供电、排水均依托现有工程</w:t>
                  </w:r>
                </w:p>
              </w:tc>
              <w:tc>
                <w:tcPr>
                  <w:tcW w:w="451"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30" w:hRule="atLeast"/>
              </w:trPr>
              <w:tc>
                <w:tcPr>
                  <w:tcW w:w="27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建立健全生态环境监管体系</w:t>
                  </w:r>
                </w:p>
              </w:tc>
              <w:tc>
                <w:tcPr>
                  <w:tcW w:w="264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统筹园区内污染防治、生态恢复与建设、环境风险防范、环境管理等事宜，建立健全园区环境监督管理、区域环境风险防范体系和联防联控机制，加快环境风险预警体系建设，建立有效的拦截、降污、导流等措施，在化工污水处理厂建设公共事故应急池，并在大治沟和运粮河上设置拦水坝，切实防范事故废水进入外环境；加强环境应急保障体系建设，不断完善各类突发环境事件应急预案，有计划地组织应急培训和演练，全面提升园区环境风险防控和应急响应能力，保障区域环境安全；建立完善包括环境空气、地表水、地下水、土壤、底泥等环境要素的监控体系和挥发性有机物控制管控体系，健全大气污染物自动监测体系，做好长期跟踪监测与管理，并根据监测评估结果适时优化调整园区发展规划。</w:t>
                  </w:r>
                </w:p>
              </w:tc>
              <w:tc>
                <w:tcPr>
                  <w:tcW w:w="162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default" w:ascii="Times New Roman" w:hAnsi="Times New Roman" w:eastAsia="宋体" w:cs="Times New Roman"/>
                      <w:b/>
                      <w:bCs w:val="0"/>
                      <w:color w:val="auto"/>
                      <w:sz w:val="21"/>
                      <w:szCs w:val="21"/>
                      <w:u w:val="single"/>
                      <w:lang w:val="en-US" w:eastAsia="zh-CN"/>
                    </w:rPr>
                  </w:pPr>
                  <w:r>
                    <w:rPr>
                      <w:rFonts w:hint="eastAsia" w:ascii="Times New Roman" w:hAnsi="Times New Roman" w:cs="Times New Roman"/>
                      <w:b/>
                      <w:bCs w:val="0"/>
                      <w:color w:val="auto"/>
                      <w:sz w:val="21"/>
                      <w:szCs w:val="21"/>
                      <w:u w:val="single"/>
                      <w:lang w:val="en-US" w:eastAsia="zh-CN"/>
                    </w:rPr>
                    <w:t>本项目完成后，需完善厂区应急预案</w:t>
                  </w:r>
                </w:p>
              </w:tc>
              <w:tc>
                <w:tcPr>
                  <w:tcW w:w="451"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宋体" w:cs="Times New Roman"/>
                      <w:b/>
                      <w:bCs w:val="0"/>
                      <w:color w:val="auto"/>
                      <w:sz w:val="21"/>
                      <w:szCs w:val="21"/>
                      <w:u w:val="single"/>
                    </w:rPr>
                  </w:pPr>
                  <w:r>
                    <w:rPr>
                      <w:rFonts w:hint="default" w:ascii="Times New Roman" w:hAnsi="Times New Roman" w:eastAsia="宋体" w:cs="Times New Roman"/>
                      <w:b/>
                      <w:bCs w:val="0"/>
                      <w:color w:val="auto"/>
                      <w:sz w:val="21"/>
                      <w:szCs w:val="21"/>
                      <w:u w:val="single"/>
                    </w:rPr>
                    <w:t>符合</w:t>
                  </w:r>
                </w:p>
              </w:tc>
            </w:tr>
          </w:tbl>
          <w:p>
            <w:pPr>
              <w:pStyle w:val="2"/>
              <w:numPr>
                <w:ilvl w:val="-1"/>
                <w:numId w:val="0"/>
              </w:numPr>
              <w:ind w:left="0" w:firstLine="0"/>
              <w:jc w:val="both"/>
              <w:rPr>
                <w:rFonts w:hint="default" w:ascii="Times New Roman" w:hAnsi="Times New Roman"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其他符合性分析</w:t>
            </w:r>
          </w:p>
        </w:tc>
        <w:tc>
          <w:tcPr>
            <w:tcW w:w="816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（1）产业政策合理性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yellow"/>
                <w:vertAlign w:val="baseline"/>
                <w:lang w:val="en-US" w:eastAsia="zh-CN"/>
              </w:rPr>
            </w:pPr>
            <w:r>
              <w:rPr>
                <w:rFonts w:hint="default" w:ascii="Times New Roman" w:hAnsi="Times New Roman" w:eastAsia="宋体" w:cs="Times New Roman"/>
                <w:color w:val="auto"/>
                <w:sz w:val="24"/>
                <w:szCs w:val="24"/>
                <w:vertAlign w:val="baseline"/>
                <w:lang w:val="en-US" w:eastAsia="zh-CN"/>
              </w:rPr>
              <w:t>经查国家发展和改革委员会发布的《产业结构调整指导目录（20</w:t>
            </w:r>
            <w:r>
              <w:rPr>
                <w:rFonts w:hint="eastAsia" w:ascii="Times New Roman" w:hAnsi="Times New Roman" w:cs="Times New Roman"/>
                <w:color w:val="auto"/>
                <w:sz w:val="24"/>
                <w:szCs w:val="24"/>
                <w:vertAlign w:val="baseline"/>
                <w:lang w:val="en-US" w:eastAsia="zh-CN"/>
              </w:rPr>
              <w:t>24</w:t>
            </w:r>
            <w:r>
              <w:rPr>
                <w:rFonts w:hint="default" w:ascii="Times New Roman" w:hAnsi="Times New Roman" w:eastAsia="宋体" w:cs="Times New Roman"/>
                <w:color w:val="auto"/>
                <w:sz w:val="24"/>
                <w:szCs w:val="24"/>
                <w:vertAlign w:val="baseline"/>
                <w:lang w:val="en-US" w:eastAsia="zh-CN"/>
              </w:rPr>
              <w:t>年本）》，本项目不属于</w:t>
            </w:r>
            <w:r>
              <w:rPr>
                <w:rFonts w:hint="default" w:ascii="Times New Roman" w:hAnsi="Times New Roman" w:cs="Times New Roman"/>
                <w:color w:val="auto"/>
                <w:sz w:val="24"/>
                <w:szCs w:val="24"/>
                <w:vertAlign w:val="baseline"/>
                <w:lang w:val="en-US" w:eastAsia="zh-CN"/>
              </w:rPr>
              <w:t>限制</w:t>
            </w:r>
            <w:r>
              <w:rPr>
                <w:rFonts w:hint="default" w:ascii="Times New Roman" w:hAnsi="Times New Roman" w:eastAsia="宋体" w:cs="Times New Roman"/>
                <w:color w:val="auto"/>
                <w:sz w:val="24"/>
                <w:szCs w:val="24"/>
                <w:vertAlign w:val="baseline"/>
                <w:lang w:val="en-US" w:eastAsia="zh-CN"/>
              </w:rPr>
              <w:t>类、淘汰类，为允许建设项目。河南科源电子铝箔有限公司高压电子铝箔生产技术改造项目已取得永城经济技术开发区经济发展局</w:t>
            </w:r>
            <w:r>
              <w:rPr>
                <w:rFonts w:hint="eastAsia" w:ascii="Times New Roman" w:hAnsi="Times New Roman" w:cs="Times New Roman"/>
                <w:color w:val="auto"/>
                <w:sz w:val="24"/>
                <w:szCs w:val="24"/>
                <w:vertAlign w:val="baseline"/>
                <w:lang w:val="en-US" w:eastAsia="zh-CN"/>
              </w:rPr>
              <w:t>的备案</w:t>
            </w:r>
            <w:r>
              <w:rPr>
                <w:rFonts w:hint="default" w:ascii="Times New Roman" w:hAnsi="Times New Roman" w:eastAsia="宋体" w:cs="Times New Roman"/>
                <w:color w:val="auto"/>
                <w:sz w:val="24"/>
                <w:szCs w:val="24"/>
                <w:highlight w:val="none"/>
                <w:vertAlign w:val="baseline"/>
                <w:lang w:val="en-US" w:eastAsia="zh-CN"/>
              </w:rPr>
              <w:t>（项目代码</w:t>
            </w:r>
            <w:r>
              <w:rPr>
                <w:rFonts w:hint="eastAsia" w:ascii="Times New Roman" w:hAnsi="Times New Roman" w:cs="Times New Roman"/>
                <w:color w:val="auto"/>
                <w:sz w:val="24"/>
                <w:szCs w:val="24"/>
                <w:vertAlign w:val="baseline"/>
                <w:lang w:val="en-US" w:eastAsia="zh-CN"/>
              </w:rPr>
              <w:t>2311-411481-04-02-781087</w:t>
            </w:r>
            <w:r>
              <w:rPr>
                <w:rFonts w:hint="default" w:ascii="Times New Roman" w:hAnsi="Times New Roman" w:eastAsia="宋体" w:cs="Times New Roman"/>
                <w:color w:val="auto"/>
                <w:sz w:val="24"/>
                <w:szCs w:val="24"/>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（2）</w:t>
            </w:r>
            <w:r>
              <w:rPr>
                <w:rFonts w:hint="default" w:ascii="Times New Roman" w:hAnsi="Times New Roman" w:eastAsia="宋体" w:cs="Times New Roman"/>
                <w:b/>
                <w:bCs/>
                <w:color w:val="auto"/>
                <w:sz w:val="24"/>
                <w:szCs w:val="24"/>
                <w:u w:val="none"/>
                <w:vertAlign w:val="baseline"/>
                <w:lang w:val="en-US" w:eastAsia="zh-CN"/>
              </w:rPr>
              <w:t>本项目</w:t>
            </w:r>
            <w:r>
              <w:rPr>
                <w:rFonts w:hint="eastAsia" w:ascii="Times New Roman" w:hAnsi="Times New Roman"/>
                <w:b/>
                <w:bCs/>
                <w:color w:val="000000" w:themeColor="text1"/>
                <w:sz w:val="24"/>
                <w:highlight w:val="none"/>
                <w:lang w:val="en-US" w:eastAsia="zh-CN"/>
                <w14:textFill>
                  <w14:solidFill>
                    <w14:schemeClr w14:val="tx1"/>
                  </w14:solidFill>
                </w14:textFill>
              </w:rPr>
              <w:t>与</w:t>
            </w:r>
            <w:r>
              <w:rPr>
                <w:rFonts w:ascii="Times New Roman" w:hAnsi="Times New Roman"/>
                <w:b/>
                <w:bCs/>
                <w:color w:val="000000" w:themeColor="text1"/>
                <w:sz w:val="24"/>
                <w:highlight w:val="none"/>
                <w14:textFill>
                  <w14:solidFill>
                    <w14:schemeClr w14:val="tx1"/>
                  </w14:solidFill>
                </w14:textFill>
              </w:rPr>
              <w:t>《商丘市生态环境准入清单（试行）</w:t>
            </w:r>
            <w:r>
              <w:rPr>
                <w:rFonts w:hint="default" w:ascii="Times New Roman" w:hAnsi="Times New Roman" w:eastAsia="宋体" w:cs="Times New Roman"/>
                <w:b/>
                <w:bCs/>
                <w:color w:val="auto"/>
                <w:sz w:val="24"/>
                <w:szCs w:val="24"/>
                <w:highlight w:val="none"/>
                <w:u w:val="none"/>
                <w:vertAlign w:val="baseline"/>
                <w:lang w:val="en-US" w:eastAsia="zh-CN"/>
              </w:rPr>
              <w:t>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①与生态红线符合性分析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本项目位于</w:t>
            </w:r>
            <w:r>
              <w:rPr>
                <w:rFonts w:hint="default" w:ascii="Times New Roman" w:hAnsi="Times New Roman" w:eastAsia="宋体" w:cs="Times New Roman"/>
                <w:color w:val="auto"/>
                <w:sz w:val="24"/>
                <w:szCs w:val="24"/>
                <w:vertAlign w:val="baseline"/>
                <w:lang w:val="en-US" w:eastAsia="zh-CN"/>
              </w:rPr>
              <w:t>永城市</w:t>
            </w:r>
            <w:r>
              <w:rPr>
                <w:rFonts w:hint="eastAsia" w:ascii="Times New Roman" w:hAnsi="Times New Roman" w:cs="Times New Roman"/>
                <w:color w:val="auto"/>
                <w:sz w:val="24"/>
                <w:szCs w:val="24"/>
                <w:vertAlign w:val="baseline"/>
                <w:lang w:val="en-US" w:eastAsia="zh-CN"/>
              </w:rPr>
              <w:t>经济技术开发区</w:t>
            </w:r>
            <w:r>
              <w:rPr>
                <w:rFonts w:hint="default" w:ascii="Times New Roman" w:hAnsi="Times New Roman" w:eastAsia="宋体" w:cs="Times New Roman"/>
                <w:b w:val="0"/>
                <w:bCs w:val="0"/>
                <w:color w:val="auto"/>
                <w:sz w:val="24"/>
                <w:szCs w:val="24"/>
                <w:u w:val="none"/>
                <w:vertAlign w:val="baseline"/>
                <w:lang w:val="en-US" w:eastAsia="zh-CN"/>
              </w:rPr>
              <w:t>，不属于永城市拟定的生态红线范围内。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②与资源利用上线符合性分析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highlight w:val="none"/>
                <w:u w:val="none"/>
                <w:vertAlign w:val="baseline"/>
                <w:lang w:val="en-US" w:eastAsia="zh-CN"/>
              </w:rPr>
              <w:t>本项目为</w:t>
            </w:r>
            <w:r>
              <w:rPr>
                <w:rFonts w:hint="default" w:ascii="Times New Roman" w:hAnsi="Times New Roman" w:cs="Times New Roman"/>
                <w:color w:val="auto"/>
                <w:sz w:val="24"/>
                <w:szCs w:val="24"/>
                <w:highlight w:val="none"/>
                <w:lang w:val="en-US" w:eastAsia="zh-CN"/>
              </w:rPr>
              <w:t>铝压延加工</w:t>
            </w:r>
            <w:r>
              <w:rPr>
                <w:rFonts w:hint="default" w:ascii="Times New Roman" w:hAnsi="Times New Roman" w:eastAsia="宋体" w:cs="Times New Roman"/>
                <w:b w:val="0"/>
                <w:bCs w:val="0"/>
                <w:color w:val="auto"/>
                <w:sz w:val="24"/>
                <w:szCs w:val="24"/>
                <w:highlight w:val="none"/>
                <w:u w:val="none"/>
                <w:vertAlign w:val="baseline"/>
                <w:lang w:val="en-US" w:eastAsia="zh-CN"/>
              </w:rPr>
              <w:t>项目</w:t>
            </w:r>
            <w:r>
              <w:rPr>
                <w:rFonts w:hint="default" w:ascii="Times New Roman" w:hAnsi="Times New Roman" w:cs="Times New Roman"/>
                <w:b w:val="0"/>
                <w:bCs w:val="0"/>
                <w:color w:val="auto"/>
                <w:sz w:val="24"/>
                <w:szCs w:val="24"/>
                <w:highlight w:val="none"/>
                <w:u w:val="none"/>
                <w:vertAlign w:val="baseline"/>
                <w:lang w:val="en-US" w:eastAsia="zh-CN"/>
              </w:rPr>
              <w:t>，该产品属于电子专用材料</w:t>
            </w:r>
            <w:r>
              <w:rPr>
                <w:rFonts w:hint="default" w:ascii="Times New Roman" w:hAnsi="Times New Roman" w:eastAsia="宋体" w:cs="Times New Roman"/>
                <w:b w:val="0"/>
                <w:bCs w:val="0"/>
                <w:color w:val="auto"/>
                <w:sz w:val="24"/>
                <w:szCs w:val="24"/>
                <w:highlight w:val="none"/>
                <w:u w:val="none"/>
                <w:vertAlign w:val="baseline"/>
                <w:lang w:val="en-US" w:eastAsia="zh-CN"/>
              </w:rPr>
              <w:t>，项目营运</w:t>
            </w:r>
            <w:r>
              <w:rPr>
                <w:rFonts w:hint="default" w:ascii="Times New Roman" w:hAnsi="Times New Roman" w:eastAsia="宋体" w:cs="Times New Roman"/>
                <w:b w:val="0"/>
                <w:bCs w:val="0"/>
                <w:color w:val="auto"/>
                <w:sz w:val="24"/>
                <w:szCs w:val="24"/>
                <w:u w:val="none"/>
                <w:vertAlign w:val="baseline"/>
                <w:lang w:val="en-US" w:eastAsia="zh-CN"/>
              </w:rPr>
              <w:t>期会消耗一定量的水、电等能源，项目资源消耗相对区域资源利用总量较少，符合资源利用上限要求。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③与环境质量底线符合性分析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本项目位于永城市境内，根据项目区域环境质量现状调查，项目所在区域大气环境、声环境、地表水环境质量监测结果显示，项目区域大气环境、声环境、水环境均符合相应类别要求，有一定环境容量，能够接纳本项目产生的污染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④环境准入负面清单符合性分析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本项目属于</w:t>
            </w:r>
            <w:r>
              <w:rPr>
                <w:rFonts w:hint="default" w:ascii="Times New Roman" w:hAnsi="Times New Roman" w:cs="Times New Roman"/>
                <w:color w:val="auto"/>
                <w:sz w:val="24"/>
                <w:szCs w:val="24"/>
                <w:highlight w:val="none"/>
                <w:lang w:val="en-US" w:eastAsia="zh-CN"/>
              </w:rPr>
              <w:t>铝压延加工</w:t>
            </w:r>
            <w:r>
              <w:rPr>
                <w:rFonts w:hint="default" w:ascii="Times New Roman" w:hAnsi="Times New Roman" w:eastAsia="宋体" w:cs="Times New Roman"/>
                <w:b w:val="0"/>
                <w:bCs w:val="0"/>
                <w:color w:val="auto"/>
                <w:sz w:val="24"/>
                <w:szCs w:val="24"/>
                <w:u w:val="none"/>
                <w:vertAlign w:val="baseline"/>
                <w:lang w:val="en-US" w:eastAsia="zh-CN"/>
              </w:rPr>
              <w:t>项目，项目符合国家当前产业政策，项目不处于永城市拟定的生态红线范围内，有一定的环境容量。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24"/>
                <w:highlight w:val="none"/>
                <w:u w:val="single"/>
                <w:lang w:val="en-US" w:eastAsia="zh-CN"/>
              </w:rPr>
            </w:pPr>
            <w:r>
              <w:rPr>
                <w:rFonts w:hint="eastAsia" w:ascii="Times New Roman" w:hAnsi="Times New Roman" w:cs="Times New Roman"/>
                <w:b/>
                <w:bCs/>
                <w:color w:val="auto"/>
                <w:sz w:val="24"/>
                <w:szCs w:val="24"/>
                <w:u w:val="single"/>
                <w:vertAlign w:val="baseline"/>
                <w:lang w:val="en-US" w:eastAsia="zh-CN"/>
              </w:rPr>
              <w:t>根据河南省三线一单综合信息应用平台研判分析报告，</w:t>
            </w:r>
            <w:r>
              <w:rPr>
                <w:rFonts w:hint="default" w:ascii="Times New Roman" w:hAnsi="Times New Roman" w:cs="Times New Roman"/>
                <w:b/>
                <w:bCs/>
                <w:color w:val="auto"/>
                <w:sz w:val="24"/>
                <w:szCs w:val="24"/>
                <w:highlight w:val="none"/>
                <w:u w:val="single"/>
                <w:lang w:val="en-US" w:eastAsia="zh-CN"/>
              </w:rPr>
              <w:t>经研判，初步判定该项目无空间冲突。</w:t>
            </w:r>
            <w:r>
              <w:rPr>
                <w:rFonts w:hint="eastAsia" w:ascii="Times New Roman" w:hAnsi="Times New Roman" w:cs="Times New Roman"/>
                <w:b/>
                <w:bCs/>
                <w:color w:val="auto"/>
                <w:sz w:val="24"/>
                <w:szCs w:val="24"/>
                <w:highlight w:val="none"/>
                <w:u w:val="single"/>
                <w:lang w:val="en-US" w:eastAsia="zh-CN"/>
              </w:rPr>
              <w:t>具体内容详见附件7。</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24"/>
                <w:highlight w:val="none"/>
                <w:u w:val="single"/>
                <w:vertAlign w:val="baseline"/>
                <w:lang w:val="en-US" w:eastAsia="zh-CN"/>
              </w:rPr>
            </w:pPr>
            <w:r>
              <w:rPr>
                <w:rFonts w:hint="eastAsia" w:ascii="Times New Roman" w:hAnsi="Times New Roman" w:cs="Times New Roman"/>
                <w:b/>
                <w:bCs/>
                <w:color w:val="auto"/>
                <w:sz w:val="24"/>
                <w:szCs w:val="24"/>
                <w:u w:val="single"/>
                <w:vertAlign w:val="baseline"/>
                <w:lang w:val="en-US" w:eastAsia="zh-CN"/>
              </w:rPr>
              <w:t>根据商丘市生态环境局关于商丘市生态环境准入清单动态更新成果的公告</w:t>
            </w:r>
            <w:r>
              <w:rPr>
                <w:rFonts w:hint="default" w:ascii="Times New Roman" w:hAnsi="Times New Roman" w:eastAsia="宋体" w:cs="Times New Roman"/>
                <w:b/>
                <w:bCs/>
                <w:color w:val="auto"/>
                <w:sz w:val="24"/>
                <w:szCs w:val="24"/>
                <w:u w:val="single"/>
                <w:vertAlign w:val="baseline"/>
                <w:lang w:val="en-US" w:eastAsia="zh-CN"/>
              </w:rPr>
              <w:t>，提出</w:t>
            </w:r>
            <w:r>
              <w:rPr>
                <w:rFonts w:hint="eastAsia" w:ascii="Times New Roman" w:hAnsi="Times New Roman" w:cs="Times New Roman"/>
                <w:b/>
                <w:bCs/>
                <w:color w:val="auto"/>
                <w:sz w:val="24"/>
                <w:szCs w:val="24"/>
                <w:u w:val="single"/>
                <w:vertAlign w:val="baseline"/>
                <w:lang w:val="en-US" w:eastAsia="zh-CN"/>
              </w:rPr>
              <w:t>了</w:t>
            </w:r>
            <w:r>
              <w:rPr>
                <w:rFonts w:hint="default" w:ascii="Times New Roman" w:hAnsi="Times New Roman" w:eastAsia="宋体" w:cs="Times New Roman"/>
                <w:b/>
                <w:bCs/>
                <w:color w:val="auto"/>
                <w:sz w:val="24"/>
                <w:szCs w:val="24"/>
                <w:u w:val="single"/>
                <w:vertAlign w:val="baseline"/>
                <w:lang w:val="en-US" w:eastAsia="zh-CN"/>
              </w:rPr>
              <w:t>开发区重点管控单元环境准入要求</w:t>
            </w:r>
            <w:r>
              <w:rPr>
                <w:rFonts w:hint="default" w:ascii="Times New Roman" w:hAnsi="Times New Roman" w:eastAsia="宋体" w:cs="Times New Roman"/>
                <w:b/>
                <w:bCs/>
                <w:color w:val="auto"/>
                <w:sz w:val="24"/>
                <w:szCs w:val="24"/>
                <w:highlight w:val="none"/>
                <w:u w:val="single"/>
                <w:vertAlign w:val="baseline"/>
                <w:lang w:val="en-US" w:eastAsia="zh-CN"/>
              </w:rPr>
              <w:t>，管控要求具体如下表</w:t>
            </w:r>
            <w:r>
              <w:rPr>
                <w:rFonts w:hint="default" w:ascii="Times New Roman" w:hAnsi="Times New Roman" w:cs="Times New Roman"/>
                <w:b/>
                <w:bCs/>
                <w:color w:val="auto"/>
                <w:sz w:val="24"/>
                <w:szCs w:val="24"/>
                <w:highlight w:val="none"/>
                <w:u w:val="single"/>
                <w:vertAlign w:val="baseline"/>
                <w:lang w:val="en-US" w:eastAsia="zh-CN"/>
              </w:rPr>
              <w:t>。</w:t>
            </w:r>
          </w:p>
          <w:p>
            <w:pPr>
              <w:pStyle w:val="2"/>
              <w:bidi w:val="0"/>
              <w:spacing w:line="240" w:lineRule="auto"/>
              <w:rPr>
                <w:rFonts w:hint="default" w:ascii="Times New Roman" w:hAnsi="Times New Roman" w:cs="Times New Roman"/>
                <w:b/>
                <w:bCs w:val="0"/>
                <w:color w:val="auto"/>
                <w:sz w:val="24"/>
                <w:szCs w:val="24"/>
                <w:u w:val="single"/>
                <w:lang w:val="en-US" w:eastAsia="zh-CN"/>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b/>
                <w:bCs w:val="0"/>
                <w:color w:val="auto"/>
                <w:sz w:val="24"/>
                <w:szCs w:val="24"/>
                <w:u w:val="single"/>
                <w:lang w:val="en-US" w:eastAsia="zh-CN"/>
              </w:rPr>
              <w:t xml:space="preserve"> 与永城市经济技术开发区重点管控区域环境管控单元生态环境准入清单相符性分析</w:t>
            </w:r>
          </w:p>
          <w:tbl>
            <w:tblPr>
              <w:tblStyle w:val="58"/>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79"/>
              <w:gridCol w:w="822"/>
              <w:gridCol w:w="5127"/>
              <w:gridCol w:w="1314"/>
              <w:gridCol w:w="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pct"/>
                <w:trHeight w:val="340" w:hRule="atLeast"/>
              </w:trPr>
              <w:tc>
                <w:tcPr>
                  <w:tcW w:w="369" w:type="pct"/>
                  <w:tcBorders>
                    <w:left w:val="single" w:color="auto" w:sz="4" w:space="0"/>
                    <w:tl2br w:val="nil"/>
                    <w:tr2bl w:val="nil"/>
                  </w:tcBorders>
                  <w:vAlign w:val="center"/>
                </w:tcPr>
                <w:p>
                  <w:pPr>
                    <w:bidi w:val="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区域类型</w:t>
                  </w:r>
                </w:p>
              </w:tc>
              <w:tc>
                <w:tcPr>
                  <w:tcW w:w="524" w:type="pct"/>
                  <w:tcBorders>
                    <w:tl2br w:val="nil"/>
                    <w:tr2bl w:val="nil"/>
                  </w:tcBorders>
                  <w:vAlign w:val="center"/>
                </w:tcPr>
                <w:p>
                  <w:pPr>
                    <w:bidi w:val="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清单类别</w:t>
                  </w:r>
                </w:p>
              </w:tc>
              <w:tc>
                <w:tcPr>
                  <w:tcW w:w="3267" w:type="pct"/>
                  <w:tcBorders>
                    <w:tl2br w:val="nil"/>
                    <w:tr2bl w:val="nil"/>
                  </w:tcBorders>
                  <w:vAlign w:val="center"/>
                </w:tcPr>
                <w:p>
                  <w:pPr>
                    <w:bidi w:val="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环境准入清单</w:t>
                  </w:r>
                </w:p>
              </w:tc>
              <w:tc>
                <w:tcPr>
                  <w:tcW w:w="837" w:type="pct"/>
                  <w:tcBorders>
                    <w:tl2br w:val="nil"/>
                    <w:tr2bl w:val="nil"/>
                  </w:tcBorders>
                  <w:vAlign w:val="center"/>
                </w:tcPr>
                <w:p>
                  <w:pPr>
                    <w:bidi w:val="0"/>
                    <w:jc w:val="center"/>
                    <w:rPr>
                      <w:rFonts w:hint="default" w:ascii="Times New Roman" w:hAnsi="Times New Roman" w:cs="Times New Roman"/>
                      <w:b/>
                      <w:bCs w:val="0"/>
                      <w:sz w:val="21"/>
                      <w:szCs w:val="21"/>
                      <w:u w:val="single"/>
                      <w:lang w:val="en-US" w:eastAsia="zh-CN"/>
                    </w:rPr>
                  </w:pPr>
                  <w:r>
                    <w:rPr>
                      <w:rFonts w:hint="default" w:ascii="Times New Roman" w:hAnsi="Times New Roman" w:cs="Times New Roman"/>
                      <w:b/>
                      <w:bCs w:val="0"/>
                      <w:sz w:val="21"/>
                      <w:szCs w:val="21"/>
                      <w:u w:val="single"/>
                      <w:lang w:val="en-US" w:eastAsia="zh-CN"/>
                    </w:rPr>
                    <w:t>本项目情况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69" w:type="pct"/>
                  <w:vMerge w:val="restart"/>
                  <w:tcBorders>
                    <w:top w:val="single" w:color="auto" w:sz="4" w:space="0"/>
                    <w:left w:val="single" w:color="auto" w:sz="4" w:space="0"/>
                    <w:tl2br w:val="nil"/>
                    <w:tr2bl w:val="nil"/>
                  </w:tcBorders>
                  <w:vAlign w:val="center"/>
                </w:tcPr>
                <w:p>
                  <w:pPr>
                    <w:bidi w:val="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重点</w:t>
                  </w:r>
                </w:p>
                <w:p>
                  <w:pPr>
                    <w:bidi w:val="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管控区</w:t>
                  </w:r>
                </w:p>
              </w:tc>
              <w:tc>
                <w:tcPr>
                  <w:tcW w:w="524" w:type="pct"/>
                  <w:tcBorders>
                    <w:top w:val="single" w:color="auto" w:sz="4" w:space="0"/>
                    <w:tl2br w:val="nil"/>
                    <w:tr2bl w:val="nil"/>
                  </w:tcBorders>
                  <w:vAlign w:val="center"/>
                </w:tcPr>
                <w:p>
                  <w:pPr>
                    <w:bidi w:val="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空间布局约束</w:t>
                  </w:r>
                </w:p>
              </w:tc>
              <w:tc>
                <w:tcPr>
                  <w:tcW w:w="3267" w:type="pct"/>
                  <w:tcBorders>
                    <w:top w:val="single" w:color="auto" w:sz="4" w:space="0"/>
                    <w:tl2br w:val="nil"/>
                    <w:tr2bl w:val="nil"/>
                  </w:tcBorders>
                  <w:vAlign w:val="center"/>
                </w:tcPr>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1.禁止不符合规划或规划环评要求的项目入驻。从严从紧从实控制高耗能、高排放项目建设，加大钢铁、烧结砖瓦、电解铝等行业落后产能淘汰和过剩产能压减力度。原则上禁止新增钢铁、电解铝、氧化铝、水泥熟料、平板玻璃（光伏压延玻璃除外）、传统煤化工（含甲醇）、焦化、铝用炭素、含烧结工序的耐火材料和砖瓦制品等行业产能（符合产能置换的项目除外）。</w:t>
                  </w:r>
                </w:p>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2.新建“两高”项目应符合生态环境保护法律法规和相关法定规划，满足重点污染物排放总量控制、相关规划环评和相应行业建设项目环境准入条件、环评审批原则要求。</w:t>
                  </w:r>
                </w:p>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3.国内外500强企业、国内外行业龙头企业、上市公司、总投资6亿元以上的工业项目，总投资10亿元以上的现代服务业项目以及注册资本2亿元以上的项目、投入强度、产出强度和税收贡献强度高于基本准入条件50%的项目、国家重点扶持的高新技术企业，或拥有关键技术知识产权的发明专利项目、传统产业整合提升项目、对提升区域竞争力、影响力、吸引力和开放度作用明显的项目、与开发区现有产业形成产业链上下游配套的项目、解决“卡脖子”和进口替代问题的补短板项目优先准入。</w:t>
                  </w:r>
                </w:p>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4.现代煤化工行业“单系列制烯烃装置年生产能力在50万吨及以上，整体能效高于44%，单位烯烃产品耗新鲜水小于16吨；煤制乙二醇装置年生产能力在20万吨及以上，单位乙二醇产品综合能耗低于2.4吨标煤耗新鲜水小于10吨。</w:t>
                  </w:r>
                </w:p>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5.园区铸造行业准入根据《工业和信息化部等三部委关于推动铸造和锻压行业高质量发展的指导意见》（工信部联通装[2023]40号），铸造项目应严格执行节能、环保、质量、安全技术等相关法律法规标准和《产业结构调整指导目录》等政策，禁止采用无芯工频感应电炉、无磁轭(≥0.25吨）铝壳中频感应电炉、水玻璃熔模精密铸造氯化铵硬化模壳、铝合金六氯乙烷精炼等淘汰类工艺和装备，严格落实主要污染物排放总量控制、能源消耗总量和强度调控制度。</w:t>
                  </w:r>
                </w:p>
              </w:tc>
              <w:tc>
                <w:tcPr>
                  <w:tcW w:w="838" w:type="pct"/>
                  <w:gridSpan w:val="2"/>
                  <w:tcBorders>
                    <w:tl2br w:val="nil"/>
                    <w:tr2bl w:val="nil"/>
                  </w:tcBorders>
                  <w:vAlign w:val="center"/>
                </w:tcPr>
                <w:p>
                  <w:pPr>
                    <w:bidi w:val="0"/>
                    <w:jc w:val="center"/>
                    <w:rPr>
                      <w:rFonts w:hint="default" w:ascii="Times New Roman" w:hAnsi="Times New Roman" w:eastAsia="宋体" w:cs="Times New Roman"/>
                      <w:b/>
                      <w:bCs w:val="0"/>
                      <w:sz w:val="21"/>
                      <w:szCs w:val="21"/>
                      <w:u w:val="single"/>
                      <w:lang w:val="en-US" w:eastAsia="zh-CN"/>
                    </w:rPr>
                  </w:pPr>
                  <w:r>
                    <w:rPr>
                      <w:rFonts w:hint="eastAsia" w:ascii="Times New Roman" w:hAnsi="Times New Roman" w:cs="Times New Roman"/>
                      <w:b/>
                      <w:bCs w:val="0"/>
                      <w:color w:val="auto"/>
                      <w:sz w:val="21"/>
                      <w:szCs w:val="21"/>
                      <w:u w:val="single"/>
                      <w:lang w:val="en-US" w:eastAsia="zh-CN"/>
                    </w:rPr>
                    <w:t>1、</w:t>
                  </w:r>
                  <w:r>
                    <w:rPr>
                      <w:rFonts w:hint="default" w:ascii="Times New Roman" w:hAnsi="Times New Roman" w:eastAsia="宋体" w:cs="Times New Roman"/>
                      <w:b/>
                      <w:bCs w:val="0"/>
                      <w:color w:val="auto"/>
                      <w:sz w:val="21"/>
                      <w:szCs w:val="21"/>
                      <w:u w:val="single"/>
                    </w:rPr>
                    <w:t>本项目为铝精深加工行业项目</w:t>
                  </w:r>
                  <w:r>
                    <w:rPr>
                      <w:rFonts w:hint="eastAsia" w:ascii="Times New Roman" w:hAnsi="Times New Roman" w:cs="Times New Roman"/>
                      <w:b/>
                      <w:bCs w:val="0"/>
                      <w:color w:val="auto"/>
                      <w:sz w:val="21"/>
                      <w:szCs w:val="21"/>
                      <w:u w:val="single"/>
                      <w:lang w:eastAsia="zh-CN"/>
                    </w:rPr>
                    <w:t>，</w:t>
                  </w:r>
                  <w:r>
                    <w:rPr>
                      <w:rFonts w:hint="eastAsia" w:ascii="Times New Roman" w:hAnsi="Times New Roman" w:cs="Times New Roman"/>
                      <w:b/>
                      <w:bCs w:val="0"/>
                      <w:color w:val="auto"/>
                      <w:sz w:val="21"/>
                      <w:szCs w:val="21"/>
                      <w:u w:val="single"/>
                      <w:lang w:val="en-US" w:eastAsia="zh-CN"/>
                    </w:rPr>
                    <w:t>符合规划环评要求；2、本项目不属于两高项目；3、本项目为技改项目，不涉及；4、5、本项目不属于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69" w:type="pct"/>
                  <w:vMerge w:val="continue"/>
                  <w:tcBorders>
                    <w:left w:val="single" w:color="auto" w:sz="4" w:space="0"/>
                    <w:tl2br w:val="nil"/>
                    <w:tr2bl w:val="nil"/>
                  </w:tcBorders>
                  <w:vAlign w:val="center"/>
                </w:tcPr>
                <w:p>
                  <w:pPr>
                    <w:bidi w:val="0"/>
                    <w:jc w:val="center"/>
                    <w:rPr>
                      <w:rFonts w:hint="default" w:ascii="Times New Roman" w:hAnsi="Times New Roman" w:cs="Times New Roman"/>
                      <w:b/>
                      <w:bCs w:val="0"/>
                      <w:sz w:val="21"/>
                      <w:szCs w:val="21"/>
                      <w:u w:val="single"/>
                    </w:rPr>
                  </w:pPr>
                </w:p>
              </w:tc>
              <w:tc>
                <w:tcPr>
                  <w:tcW w:w="524" w:type="pct"/>
                  <w:tcBorders>
                    <w:tl2br w:val="nil"/>
                    <w:tr2bl w:val="nil"/>
                  </w:tcBorders>
                  <w:vAlign w:val="center"/>
                </w:tcPr>
                <w:p>
                  <w:pPr>
                    <w:bidi w:val="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污染物排放管控</w:t>
                  </w:r>
                </w:p>
              </w:tc>
              <w:tc>
                <w:tcPr>
                  <w:tcW w:w="3267" w:type="pct"/>
                  <w:tcBorders>
                    <w:tl2br w:val="nil"/>
                    <w:tr2bl w:val="nil"/>
                  </w:tcBorders>
                  <w:vAlign w:val="center"/>
                </w:tcPr>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1.入驻项目需按照相关要求配套建设相应的污染防治措施，确保达标排放；对于区域不达标的污染物，应优先考虑治理效果，结合区域环境质量改善目标、替代源削减方案实施情况，确保达到最低排放强度和排放浓度。</w:t>
                  </w:r>
                </w:p>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2.新建、扩建“两高”项目应满足重点污染物总量控制、污染物区域削减替代要求，须采用先进的工艺技术和装备，单位产品能耗、物耗、水耗等清洁生产水平和污染物排放强度应达到清洁生产先进水平，国家或地方已出台超低排放要求的“两高”行业建设项目应满足超低排放要求。大宗物料中长距离运输优先采用铁路、管道或水路运输，短途接驳优先使用新能源车辆。</w:t>
                  </w:r>
                </w:p>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3.加快城市建成区的重点污染企业退城搬迁。强化企业搬迁改造安全环保管理，加强腾退土地用途管制、土壤污染风险管控和修复。</w:t>
                  </w:r>
                </w:p>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4.新建涉及VOCs的项目，需满足总量控制要求，实行排放量替代，有色金属冶炼建设项目污染物全面执行国家大气污染物特别排放限值，涉重金属重点行业建设项目应遵循重点重金属污染物排放“减量替代”。</w:t>
                  </w:r>
                </w:p>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5.开发区内企业废水实现全收集、全处理。排入集聚区集中污水处理厂的企业废水执行国家、我省行业间接排放标准并符合污水处理厂的收水要求。集中污水处理厂扩建工程设计出水标准达到或优于《城镇污水处理厂污染物排放标准》（GB18918-2002）一级A标准设计。</w:t>
                  </w:r>
                </w:p>
              </w:tc>
              <w:tc>
                <w:tcPr>
                  <w:tcW w:w="838" w:type="pct"/>
                  <w:gridSpan w:val="2"/>
                  <w:tcBorders>
                    <w:tl2br w:val="nil"/>
                    <w:tr2bl w:val="nil"/>
                  </w:tcBorders>
                  <w:vAlign w:val="center"/>
                </w:tcPr>
                <w:p>
                  <w:pPr>
                    <w:bidi w:val="0"/>
                    <w:jc w:val="center"/>
                    <w:rPr>
                      <w:rFonts w:hint="default" w:ascii="Times New Roman" w:hAnsi="Times New Roman" w:eastAsia="宋体" w:cs="Times New Roman"/>
                      <w:b/>
                      <w:bCs w:val="0"/>
                      <w:sz w:val="21"/>
                      <w:szCs w:val="21"/>
                      <w:u w:val="single"/>
                      <w:lang w:val="en-US" w:eastAsia="zh-CN"/>
                    </w:rPr>
                  </w:pPr>
                  <w:r>
                    <w:rPr>
                      <w:rFonts w:hint="default" w:ascii="Times New Roman" w:hAnsi="Times New Roman" w:eastAsia="宋体" w:cs="Times New Roman"/>
                      <w:b/>
                      <w:bCs w:val="0"/>
                      <w:color w:val="auto"/>
                      <w:sz w:val="21"/>
                      <w:szCs w:val="21"/>
                      <w:u w:val="single"/>
                    </w:rPr>
                    <w:t>项目从源头减少废气排放，并采取末端治理技术，废气经治理后，均能实现达标排放</w:t>
                  </w:r>
                  <w:r>
                    <w:rPr>
                      <w:rFonts w:hint="eastAsia" w:ascii="Times New Roman" w:hAnsi="Times New Roman" w:cs="Times New Roman"/>
                      <w:b/>
                      <w:bCs w:val="0"/>
                      <w:color w:val="auto"/>
                      <w:sz w:val="21"/>
                      <w:szCs w:val="21"/>
                      <w:u w:val="single"/>
                      <w:lang w:val="en-US" w:eastAsia="zh-CN"/>
                    </w:rPr>
                    <w:t>2、本项目不属于两高项目；3、本项目位于园区；4、本项目总量；5、本项目废水集中处理；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1" w:hRule="atLeast"/>
              </w:trPr>
              <w:tc>
                <w:tcPr>
                  <w:tcW w:w="369" w:type="pct"/>
                  <w:vMerge w:val="continue"/>
                  <w:tcBorders>
                    <w:left w:val="single" w:color="auto" w:sz="4" w:space="0"/>
                    <w:tl2br w:val="nil"/>
                    <w:tr2bl w:val="nil"/>
                  </w:tcBorders>
                  <w:vAlign w:val="center"/>
                </w:tcPr>
                <w:p>
                  <w:pPr>
                    <w:bidi w:val="0"/>
                    <w:jc w:val="center"/>
                    <w:rPr>
                      <w:rFonts w:hint="default" w:ascii="Times New Roman" w:hAnsi="Times New Roman" w:cs="Times New Roman"/>
                      <w:b/>
                      <w:bCs w:val="0"/>
                      <w:sz w:val="21"/>
                      <w:szCs w:val="21"/>
                      <w:u w:val="single"/>
                    </w:rPr>
                  </w:pPr>
                </w:p>
              </w:tc>
              <w:tc>
                <w:tcPr>
                  <w:tcW w:w="524" w:type="pct"/>
                  <w:vMerge w:val="restart"/>
                  <w:tcBorders>
                    <w:tl2br w:val="nil"/>
                    <w:tr2bl w:val="nil"/>
                  </w:tcBorders>
                  <w:vAlign w:val="center"/>
                </w:tcPr>
                <w:p>
                  <w:pPr>
                    <w:bidi w:val="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环境风险防控要求</w:t>
                  </w:r>
                </w:p>
              </w:tc>
              <w:tc>
                <w:tcPr>
                  <w:tcW w:w="3267" w:type="pct"/>
                  <w:tcBorders>
                    <w:tl2br w:val="nil"/>
                    <w:tr2bl w:val="nil"/>
                  </w:tcBorders>
                  <w:vAlign w:val="center"/>
                </w:tcPr>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1.入驻开发区企业应制定环境风险应急预案，落实环境风险防范和应急措施，强化环境风险防范及应急处置能力；涉及硝化、氯化、氟化、重氮化、过氧化等高危工艺装置的上下游配套装置应实现原料处理、反应工序、精馏精制和产品储存（包装）等全流程自动化。危险废物应有安全可行的处理处置措施，不得随意弃置，危险废物严格按照有关规定收集、贮存、转运、处置，确保100%安全处置。</w:t>
                  </w:r>
                </w:p>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2.化工园区应依法开展整体性安全风险评价，并通过专家评审；根据自身规模和产业结构需要，建立完善的安全生产监测监控和风险预警体系，相关监测监控数据应接入地方监测预警系统；化工园区管理机构应至少每5年开展一次整体性安全风险评价，并对实施5年以上的园区规划开展跟踪环境影响评价。建立健全跨市河流上下游突发水污染事件联防联控机制，加强部门应急联动，形成突发水环境应急处理处置合力。</w:t>
                  </w:r>
                </w:p>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3.有色金属冶炼、铅酸蓄电池、石油加工、化工、电镀、制革和危险化学品生产、储存、使用等企业在拆除生产设施设备、污染治理设施时，要事先制定残留污染物清理和安全处置方案。</w:t>
                  </w:r>
                </w:p>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4.持续更新建设用地土壤污染风险管控和修复地块名录，严格准入管理。未依法完成土壤污染状况调查和风险评估的地块，不得开工建设与风险管控和修复无关的项目。</w:t>
                  </w:r>
                </w:p>
              </w:tc>
              <w:tc>
                <w:tcPr>
                  <w:tcW w:w="838" w:type="pct"/>
                  <w:gridSpan w:val="2"/>
                  <w:tcBorders>
                    <w:tl2br w:val="nil"/>
                    <w:tr2bl w:val="nil"/>
                  </w:tcBorders>
                  <w:vAlign w:val="center"/>
                </w:tcPr>
                <w:p>
                  <w:pPr>
                    <w:bidi w:val="0"/>
                    <w:jc w:val="center"/>
                    <w:rPr>
                      <w:rFonts w:hint="default" w:ascii="Times New Roman" w:hAnsi="Times New Roman" w:eastAsia="宋体" w:cs="Times New Roman"/>
                      <w:b/>
                      <w:bCs w:val="0"/>
                      <w:sz w:val="21"/>
                      <w:szCs w:val="21"/>
                      <w:u w:val="single"/>
                      <w:lang w:val="en-US" w:eastAsia="zh-CN"/>
                    </w:rPr>
                  </w:pPr>
                  <w:r>
                    <w:rPr>
                      <w:rFonts w:hint="eastAsia" w:ascii="Times New Roman" w:hAnsi="Times New Roman" w:cs="Times New Roman"/>
                      <w:b/>
                      <w:bCs w:val="0"/>
                      <w:sz w:val="21"/>
                      <w:szCs w:val="21"/>
                      <w:u w:val="single"/>
                      <w:lang w:val="en-US" w:eastAsia="zh-CN"/>
                    </w:rPr>
                    <w:t>本项目完成后应完善企业应急预案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369" w:type="pct"/>
                  <w:vMerge w:val="continue"/>
                  <w:tcBorders>
                    <w:left w:val="single" w:color="auto" w:sz="4" w:space="0"/>
                    <w:tl2br w:val="nil"/>
                    <w:tr2bl w:val="nil"/>
                  </w:tcBorders>
                  <w:vAlign w:val="center"/>
                </w:tcPr>
                <w:p>
                  <w:pPr>
                    <w:bidi w:val="0"/>
                    <w:jc w:val="center"/>
                    <w:rPr>
                      <w:rFonts w:hint="default" w:ascii="Times New Roman" w:hAnsi="Times New Roman" w:cs="Times New Roman"/>
                      <w:b/>
                      <w:bCs w:val="0"/>
                      <w:sz w:val="21"/>
                      <w:szCs w:val="21"/>
                      <w:u w:val="single"/>
                    </w:rPr>
                  </w:pPr>
                </w:p>
              </w:tc>
              <w:tc>
                <w:tcPr>
                  <w:tcW w:w="524" w:type="pct"/>
                  <w:tcBorders>
                    <w:tl2br w:val="nil"/>
                    <w:tr2bl w:val="nil"/>
                  </w:tcBorders>
                  <w:vAlign w:val="center"/>
                </w:tcPr>
                <w:p>
                  <w:pPr>
                    <w:bidi w:val="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资源利</w:t>
                  </w:r>
                </w:p>
                <w:p>
                  <w:pPr>
                    <w:bidi w:val="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用效率</w:t>
                  </w:r>
                </w:p>
                <w:p>
                  <w:pPr>
                    <w:bidi w:val="0"/>
                    <w:jc w:val="center"/>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要求</w:t>
                  </w:r>
                </w:p>
              </w:tc>
              <w:tc>
                <w:tcPr>
                  <w:tcW w:w="3267" w:type="pct"/>
                  <w:tcBorders>
                    <w:tl2br w:val="nil"/>
                    <w:tr2bl w:val="nil"/>
                  </w:tcBorders>
                  <w:vAlign w:val="center"/>
                </w:tcPr>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1.加快工业节水减排。推广节水工艺和技术，推进工业节水改造。加强高耗水行业节水改造、废水深度处理和达标再利用，实现节水增效。升级改造工业园区，鼓励企业串联用水、分质用水、一水多用、循环利用。</w:t>
                  </w:r>
                </w:p>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2.入驻开发区的“两高”以及钢铁、焦化、煤化工项目能效水平应达到《工业重点领域能效标杆水平和基准水平（2023年版）》（发改产业[2023]723号）、《煤炭清洁高效利用重点领域标杆水平和基准水平（2022年版）》（发改运行[2022]559号）中标杆水平或者行业单位产品能源消耗限额中先进值水平。</w:t>
                  </w:r>
                </w:p>
                <w:p>
                  <w:pPr>
                    <w:bidi w:val="0"/>
                    <w:jc w:val="both"/>
                    <w:rPr>
                      <w:rFonts w:hint="default" w:ascii="Times New Roman" w:hAnsi="Times New Roman" w:cs="Times New Roman"/>
                      <w:b/>
                      <w:bCs w:val="0"/>
                      <w:sz w:val="21"/>
                      <w:szCs w:val="21"/>
                      <w:u w:val="single"/>
                    </w:rPr>
                  </w:pPr>
                  <w:r>
                    <w:rPr>
                      <w:rFonts w:hint="default" w:ascii="Times New Roman" w:hAnsi="Times New Roman" w:cs="Times New Roman"/>
                      <w:b/>
                      <w:bCs w:val="0"/>
                      <w:sz w:val="21"/>
                      <w:szCs w:val="21"/>
                      <w:u w:val="single"/>
                    </w:rPr>
                    <w:t>3.鼓励煤矿开采产生的非常规水（矿井涌水）作为工业水源利用。</w:t>
                  </w:r>
                </w:p>
              </w:tc>
              <w:tc>
                <w:tcPr>
                  <w:tcW w:w="838" w:type="pct"/>
                  <w:gridSpan w:val="2"/>
                  <w:tcBorders>
                    <w:tl2br w:val="nil"/>
                    <w:tr2bl w:val="nil"/>
                  </w:tcBorders>
                  <w:vAlign w:val="center"/>
                </w:tcPr>
                <w:p>
                  <w:pPr>
                    <w:bidi w:val="0"/>
                    <w:jc w:val="center"/>
                    <w:rPr>
                      <w:rFonts w:hint="default" w:ascii="Times New Roman" w:hAnsi="Times New Roman" w:eastAsia="宋体" w:cs="Times New Roman"/>
                      <w:b/>
                      <w:bCs w:val="0"/>
                      <w:sz w:val="21"/>
                      <w:szCs w:val="21"/>
                      <w:u w:val="single"/>
                      <w:lang w:val="en-US" w:eastAsia="zh-CN"/>
                    </w:rPr>
                  </w:pPr>
                  <w:r>
                    <w:rPr>
                      <w:rFonts w:hint="eastAsia" w:ascii="Times New Roman" w:hAnsi="Times New Roman" w:cs="Times New Roman"/>
                      <w:b/>
                      <w:bCs w:val="0"/>
                      <w:sz w:val="21"/>
                      <w:szCs w:val="21"/>
                      <w:u w:val="single"/>
                      <w:lang w:val="en-US" w:eastAsia="zh-CN"/>
                    </w:rPr>
                    <w:t>本项目应提高清洁生产水平</w:t>
                  </w:r>
                </w:p>
              </w:tc>
            </w:tr>
          </w:tbl>
          <w:p>
            <w:pPr>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color w:val="auto"/>
                <w:sz w:val="24"/>
                <w:szCs w:val="24"/>
                <w:u w:val="none"/>
                <w:shd w:val="clear" w:color="auto" w:fill="FFFFFF"/>
                <w:lang w:val="en-US" w:eastAsia="zh-CN"/>
              </w:rPr>
              <w:t>根据上表</w:t>
            </w:r>
            <w:r>
              <w:rPr>
                <w:rFonts w:hint="eastAsia" w:ascii="Times New Roman" w:hAnsi="Times New Roman" w:cs="Times New Roman"/>
                <w:b w:val="0"/>
                <w:bCs/>
                <w:color w:val="auto"/>
                <w:sz w:val="24"/>
                <w:szCs w:val="24"/>
                <w:u w:val="none"/>
                <w:shd w:val="clear" w:color="auto" w:fill="FFFFFF"/>
                <w:lang w:val="en-US" w:eastAsia="zh-CN"/>
              </w:rPr>
              <w:t>可知，本项目符合</w:t>
            </w:r>
            <w:r>
              <w:rPr>
                <w:rFonts w:hint="default" w:ascii="Times New Roman" w:hAnsi="Times New Roman" w:cs="Times New Roman"/>
                <w:b w:val="0"/>
                <w:bCs/>
                <w:color w:val="auto"/>
                <w:sz w:val="24"/>
                <w:szCs w:val="24"/>
                <w:u w:val="none"/>
                <w:shd w:val="clear" w:color="auto" w:fill="FFFFFF"/>
                <w:lang w:val="en-US" w:eastAsia="zh-CN"/>
              </w:rPr>
              <w:t>永城市经济技术开发区重点管控区域准入要求</w:t>
            </w:r>
            <w:r>
              <w:rPr>
                <w:rFonts w:hint="default" w:ascii="Times New Roman" w:hAnsi="Times New Roman" w:cs="Times New Roman"/>
                <w:b w:val="0"/>
                <w:bCs/>
                <w:color w:val="auto"/>
                <w:kern w:val="52"/>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b/>
                <w:bCs/>
                <w:color w:val="auto"/>
                <w:sz w:val="24"/>
                <w:szCs w:val="24"/>
                <w:u w:val="none"/>
                <w:vertAlign w:val="baseline"/>
                <w:lang w:val="en-US" w:eastAsia="zh-CN"/>
              </w:rPr>
            </w:pPr>
            <w:r>
              <w:rPr>
                <w:rFonts w:hint="default" w:ascii="Times New Roman" w:hAnsi="Times New Roman" w:eastAsia="宋体" w:cs="Times New Roman"/>
                <w:b/>
                <w:bCs/>
                <w:color w:val="auto"/>
                <w:sz w:val="24"/>
                <w:szCs w:val="24"/>
                <w:u w:val="none"/>
                <w:vertAlign w:val="baseline"/>
                <w:lang w:val="en-US" w:eastAsia="zh-CN"/>
              </w:rPr>
              <w:t>（3）与《河南省城市集中式饮用水源保护区划》的相符性</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rPr>
              <w:t>根据</w:t>
            </w:r>
            <w:r>
              <w:rPr>
                <w:rFonts w:hint="default" w:ascii="Times New Roman" w:hAnsi="Times New Roman" w:eastAsia="宋体" w:cs="Times New Roman"/>
                <w:b w:val="0"/>
                <w:bCs w:val="0"/>
                <w:color w:val="auto"/>
                <w:sz w:val="24"/>
                <w:szCs w:val="24"/>
                <w:highlight w:val="none"/>
                <w:u w:val="none"/>
                <w:lang w:val="en-US" w:eastAsia="zh-CN"/>
              </w:rPr>
              <w:t>河南省人民政府</w:t>
            </w:r>
            <w:r>
              <w:rPr>
                <w:rFonts w:hint="default" w:ascii="Times New Roman" w:hAnsi="Times New Roman" w:eastAsia="宋体" w:cs="Times New Roman"/>
                <w:b w:val="0"/>
                <w:bCs w:val="0"/>
                <w:color w:val="auto"/>
                <w:sz w:val="24"/>
                <w:szCs w:val="24"/>
                <w:highlight w:val="none"/>
                <w:u w:val="none"/>
              </w:rPr>
              <w:t>《关于</w:t>
            </w:r>
            <w:r>
              <w:rPr>
                <w:rFonts w:hint="default" w:ascii="Times New Roman" w:hAnsi="Times New Roman" w:eastAsia="宋体" w:cs="Times New Roman"/>
                <w:b w:val="0"/>
                <w:bCs w:val="0"/>
                <w:color w:val="auto"/>
                <w:sz w:val="24"/>
                <w:szCs w:val="24"/>
                <w:highlight w:val="none"/>
                <w:u w:val="none"/>
                <w:lang w:val="en-US" w:eastAsia="zh-CN"/>
              </w:rPr>
              <w:t>划定调整取消部分集中饮用水水源保护区</w:t>
            </w:r>
            <w:r>
              <w:rPr>
                <w:rFonts w:hint="default" w:ascii="Times New Roman" w:hAnsi="Times New Roman" w:eastAsia="宋体" w:cs="Times New Roman"/>
                <w:b w:val="0"/>
                <w:bCs w:val="0"/>
                <w:color w:val="auto"/>
                <w:sz w:val="24"/>
                <w:szCs w:val="24"/>
                <w:highlight w:val="none"/>
                <w:u w:val="none"/>
              </w:rPr>
              <w:t>的通知》（豫政</w:t>
            </w:r>
            <w:r>
              <w:rPr>
                <w:rFonts w:hint="default" w:ascii="Times New Roman" w:hAnsi="Times New Roman" w:eastAsia="宋体" w:cs="Times New Roman"/>
                <w:b w:val="0"/>
                <w:bCs w:val="0"/>
                <w:color w:val="auto"/>
                <w:sz w:val="24"/>
                <w:szCs w:val="24"/>
                <w:highlight w:val="none"/>
                <w:u w:val="none"/>
                <w:lang w:val="en-US" w:eastAsia="zh-CN"/>
              </w:rPr>
              <w:t>文</w:t>
            </w:r>
            <w:r>
              <w:rPr>
                <w:rFonts w:hint="default" w:ascii="Times New Roman" w:hAnsi="Times New Roman" w:eastAsia="宋体" w:cs="Times New Roman"/>
                <w:b w:val="0"/>
                <w:bCs w:val="0"/>
                <w:color w:val="auto"/>
                <w:sz w:val="24"/>
                <w:szCs w:val="24"/>
                <w:highlight w:val="none"/>
                <w:u w:val="none"/>
              </w:rPr>
              <w:t>〔20</w:t>
            </w:r>
            <w:r>
              <w:rPr>
                <w:rFonts w:hint="default" w:ascii="Times New Roman" w:hAnsi="Times New Roman" w:eastAsia="宋体" w:cs="Times New Roman"/>
                <w:b w:val="0"/>
                <w:bCs w:val="0"/>
                <w:color w:val="auto"/>
                <w:sz w:val="24"/>
                <w:szCs w:val="24"/>
                <w:highlight w:val="none"/>
                <w:u w:val="none"/>
                <w:lang w:val="en-US" w:eastAsia="zh-CN"/>
              </w:rPr>
              <w:t>20</w:t>
            </w:r>
            <w:r>
              <w:rPr>
                <w:rFonts w:hint="default" w:ascii="Times New Roman" w:hAnsi="Times New Roman" w:eastAsia="宋体" w:cs="Times New Roman"/>
                <w:b w:val="0"/>
                <w:bCs w:val="0"/>
                <w:color w:val="auto"/>
                <w:sz w:val="24"/>
                <w:szCs w:val="24"/>
                <w:highlight w:val="none"/>
                <w:u w:val="none"/>
              </w:rPr>
              <w:t>〕</w:t>
            </w:r>
            <w:r>
              <w:rPr>
                <w:rFonts w:hint="default" w:ascii="Times New Roman" w:hAnsi="Times New Roman" w:eastAsia="宋体" w:cs="Times New Roman"/>
                <w:b w:val="0"/>
                <w:bCs w:val="0"/>
                <w:color w:val="auto"/>
                <w:sz w:val="24"/>
                <w:szCs w:val="24"/>
                <w:highlight w:val="none"/>
                <w:u w:val="none"/>
                <w:lang w:val="en-US" w:eastAsia="zh-CN"/>
              </w:rPr>
              <w:t>56</w:t>
            </w:r>
            <w:r>
              <w:rPr>
                <w:rFonts w:hint="default" w:ascii="Times New Roman" w:hAnsi="Times New Roman" w:eastAsia="宋体" w:cs="Times New Roman"/>
                <w:b w:val="0"/>
                <w:bCs w:val="0"/>
                <w:color w:val="auto"/>
                <w:sz w:val="24"/>
                <w:szCs w:val="24"/>
                <w:highlight w:val="none"/>
                <w:u w:val="none"/>
              </w:rPr>
              <w:t>号）</w:t>
            </w:r>
            <w:r>
              <w:rPr>
                <w:rFonts w:hint="default" w:ascii="Times New Roman" w:hAnsi="Times New Roman" w:eastAsia="宋体" w:cs="Times New Roman"/>
                <w:b w:val="0"/>
                <w:bCs w:val="0"/>
                <w:color w:val="auto"/>
                <w:sz w:val="24"/>
                <w:szCs w:val="24"/>
                <w:highlight w:val="none"/>
                <w:u w:val="none"/>
                <w:lang w:val="en-US" w:eastAsia="zh-CN"/>
              </w:rPr>
              <w:t>可知：</w:t>
            </w:r>
            <w:r>
              <w:rPr>
                <w:rFonts w:hint="default" w:ascii="Times New Roman" w:hAnsi="Times New Roman" w:eastAsia="宋体" w:cs="Times New Roman"/>
                <w:b w:val="0"/>
                <w:bCs w:val="0"/>
                <w:color w:val="auto"/>
                <w:sz w:val="24"/>
                <w:szCs w:val="24"/>
                <w:highlight w:val="none"/>
                <w:u w:val="none"/>
              </w:rPr>
              <w:t>永城市集中式饮用水水源为永城市新城水厂地下水井群(共</w:t>
            </w:r>
            <w:r>
              <w:rPr>
                <w:rFonts w:hint="default" w:ascii="Times New Roman" w:hAnsi="Times New Roman" w:eastAsia="宋体" w:cs="Times New Roman"/>
                <w:b w:val="0"/>
                <w:bCs w:val="0"/>
                <w:color w:val="auto"/>
                <w:sz w:val="24"/>
                <w:szCs w:val="24"/>
                <w:highlight w:val="none"/>
                <w:u w:val="none"/>
                <w:lang w:val="en-US" w:eastAsia="zh-CN"/>
              </w:rPr>
              <w:t>14</w:t>
            </w:r>
            <w:r>
              <w:rPr>
                <w:rFonts w:hint="default" w:ascii="Times New Roman" w:hAnsi="Times New Roman" w:eastAsia="宋体" w:cs="Times New Roman"/>
                <w:b w:val="0"/>
                <w:bCs w:val="0"/>
                <w:color w:val="auto"/>
                <w:sz w:val="24"/>
                <w:szCs w:val="24"/>
                <w:highlight w:val="none"/>
                <w:u w:val="none"/>
              </w:rPr>
              <w:t>眼井)</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val="en-US" w:eastAsia="zh-CN"/>
              </w:rPr>
              <w:t>永城市新城第二水厂白阁地下井群（共33眼井）</w:t>
            </w:r>
            <w:r>
              <w:rPr>
                <w:rFonts w:hint="default" w:ascii="Times New Roman" w:hAnsi="Times New Roman" w:eastAsia="宋体" w:cs="Times New Roman"/>
                <w:b w:val="0"/>
                <w:bCs w:val="0"/>
                <w:color w:val="auto"/>
                <w:sz w:val="24"/>
                <w:szCs w:val="24"/>
                <w:highlight w:val="none"/>
                <w:u w:val="none"/>
              </w:rPr>
              <w:t>。</w:t>
            </w:r>
            <w:r>
              <w:rPr>
                <w:rFonts w:hint="default" w:ascii="Times New Roman" w:hAnsi="Times New Roman" w:eastAsia="宋体" w:cs="Times New Roman"/>
                <w:b w:val="0"/>
                <w:bCs w:val="0"/>
                <w:color w:val="auto"/>
                <w:sz w:val="24"/>
                <w:szCs w:val="24"/>
                <w:highlight w:val="none"/>
                <w:u w:val="none"/>
                <w:lang w:val="en-US" w:eastAsia="zh-CN"/>
              </w:rPr>
              <w:t>具体保护区范围见下表</w:t>
            </w:r>
            <w:r>
              <w:rPr>
                <w:rFonts w:hint="default" w:ascii="Times New Roman" w:hAnsi="Times New Roman" w:eastAsia="宋体" w:cs="Times New Roman"/>
                <w:b w:val="0"/>
                <w:bCs w:val="0"/>
                <w:color w:val="auto"/>
                <w:sz w:val="24"/>
                <w:szCs w:val="24"/>
                <w:highlight w:val="none"/>
                <w:u w:val="none"/>
              </w:rPr>
              <w:t>。</w:t>
            </w:r>
          </w:p>
          <w:p>
            <w:pPr>
              <w:pStyle w:val="2"/>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 w:val="24"/>
                <w:lang w:val="en-US" w:eastAsia="zh-CN"/>
              </w:rPr>
              <w:t xml:space="preserve"> 永城市集中式饮用水水源地保护区划一览表</w:t>
            </w:r>
          </w:p>
          <w:tbl>
            <w:tblPr>
              <w:tblStyle w:val="27"/>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2688"/>
              <w:gridCol w:w="34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76" w:type="pct"/>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水源地名称</w:t>
                  </w:r>
                </w:p>
              </w:tc>
              <w:tc>
                <w:tcPr>
                  <w:tcW w:w="1717" w:type="pct"/>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一级保护区</w:t>
                  </w:r>
                </w:p>
              </w:tc>
              <w:tc>
                <w:tcPr>
                  <w:tcW w:w="2206" w:type="pct"/>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二级保护区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076" w:type="pct"/>
                  <w:tcBorders>
                    <w:tl2br w:val="nil"/>
                    <w:tr2bl w:val="nil"/>
                  </w:tcBorders>
                  <w:noWrap w:val="0"/>
                  <w:vAlign w:val="center"/>
                </w:tcPr>
                <w:p>
                  <w:pPr>
                    <w:spacing w:line="240" w:lineRule="auto"/>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永城市新城水厂地下水井群(共14眼井)饮用水水源保护区</w:t>
                  </w:r>
                </w:p>
              </w:tc>
              <w:tc>
                <w:tcPr>
                  <w:tcW w:w="1717" w:type="pct"/>
                  <w:tcBorders>
                    <w:tl2br w:val="nil"/>
                    <w:tr2bl w:val="nil"/>
                  </w:tcBorders>
                  <w:noWrap w:val="0"/>
                  <w:vAlign w:val="center"/>
                </w:tcPr>
                <w:p>
                  <w:pPr>
                    <w:spacing w:line="240" w:lineRule="auto"/>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lang w:val="en-US" w:eastAsia="zh-CN"/>
                    </w:rPr>
                    <w:t>新1号、2号、浅3号、4号、新5号、6号、新7号、8号、新9号、10号、浅10号、浅11号、浅13号、14号取水井外围30m的区域</w:t>
                  </w:r>
                </w:p>
              </w:tc>
              <w:tc>
                <w:tcPr>
                  <w:tcW w:w="2206" w:type="pct"/>
                  <w:tcBorders>
                    <w:tl2br w:val="nil"/>
                    <w:tr2bl w:val="nil"/>
                  </w:tcBorders>
                  <w:noWrap w:val="0"/>
                  <w:vAlign w:val="center"/>
                </w:tcPr>
                <w:p>
                  <w:pPr>
                    <w:spacing w:line="240" w:lineRule="auto"/>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lang w:val="en-US" w:eastAsia="zh-CN"/>
                    </w:rPr>
                    <w:t>一级保护区外，浅3号取水井外围330m的区域；浅10号、浅11号、浅13号取水井外围330m南至沱河北岸红线的四边形区域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076" w:type="pct"/>
                  <w:tcBorders>
                    <w:tl2br w:val="nil"/>
                    <w:tr2bl w:val="nil"/>
                  </w:tcBorders>
                  <w:noWrap w:val="0"/>
                  <w:vAlign w:val="center"/>
                </w:tcPr>
                <w:p>
                  <w:pPr>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永城市新城第二水厂白阁地下井群（共33眼井）饮用水水源保护区</w:t>
                  </w:r>
                </w:p>
              </w:tc>
              <w:tc>
                <w:tcPr>
                  <w:tcW w:w="1717" w:type="pct"/>
                  <w:tcBorders>
                    <w:tl2br w:val="nil"/>
                    <w:tr2bl w:val="nil"/>
                  </w:tcBorders>
                  <w:noWrap w:val="0"/>
                  <w:vAlign w:val="center"/>
                </w:tcPr>
                <w:p>
                  <w:pPr>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1~23号、浅2号、浅4号、浅8号、浅9号、浅12号、浅16号、浅17号、浅19号、浅22号、浅23号取水井外围30m的区域</w:t>
                  </w:r>
                </w:p>
              </w:tc>
              <w:tc>
                <w:tcPr>
                  <w:tcW w:w="2206" w:type="pct"/>
                  <w:tcBorders>
                    <w:tl2br w:val="nil"/>
                    <w:tr2bl w:val="nil"/>
                  </w:tcBorders>
                  <w:noWrap w:val="0"/>
                  <w:vAlign w:val="center"/>
                </w:tcPr>
                <w:p>
                  <w:pPr>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一级保护区外，浅2号、浅4号、浅8号、浅9号、浅12号、浅16号、浅17号、浅19号、浅22号、浅23号取水井外围330m的区域</w:t>
                  </w:r>
                </w:p>
              </w:tc>
            </w:tr>
          </w:tbl>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b w:val="0"/>
                <w:bCs w:val="0"/>
                <w:color w:val="auto"/>
                <w:sz w:val="24"/>
                <w:szCs w:val="24"/>
                <w:highlight w:val="none"/>
                <w:u w:val="none"/>
              </w:rPr>
              <w:t>根据调查，本项目</w:t>
            </w:r>
            <w:r>
              <w:rPr>
                <w:rFonts w:hint="default" w:ascii="Times New Roman" w:hAnsi="Times New Roman" w:cs="Times New Roman"/>
                <w:b w:val="0"/>
                <w:bCs w:val="0"/>
                <w:color w:val="auto"/>
                <w:sz w:val="24"/>
                <w:szCs w:val="24"/>
                <w:highlight w:val="none"/>
                <w:u w:val="none"/>
                <w:lang w:val="en-US" w:eastAsia="zh-CN"/>
              </w:rPr>
              <w:t>位于</w:t>
            </w:r>
            <w:r>
              <w:rPr>
                <w:rFonts w:hint="eastAsia" w:ascii="Times New Roman" w:hAnsi="Times New Roman" w:cs="Times New Roman"/>
                <w:b w:val="0"/>
                <w:bCs w:val="0"/>
                <w:color w:val="auto"/>
                <w:sz w:val="24"/>
                <w:szCs w:val="24"/>
                <w:highlight w:val="none"/>
                <w:u w:val="none"/>
                <w:lang w:eastAsia="zh-CN"/>
              </w:rPr>
              <w:t>永城市经济技术开发区科源大道南段</w:t>
            </w:r>
            <w:r>
              <w:rPr>
                <w:rFonts w:hint="default" w:ascii="Times New Roman" w:hAnsi="Times New Roman" w:cs="Times New Roman"/>
                <w:b w:val="0"/>
                <w:bCs w:val="0"/>
                <w:color w:val="auto"/>
                <w:sz w:val="24"/>
                <w:szCs w:val="24"/>
                <w:highlight w:val="none"/>
                <w:u w:val="none"/>
                <w:lang w:val="en-US" w:eastAsia="zh-CN"/>
              </w:rPr>
              <w:t>，</w:t>
            </w:r>
            <w:r>
              <w:rPr>
                <w:rFonts w:hint="default" w:ascii="Times New Roman" w:hAnsi="Times New Roman" w:cs="Times New Roman"/>
                <w:color w:val="auto"/>
                <w:sz w:val="24"/>
                <w:szCs w:val="24"/>
                <w:lang w:val="en-US" w:eastAsia="zh-CN"/>
              </w:rPr>
              <w:t>经对比永城市城饮用水水源地保护区划，</w:t>
            </w:r>
            <w:r>
              <w:rPr>
                <w:rFonts w:hint="default" w:ascii="Times New Roman" w:hAnsi="Times New Roman" w:cs="Times New Roman"/>
                <w:color w:val="auto"/>
                <w:sz w:val="24"/>
                <w:szCs w:val="24"/>
                <w:highlight w:val="none"/>
                <w:lang w:val="en-US" w:eastAsia="zh-CN"/>
              </w:rPr>
              <w:t>本项目距离永城市新城水厂地下水井群(共14眼井)饮用水水源保护区最近距离约14.7km，距离永城市新城第二水厂白阁地下井群（共33眼井）最近保护区约16.5km，均不在其保护区范围内，故项目的</w:t>
            </w:r>
            <w:r>
              <w:rPr>
                <w:rFonts w:hint="default" w:ascii="Times New Roman" w:hAnsi="Times New Roman" w:cs="Times New Roman"/>
                <w:color w:val="auto"/>
                <w:sz w:val="24"/>
                <w:szCs w:val="24"/>
                <w:lang w:val="en-US" w:eastAsia="zh-CN"/>
              </w:rPr>
              <w:t>建设与永城市集中式饮用水水源地保护区划是相符的。</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②永城市“千吨万人”集中式饮用水水源地保护范围（区）划分技术报告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color w:val="auto"/>
                <w:sz w:val="24"/>
                <w:szCs w:val="24"/>
                <w:u w:val="none"/>
                <w:shd w:val="clear" w:color="auto" w:fill="FFFFFF"/>
                <w:lang w:val="en-US" w:eastAsia="zh-CN"/>
              </w:rPr>
            </w:pPr>
            <w:r>
              <w:rPr>
                <w:rFonts w:hint="default" w:ascii="Times New Roman" w:hAnsi="Times New Roman" w:cs="Times New Roman"/>
                <w:b w:val="0"/>
                <w:bCs w:val="0"/>
                <w:color w:val="auto"/>
                <w:sz w:val="24"/>
                <w:szCs w:val="24"/>
                <w:u w:val="none"/>
                <w:shd w:val="clear" w:color="auto" w:fill="FFFFFF"/>
                <w:lang w:val="en-US" w:eastAsia="zh-CN"/>
              </w:rPr>
              <w:t>本次划分范围为永城市已建成的25个千吨万人以上供水厂（站）、共涉及24个乡镇、79眼取水井。</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rPr>
              <w:t>本项目</w:t>
            </w:r>
            <w:r>
              <w:rPr>
                <w:rFonts w:hint="default" w:ascii="Times New Roman" w:hAnsi="Times New Roman" w:cs="Times New Roman"/>
                <w:b w:val="0"/>
                <w:bCs w:val="0"/>
                <w:color w:val="auto"/>
                <w:sz w:val="24"/>
                <w:szCs w:val="24"/>
                <w:highlight w:val="none"/>
                <w:u w:val="none"/>
                <w:lang w:eastAsia="zh-CN"/>
              </w:rPr>
              <w:t>位于</w:t>
            </w:r>
            <w:r>
              <w:rPr>
                <w:rFonts w:hint="eastAsia" w:ascii="Times New Roman" w:hAnsi="Times New Roman" w:cs="Times New Roman"/>
                <w:b w:val="0"/>
                <w:bCs w:val="0"/>
                <w:color w:val="auto"/>
                <w:sz w:val="24"/>
                <w:szCs w:val="24"/>
                <w:highlight w:val="none"/>
                <w:u w:val="none"/>
                <w:lang w:eastAsia="zh-CN"/>
              </w:rPr>
              <w:t>永城市经济技术开发区科源大道南段</w:t>
            </w:r>
            <w:r>
              <w:rPr>
                <w:rFonts w:hint="default" w:ascii="Times New Roman" w:hAnsi="Times New Roman" w:cs="Times New Roman"/>
                <w:b w:val="0"/>
                <w:bCs w:val="0"/>
                <w:color w:val="auto"/>
                <w:sz w:val="24"/>
                <w:szCs w:val="24"/>
                <w:highlight w:val="none"/>
                <w:u w:val="none"/>
                <w:lang w:eastAsia="zh-CN"/>
              </w:rPr>
              <w:t>，属</w:t>
            </w:r>
            <w:r>
              <w:rPr>
                <w:rFonts w:hint="default" w:ascii="Times New Roman" w:hAnsi="Times New Roman" w:eastAsia="宋体" w:cs="Times New Roman"/>
                <w:b w:val="0"/>
                <w:bCs w:val="0"/>
                <w:color w:val="auto"/>
                <w:sz w:val="24"/>
                <w:szCs w:val="24"/>
                <w:highlight w:val="none"/>
                <w:u w:val="none"/>
              </w:rPr>
              <w:t>于</w:t>
            </w:r>
            <w:r>
              <w:rPr>
                <w:rFonts w:hint="default" w:ascii="Times New Roman" w:hAnsi="Times New Roman" w:eastAsia="宋体" w:cs="Times New Roman"/>
                <w:b w:val="0"/>
                <w:bCs w:val="0"/>
                <w:color w:val="auto"/>
                <w:sz w:val="24"/>
                <w:szCs w:val="24"/>
                <w:highlight w:val="none"/>
                <w:u w:val="none"/>
                <w:lang w:val="en-US" w:eastAsia="zh-CN"/>
              </w:rPr>
              <w:t>永城市产业集聚区铝精深加工园区</w:t>
            </w:r>
            <w:r>
              <w:rPr>
                <w:rFonts w:hint="default" w:ascii="Times New Roman" w:hAnsi="Times New Roman" w:eastAsia="宋体" w:cs="Times New Roman"/>
                <w:b w:val="0"/>
                <w:bCs w:val="0"/>
                <w:color w:val="auto"/>
                <w:sz w:val="24"/>
                <w:szCs w:val="24"/>
                <w:highlight w:val="none"/>
                <w:u w:val="none"/>
              </w:rPr>
              <w:t>，</w:t>
            </w:r>
            <w:r>
              <w:rPr>
                <w:rFonts w:hint="default" w:ascii="Times New Roman" w:hAnsi="Times New Roman" w:cs="Times New Roman"/>
                <w:b w:val="0"/>
                <w:bCs w:val="0"/>
                <w:color w:val="auto"/>
                <w:sz w:val="24"/>
                <w:szCs w:val="24"/>
                <w:highlight w:val="none"/>
                <w:u w:val="none"/>
                <w:lang w:eastAsia="zh-CN"/>
              </w:rPr>
              <w:t>千吨万人集中式饮用水源地未涉及到高庄镇，</w:t>
            </w:r>
            <w:r>
              <w:rPr>
                <w:rFonts w:hint="default" w:ascii="Times New Roman" w:hAnsi="Times New Roman" w:cs="Times New Roman"/>
                <w:b w:val="0"/>
                <w:bCs w:val="0"/>
                <w:color w:val="auto"/>
                <w:sz w:val="24"/>
                <w:szCs w:val="24"/>
                <w:highlight w:val="none"/>
                <w:u w:val="none"/>
                <w:lang w:val="en-US" w:eastAsia="zh-CN"/>
              </w:rPr>
              <w:t>距离本项目最近的为苗桥镇地下水井群，本项目与永城市苗桥镇地下水井群直线距离约6.7km。</w:t>
            </w:r>
            <w:r>
              <w:rPr>
                <w:rFonts w:hint="default" w:ascii="Times New Roman" w:hAnsi="Times New Roman" w:eastAsia="宋体" w:cs="Times New Roman"/>
                <w:b w:val="0"/>
                <w:bCs w:val="0"/>
                <w:color w:val="auto"/>
                <w:sz w:val="24"/>
                <w:szCs w:val="24"/>
                <w:highlight w:val="none"/>
                <w:u w:val="none"/>
              </w:rPr>
              <w:t>因此，项目选址不在</w:t>
            </w:r>
            <w:r>
              <w:rPr>
                <w:rFonts w:hint="default" w:ascii="Times New Roman" w:hAnsi="Times New Roman" w:cs="Times New Roman"/>
                <w:b w:val="0"/>
                <w:bCs w:val="0"/>
                <w:color w:val="auto"/>
                <w:sz w:val="24"/>
                <w:szCs w:val="24"/>
                <w:highlight w:val="none"/>
                <w:u w:val="none"/>
                <w:lang w:val="en-US" w:eastAsia="zh-CN"/>
              </w:rPr>
              <w:t>永城市“千吨万人”集中式饮用水水源地保护范围（区）</w:t>
            </w:r>
            <w:r>
              <w:rPr>
                <w:rFonts w:hint="default" w:ascii="Times New Roman" w:hAnsi="Times New Roman" w:eastAsia="宋体" w:cs="Times New Roman"/>
                <w:b w:val="0"/>
                <w:bCs w:val="0"/>
                <w:color w:val="auto"/>
                <w:sz w:val="24"/>
                <w:szCs w:val="24"/>
                <w:highlight w:val="none"/>
                <w:u w:val="none"/>
              </w:rPr>
              <w:t>范围内，符合饮用水保护规划。</w:t>
            </w:r>
          </w:p>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lang w:eastAsia="zh-CN"/>
              </w:rPr>
              <w:t>）本项目与《重污染天气重点行业应急减排措施制定技术指南</w:t>
            </w:r>
            <w:r>
              <w:rPr>
                <w:rFonts w:hint="default" w:ascii="Times New Roman" w:hAnsi="Times New Roman" w:cs="Times New Roman"/>
                <w:b/>
                <w:bCs/>
                <w:color w:val="auto"/>
                <w:sz w:val="24"/>
                <w:szCs w:val="24"/>
                <w:lang w:val="en-US" w:eastAsia="zh-CN"/>
              </w:rPr>
              <w:t>(2020年修订版</w:t>
            </w: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 xml:space="preserve"> 第十四、有色金属压行业延相符性分析。</w:t>
            </w:r>
          </w:p>
          <w:p>
            <w:pPr>
              <w:pStyle w:val="2"/>
              <w:spacing w:line="360" w:lineRule="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szCs w:val="24"/>
                <w:lang w:val="en-US" w:eastAsia="zh-CN"/>
              </w:rPr>
              <w:t>项目与有色金属压延行业绩效分级指标相符性分析一览表</w:t>
            </w:r>
          </w:p>
          <w:tbl>
            <w:tblPr>
              <w:tblStyle w:val="2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
              <w:gridCol w:w="554"/>
              <w:gridCol w:w="3988"/>
              <w:gridCol w:w="2142"/>
              <w:gridCol w:w="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450" w:type="pct"/>
                  <w:noWrap w:val="0"/>
                  <w:vAlign w:val="center"/>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val="en-US" w:eastAsia="zh-CN"/>
                    </w:rPr>
                    <w:t>差异化指标</w:t>
                  </w:r>
                </w:p>
              </w:tc>
              <w:tc>
                <w:tcPr>
                  <w:tcW w:w="2896" w:type="pct"/>
                  <w:gridSpan w:val="2"/>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A级企业</w:t>
                  </w:r>
                </w:p>
              </w:tc>
              <w:tc>
                <w:tcPr>
                  <w:tcW w:w="1366" w:type="pct"/>
                  <w:noWrap w:val="0"/>
                  <w:vAlign w:val="center"/>
                </w:tcPr>
                <w:p>
                  <w:pPr>
                    <w:spacing w:line="240" w:lineRule="auto"/>
                    <w:jc w:val="left"/>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本项目情况</w:t>
                  </w:r>
                </w:p>
              </w:tc>
              <w:tc>
                <w:tcPr>
                  <w:tcW w:w="285" w:type="pct"/>
                  <w:tcBorders>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450" w:type="pct"/>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能源类型</w:t>
                  </w:r>
                </w:p>
              </w:tc>
              <w:tc>
                <w:tcPr>
                  <w:tcW w:w="2896" w:type="pct"/>
                  <w:gridSpan w:val="2"/>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以电、天然气、煤制气作为能源</w:t>
                  </w:r>
                </w:p>
              </w:tc>
              <w:tc>
                <w:tcPr>
                  <w:tcW w:w="1366" w:type="pct"/>
                  <w:noWrap w:val="0"/>
                  <w:vAlign w:val="center"/>
                </w:tcPr>
                <w:p>
                  <w:pPr>
                    <w:spacing w:line="240" w:lineRule="auto"/>
                    <w:jc w:val="left"/>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项目使用电、天然气为能源</w:t>
                  </w:r>
                </w:p>
              </w:tc>
              <w:tc>
                <w:tcPr>
                  <w:tcW w:w="285" w:type="pct"/>
                  <w:tcBorders>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50" w:type="pct"/>
                  <w:vMerge w:val="restart"/>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污染治理技术</w:t>
                  </w:r>
                </w:p>
              </w:tc>
              <w:tc>
                <w:tcPr>
                  <w:tcW w:w="2896" w:type="pct"/>
                  <w:gridSpan w:val="2"/>
                  <w:tcBorders>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煤制气单元采用硫份低于1%及以下的低硫煤或配备煤气脱硫：电泳喷漆工序采用吸收法、吸附法或燃烧法；粉末喷涂采用袋式除尘</w:t>
                  </w:r>
                </w:p>
              </w:tc>
              <w:tc>
                <w:tcPr>
                  <w:tcW w:w="1366" w:type="pct"/>
                  <w:tcBorders>
                    <w:bottom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cs="Times New Roman"/>
                      <w:b w:val="0"/>
                      <w:bCs w:val="0"/>
                      <w:color w:val="auto"/>
                      <w:kern w:val="2"/>
                      <w:sz w:val="21"/>
                      <w:szCs w:val="21"/>
                      <w:highlight w:val="none"/>
                      <w:u w:val="none"/>
                      <w:lang w:val="en-US" w:eastAsia="zh-CN" w:bidi="ar-SA"/>
                    </w:rPr>
                    <w:t>本项目不涉及煤制气单元</w:t>
                  </w:r>
                </w:p>
              </w:tc>
              <w:tc>
                <w:tcPr>
                  <w:tcW w:w="285" w:type="pct"/>
                  <w:tcBorders>
                    <w:bottom w:val="single" w:color="auto" w:sz="4" w:space="0"/>
                    <w:right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trPr>
              <w:tc>
                <w:tcPr>
                  <w:tcW w:w="450" w:type="pct"/>
                  <w:vMerge w:val="continue"/>
                  <w:tcBorders>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p>
              </w:tc>
              <w:tc>
                <w:tcPr>
                  <w:tcW w:w="2896" w:type="pct"/>
                  <w:gridSpan w:val="2"/>
                  <w:tcBorders>
                    <w:top w:val="single" w:color="auto" w:sz="4" w:space="0"/>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1、除尘采用覆膜滤料袋除尘等治理技术；</w:t>
                  </w:r>
                </w:p>
                <w:p>
                  <w:pPr>
                    <w:spacing w:line="240" w:lineRule="auto"/>
                    <w:jc w:val="left"/>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u w:val="none"/>
                      <w:lang w:val="en-US" w:eastAsia="zh-CN"/>
                    </w:rPr>
                    <w:t>2、</w:t>
                  </w:r>
                  <w:r>
                    <w:rPr>
                      <w:rFonts w:hint="default" w:ascii="Times New Roman" w:hAnsi="Times New Roman" w:cs="Times New Roman"/>
                      <w:b w:val="0"/>
                      <w:bCs w:val="0"/>
                      <w:color w:val="auto"/>
                      <w:sz w:val="21"/>
                      <w:szCs w:val="21"/>
                      <w:highlight w:val="none"/>
                      <w:u w:val="none"/>
                      <w:lang w:val="en-US" w:eastAsia="zh-CN"/>
                    </w:rPr>
                    <w:t>熔炼炉(电炉除外)脱硝采用低氮燃烧或烟气脱硝等高效工艺；</w:t>
                  </w:r>
                </w:p>
                <w:p>
                  <w:pPr>
                    <w:spacing w:line="240" w:lineRule="auto"/>
                    <w:jc w:val="left"/>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3、氟碳喷涂工序废气采用预处理+吸附浓缩+燃烧方式或预处理+燃烧处理工艺；</w:t>
                  </w:r>
                </w:p>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highlight w:val="none"/>
                      <w:u w:val="none"/>
                      <w:lang w:val="en-US" w:eastAsia="zh-CN"/>
                    </w:rPr>
                    <w:t>4、油雾采用多级回收+VOCs治理技术；封闭式熔炼炉烟气单独治理</w:t>
                  </w:r>
                </w:p>
              </w:tc>
              <w:tc>
                <w:tcPr>
                  <w:tcW w:w="1366" w:type="pct"/>
                  <w:tcBorders>
                    <w:top w:val="single" w:color="auto" w:sz="4" w:space="0"/>
                    <w:bottom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cs="Times New Roman"/>
                      <w:b w:val="0"/>
                      <w:bCs w:val="0"/>
                      <w:color w:val="auto"/>
                      <w:kern w:val="2"/>
                      <w:sz w:val="21"/>
                      <w:szCs w:val="21"/>
                      <w:highlight w:val="none"/>
                      <w:u w:val="none"/>
                      <w:lang w:val="en-US" w:eastAsia="zh-CN" w:bidi="ar-SA"/>
                    </w:rPr>
                    <w:t>本项目倾动炉采用低氮燃烧器</w:t>
                  </w:r>
                  <w:r>
                    <w:rPr>
                      <w:rFonts w:hint="eastAsia" w:ascii="Times New Roman" w:hAnsi="Times New Roman" w:cs="Times New Roman"/>
                      <w:b w:val="0"/>
                      <w:bCs w:val="0"/>
                      <w:color w:val="auto"/>
                      <w:kern w:val="2"/>
                      <w:sz w:val="21"/>
                      <w:szCs w:val="21"/>
                      <w:highlight w:val="none"/>
                      <w:u w:val="none"/>
                      <w:lang w:val="en-US" w:eastAsia="zh-CN" w:bidi="ar-SA"/>
                    </w:rPr>
                    <w:t>；油雾废气采用烟雾净化装置处理</w:t>
                  </w:r>
                </w:p>
              </w:tc>
              <w:tc>
                <w:tcPr>
                  <w:tcW w:w="285" w:type="pct"/>
                  <w:tcBorders>
                    <w:top w:val="single" w:color="auto" w:sz="4" w:space="0"/>
                    <w:bottom w:val="single" w:color="auto" w:sz="4" w:space="0"/>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0" w:type="pct"/>
                  <w:tcBorders>
                    <w:top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排放限值</w:t>
                  </w:r>
                </w:p>
              </w:tc>
              <w:tc>
                <w:tcPr>
                  <w:tcW w:w="2896" w:type="pct"/>
                  <w:gridSpan w:val="2"/>
                  <w:tcBorders>
                    <w:top w:val="single" w:color="auto" w:sz="4" w:space="0"/>
                    <w:bottom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熔炼炉：PM、SO</w:t>
                  </w:r>
                  <w:r>
                    <w:rPr>
                      <w:rFonts w:hint="default" w:ascii="Times New Roman" w:hAnsi="Times New Roman" w:cs="Times New Roman"/>
                      <w:b w:val="0"/>
                      <w:bCs w:val="0"/>
                      <w:color w:val="auto"/>
                      <w:sz w:val="21"/>
                      <w:szCs w:val="21"/>
                      <w:u w:val="none"/>
                      <w:vertAlign w:val="subscript"/>
                      <w:lang w:val="en-US" w:eastAsia="zh-CN"/>
                    </w:rPr>
                    <w:t>2</w:t>
                  </w:r>
                  <w:r>
                    <w:rPr>
                      <w:rFonts w:hint="default" w:ascii="Times New Roman" w:hAnsi="Times New Roman" w:cs="Times New Roman"/>
                      <w:b w:val="0"/>
                      <w:bCs w:val="0"/>
                      <w:color w:val="auto"/>
                      <w:sz w:val="21"/>
                      <w:szCs w:val="21"/>
                      <w:u w:val="none"/>
                      <w:lang w:val="en-US" w:eastAsia="zh-CN"/>
                    </w:rPr>
                    <w:t>、NOx排放浓度分别不高于10、50、50mg/m</w:t>
                  </w:r>
                  <w:r>
                    <w:rPr>
                      <w:rFonts w:hint="default" w:ascii="Times New Roman" w:hAnsi="Times New Roman" w:cs="Times New Roman"/>
                      <w:b w:val="0"/>
                      <w:bCs w:val="0"/>
                      <w:color w:val="auto"/>
                      <w:sz w:val="21"/>
                      <w:szCs w:val="21"/>
                      <w:u w:val="none"/>
                      <w:vertAlign w:val="superscript"/>
                      <w:lang w:val="en-US" w:eastAsia="zh-CN"/>
                    </w:rPr>
                    <w:t>3</w:t>
                  </w:r>
                  <w:r>
                    <w:rPr>
                      <w:rFonts w:hint="default" w:ascii="Times New Roman" w:hAnsi="Times New Roman" w:cs="Times New Roman"/>
                      <w:b w:val="0"/>
                      <w:bCs w:val="0"/>
                      <w:color w:val="auto"/>
                      <w:sz w:val="21"/>
                      <w:szCs w:val="21"/>
                      <w:u w:val="none"/>
                      <w:lang w:val="en-US" w:eastAsia="zh-CN"/>
                    </w:rPr>
                    <w:t>；</w:t>
                  </w:r>
                </w:p>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加热炉：PM、SO</w:t>
                  </w:r>
                  <w:r>
                    <w:rPr>
                      <w:rFonts w:hint="default" w:ascii="Times New Roman" w:hAnsi="Times New Roman" w:cs="Times New Roman"/>
                      <w:b w:val="0"/>
                      <w:bCs w:val="0"/>
                      <w:color w:val="auto"/>
                      <w:sz w:val="21"/>
                      <w:szCs w:val="21"/>
                      <w:u w:val="none"/>
                      <w:vertAlign w:val="subscript"/>
                      <w:lang w:val="en-US" w:eastAsia="zh-CN"/>
                    </w:rPr>
                    <w:t>2</w:t>
                  </w:r>
                  <w:r>
                    <w:rPr>
                      <w:rFonts w:hint="default" w:ascii="Times New Roman" w:hAnsi="Times New Roman" w:cs="Times New Roman"/>
                      <w:b w:val="0"/>
                      <w:bCs w:val="0"/>
                      <w:color w:val="auto"/>
                      <w:sz w:val="21"/>
                      <w:szCs w:val="21"/>
                      <w:u w:val="none"/>
                      <w:lang w:val="en-US" w:eastAsia="zh-CN"/>
                    </w:rPr>
                    <w:t>、NOx排放浓度分别不高于10、30、50mg/m</w:t>
                  </w:r>
                  <w:r>
                    <w:rPr>
                      <w:rFonts w:hint="default" w:ascii="Times New Roman" w:hAnsi="Times New Roman" w:cs="Times New Roman"/>
                      <w:b w:val="0"/>
                      <w:bCs w:val="0"/>
                      <w:color w:val="auto"/>
                      <w:sz w:val="21"/>
                      <w:szCs w:val="21"/>
                      <w:u w:val="none"/>
                      <w:vertAlign w:val="superscript"/>
                      <w:lang w:val="en-US" w:eastAsia="zh-CN"/>
                    </w:rPr>
                    <w:t>3</w:t>
                  </w:r>
                  <w:r>
                    <w:rPr>
                      <w:rFonts w:hint="default" w:ascii="Times New Roman" w:hAnsi="Times New Roman" w:cs="Times New Roman"/>
                      <w:b w:val="0"/>
                      <w:bCs w:val="0"/>
                      <w:color w:val="auto"/>
                      <w:sz w:val="21"/>
                      <w:szCs w:val="21"/>
                      <w:u w:val="none"/>
                      <w:lang w:val="en-US" w:eastAsia="zh-CN"/>
                    </w:rPr>
                    <w:t>；</w:t>
                  </w:r>
                </w:p>
              </w:tc>
              <w:tc>
                <w:tcPr>
                  <w:tcW w:w="1366" w:type="pct"/>
                  <w:tcBorders>
                    <w:top w:val="single" w:color="auto" w:sz="4" w:space="0"/>
                    <w:bottom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cs="Times New Roman"/>
                      <w:b w:val="0"/>
                      <w:bCs w:val="0"/>
                      <w:color w:val="auto"/>
                      <w:kern w:val="2"/>
                      <w:sz w:val="21"/>
                      <w:szCs w:val="21"/>
                      <w:highlight w:val="none"/>
                      <w:u w:val="none"/>
                      <w:shd w:val="clear"/>
                      <w:lang w:val="en-US" w:eastAsia="zh-CN" w:bidi="ar-SA"/>
                    </w:rPr>
                    <w:t>本项目倾动炉</w:t>
                  </w:r>
                  <w:r>
                    <w:rPr>
                      <w:rFonts w:hint="default" w:ascii="Times New Roman" w:hAnsi="Times New Roman" w:cs="Times New Roman"/>
                      <w:b w:val="0"/>
                      <w:bCs w:val="0"/>
                      <w:color w:val="auto"/>
                      <w:sz w:val="21"/>
                      <w:szCs w:val="21"/>
                      <w:highlight w:val="none"/>
                      <w:u w:val="none"/>
                      <w:shd w:val="clear"/>
                      <w:lang w:val="en-US" w:eastAsia="zh-CN"/>
                    </w:rPr>
                    <w:t>PM、SO</w:t>
                  </w:r>
                  <w:r>
                    <w:rPr>
                      <w:rFonts w:hint="default" w:ascii="Times New Roman" w:hAnsi="Times New Roman" w:cs="Times New Roman"/>
                      <w:b w:val="0"/>
                      <w:bCs w:val="0"/>
                      <w:color w:val="auto"/>
                      <w:sz w:val="21"/>
                      <w:szCs w:val="21"/>
                      <w:highlight w:val="none"/>
                      <w:u w:val="none"/>
                      <w:shd w:val="clear"/>
                      <w:vertAlign w:val="subscript"/>
                      <w:lang w:val="en-US" w:eastAsia="zh-CN"/>
                    </w:rPr>
                    <w:t>2</w:t>
                  </w:r>
                  <w:r>
                    <w:rPr>
                      <w:rFonts w:hint="default" w:ascii="Times New Roman" w:hAnsi="Times New Roman" w:cs="Times New Roman"/>
                      <w:b w:val="0"/>
                      <w:bCs w:val="0"/>
                      <w:color w:val="auto"/>
                      <w:sz w:val="21"/>
                      <w:szCs w:val="21"/>
                      <w:highlight w:val="none"/>
                      <w:u w:val="none"/>
                      <w:shd w:val="clear"/>
                      <w:lang w:val="en-US" w:eastAsia="zh-CN"/>
                    </w:rPr>
                    <w:t>、NOx排放浓度分别为</w:t>
                  </w:r>
                  <w:r>
                    <w:rPr>
                      <w:rFonts w:hint="eastAsia" w:ascii="Times New Roman" w:hAnsi="Times New Roman" w:cs="Times New Roman"/>
                      <w:b w:val="0"/>
                      <w:bCs w:val="0"/>
                      <w:color w:val="auto"/>
                      <w:sz w:val="21"/>
                      <w:szCs w:val="21"/>
                      <w:highlight w:val="none"/>
                      <w:u w:val="none"/>
                      <w:shd w:val="clear"/>
                      <w:lang w:val="en-US" w:eastAsia="zh-CN"/>
                    </w:rPr>
                    <w:t>2.8</w:t>
                  </w:r>
                  <w:r>
                    <w:rPr>
                      <w:rFonts w:hint="default" w:ascii="Times New Roman" w:hAnsi="Times New Roman" w:cs="Times New Roman"/>
                      <w:b w:val="0"/>
                      <w:bCs w:val="0"/>
                      <w:color w:val="auto"/>
                      <w:sz w:val="21"/>
                      <w:szCs w:val="21"/>
                      <w:highlight w:val="none"/>
                      <w:u w:val="none"/>
                      <w:shd w:val="clear"/>
                      <w:lang w:val="en-US" w:eastAsia="zh-CN"/>
                    </w:rPr>
                    <w:t>、</w:t>
                  </w:r>
                  <w:r>
                    <w:rPr>
                      <w:rFonts w:hint="eastAsia" w:ascii="Times New Roman" w:hAnsi="Times New Roman" w:cs="Times New Roman"/>
                      <w:b w:val="0"/>
                      <w:bCs w:val="0"/>
                      <w:color w:val="auto"/>
                      <w:sz w:val="21"/>
                      <w:szCs w:val="21"/>
                      <w:highlight w:val="none"/>
                      <w:u w:val="none"/>
                      <w:shd w:val="clear"/>
                      <w:lang w:val="en-US" w:eastAsia="zh-CN"/>
                    </w:rPr>
                    <w:t>0.6</w:t>
                  </w:r>
                  <w:r>
                    <w:rPr>
                      <w:rFonts w:hint="default" w:ascii="Times New Roman" w:hAnsi="Times New Roman" w:cs="Times New Roman"/>
                      <w:b w:val="0"/>
                      <w:bCs w:val="0"/>
                      <w:color w:val="auto"/>
                      <w:sz w:val="21"/>
                      <w:szCs w:val="21"/>
                      <w:highlight w:val="none"/>
                      <w:u w:val="none"/>
                      <w:shd w:val="clear"/>
                      <w:lang w:val="en-US" w:eastAsia="zh-CN"/>
                    </w:rPr>
                    <w:t>、</w:t>
                  </w:r>
                  <w:r>
                    <w:rPr>
                      <w:rFonts w:hint="eastAsia" w:ascii="Times New Roman" w:hAnsi="Times New Roman" w:cs="Times New Roman"/>
                      <w:b w:val="0"/>
                      <w:bCs w:val="0"/>
                      <w:color w:val="auto"/>
                      <w:sz w:val="21"/>
                      <w:szCs w:val="21"/>
                      <w:highlight w:val="none"/>
                      <w:u w:val="none"/>
                      <w:shd w:val="clear"/>
                      <w:lang w:val="en-US" w:eastAsia="zh-CN"/>
                    </w:rPr>
                    <w:t>4.8</w:t>
                  </w:r>
                  <w:r>
                    <w:rPr>
                      <w:rFonts w:hint="default" w:ascii="Times New Roman" w:hAnsi="Times New Roman" w:cs="Times New Roman"/>
                      <w:b w:val="0"/>
                      <w:bCs w:val="0"/>
                      <w:color w:val="auto"/>
                      <w:sz w:val="21"/>
                      <w:szCs w:val="21"/>
                      <w:highlight w:val="none"/>
                      <w:u w:val="none"/>
                      <w:shd w:val="clear"/>
                      <w:lang w:val="en-US" w:eastAsia="zh-CN"/>
                    </w:rPr>
                    <w:t>mg/m</w:t>
                  </w:r>
                  <w:r>
                    <w:rPr>
                      <w:rFonts w:hint="default" w:ascii="Times New Roman" w:hAnsi="Times New Roman" w:cs="Times New Roman"/>
                      <w:b w:val="0"/>
                      <w:bCs w:val="0"/>
                      <w:color w:val="auto"/>
                      <w:sz w:val="21"/>
                      <w:szCs w:val="21"/>
                      <w:highlight w:val="none"/>
                      <w:u w:val="none"/>
                      <w:shd w:val="clear"/>
                      <w:vertAlign w:val="superscript"/>
                      <w:lang w:val="en-US" w:eastAsia="zh-CN"/>
                    </w:rPr>
                    <w:t>3</w:t>
                  </w:r>
                </w:p>
              </w:tc>
              <w:tc>
                <w:tcPr>
                  <w:tcW w:w="285" w:type="pct"/>
                  <w:tcBorders>
                    <w:top w:val="single" w:color="auto" w:sz="4" w:space="0"/>
                    <w:bottom w:val="single" w:color="auto" w:sz="4" w:space="0"/>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450" w:type="pct"/>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无组织排放</w:t>
                  </w:r>
                </w:p>
              </w:tc>
              <w:tc>
                <w:tcPr>
                  <w:tcW w:w="2896" w:type="pct"/>
                  <w:gridSpan w:val="2"/>
                  <w:tcBorders>
                    <w:top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物料储存：(1)煤、焦粉等燃料储存于封闭(仓、库)；粉状物料采用料仓、储罐、带沿口的包装物等方式密闭或封闭储存；(2)涉VOCs物料以及废料(渣、液)应储存在密闭容器，并存放在封闭储存室内；(3)厂区道路应硬化，并采取清扫、洒水等措施，保持清洁；2、物料转移和输送：（1）粉状、粒状等易散发粉尘的物料厂内转移、输送时，应采取密闭；转移、输送、装卸过程中应采取集气除尘措施；(2)除尘器卸灰口应采取密闭措施，除尘灰不得直接卸落到地面；除尘灰采取袋装、罐装等密闭措施收集、存放和运输；(3)转移和输送VOCs物料以及VOCs废料(渣、液)时，应采用密闭管道或密闭容器；</w:t>
                  </w:r>
                </w:p>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3、工艺过程：(1)铝渣搓灰和铜渣分离操作应采用密闭设备或密闭车间内进行，设置废气收集系统，收集粉尘至除尘设备；(2)熔炼炉应设置废气收集系统，收集烟尘至除尘设备</w:t>
                  </w:r>
                </w:p>
              </w:tc>
              <w:tc>
                <w:tcPr>
                  <w:tcW w:w="1366" w:type="pct"/>
                  <w:tcBorders>
                    <w:top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cs="Times New Roman"/>
                      <w:b w:val="0"/>
                      <w:bCs w:val="0"/>
                      <w:color w:val="auto"/>
                      <w:sz w:val="21"/>
                      <w:szCs w:val="21"/>
                      <w:u w:val="none"/>
                      <w:lang w:val="en-US" w:eastAsia="zh-CN"/>
                    </w:rPr>
                    <w:t>本项目生产过程均在密闭车间，同时各产污节点均安装有废气治理涉及无组织挥发较少。</w:t>
                  </w:r>
                </w:p>
              </w:tc>
              <w:tc>
                <w:tcPr>
                  <w:tcW w:w="285" w:type="pct"/>
                  <w:tcBorders>
                    <w:top w:val="single" w:color="auto" w:sz="4" w:space="0"/>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450" w:type="pct"/>
                  <w:vMerge w:val="restart"/>
                  <w:noWrap w:val="0"/>
                  <w:vAlign w:val="top"/>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监测监控水平</w:t>
                  </w:r>
                </w:p>
              </w:tc>
              <w:tc>
                <w:tcPr>
                  <w:tcW w:w="2896" w:type="pct"/>
                  <w:gridSpan w:val="2"/>
                  <w:tcBorders>
                    <w:bottom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重点排污企业的熔炼炉等主要排气口安装</w:t>
                  </w:r>
                  <w:r>
                    <w:rPr>
                      <w:rFonts w:hint="default" w:ascii="Times New Roman" w:hAnsi="Times New Roman" w:cs="Times New Roman"/>
                      <w:b w:val="0"/>
                      <w:bCs w:val="0"/>
                      <w:color w:val="auto"/>
                      <w:sz w:val="21"/>
                      <w:szCs w:val="21"/>
                      <w:u w:val="none"/>
                      <w:lang w:val="en-US" w:eastAsia="zh-CN"/>
                    </w:rPr>
                    <w:t>CEMS，数据保存一年以上</w:t>
                  </w:r>
                </w:p>
              </w:tc>
              <w:tc>
                <w:tcPr>
                  <w:tcW w:w="1366" w:type="pct"/>
                  <w:vMerge w:val="restart"/>
                  <w:tcBorders>
                    <w:top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项目要严格按环保相关规定建设和执行，安装CEMS，按照排污许可证要求定期开展自行监测</w:t>
                  </w:r>
                </w:p>
              </w:tc>
              <w:tc>
                <w:tcPr>
                  <w:tcW w:w="285" w:type="pct"/>
                  <w:vMerge w:val="restart"/>
                  <w:tcBorders>
                    <w:top w:val="single" w:color="auto" w:sz="4" w:space="0"/>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450" w:type="pct"/>
                  <w:vMerge w:val="continue"/>
                  <w:tcBorders>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rPr>
                  </w:pPr>
                </w:p>
              </w:tc>
              <w:tc>
                <w:tcPr>
                  <w:tcW w:w="2896" w:type="pct"/>
                  <w:gridSpan w:val="2"/>
                  <w:tcBorders>
                    <w:top w:val="single" w:color="auto" w:sz="4" w:space="0"/>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熔炼炉烟气等对应污染治理设施介入DCS，记录企业环保设施运行主要参数和生产过程主要参数，DCS数据保存一年以上；VOCs治理设施安装监控或分表计电；</w:t>
                  </w:r>
                </w:p>
              </w:tc>
              <w:tc>
                <w:tcPr>
                  <w:tcW w:w="1366" w:type="pct"/>
                  <w:vMerge w:val="continue"/>
                  <w:noWrap w:val="0"/>
                  <w:vAlign w:val="center"/>
                </w:tcPr>
                <w:p>
                  <w:pPr>
                    <w:spacing w:line="240" w:lineRule="auto"/>
                    <w:jc w:val="left"/>
                    <w:rPr>
                      <w:rFonts w:hint="default" w:ascii="Times New Roman" w:hAnsi="Times New Roman" w:cs="Times New Roman"/>
                      <w:b w:val="0"/>
                      <w:bCs w:val="0"/>
                      <w:color w:val="auto"/>
                      <w:sz w:val="21"/>
                      <w:szCs w:val="21"/>
                      <w:u w:val="none"/>
                      <w:lang w:val="en-US" w:eastAsia="zh-CN"/>
                    </w:rPr>
                  </w:pPr>
                </w:p>
              </w:tc>
              <w:tc>
                <w:tcPr>
                  <w:tcW w:w="285" w:type="pct"/>
                  <w:vMerge w:val="continue"/>
                  <w:tcBorders>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450" w:type="pct"/>
                  <w:vMerge w:val="continue"/>
                  <w:tcBorders>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rPr>
                  </w:pPr>
                </w:p>
              </w:tc>
              <w:tc>
                <w:tcPr>
                  <w:tcW w:w="2896" w:type="pct"/>
                  <w:gridSpan w:val="2"/>
                  <w:tcBorders>
                    <w:top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具备对全厂视频监控、</w:t>
                  </w:r>
                  <w:r>
                    <w:rPr>
                      <w:rFonts w:hint="default" w:ascii="Times New Roman" w:hAnsi="Times New Roman" w:cs="Times New Roman"/>
                      <w:b w:val="0"/>
                      <w:bCs w:val="0"/>
                      <w:color w:val="auto"/>
                      <w:sz w:val="21"/>
                      <w:szCs w:val="21"/>
                      <w:u w:val="none"/>
                      <w:lang w:val="en-US" w:eastAsia="zh-CN"/>
                    </w:rPr>
                    <w:t>CEMS监控、污染物治理设施运行、主要生产设施运行等相关数据集中调控的能力</w:t>
                  </w:r>
                </w:p>
              </w:tc>
              <w:tc>
                <w:tcPr>
                  <w:tcW w:w="1366" w:type="pct"/>
                  <w:vMerge w:val="continue"/>
                  <w:noWrap w:val="0"/>
                  <w:vAlign w:val="center"/>
                </w:tcPr>
                <w:p>
                  <w:pPr>
                    <w:spacing w:line="240" w:lineRule="auto"/>
                    <w:jc w:val="left"/>
                    <w:rPr>
                      <w:rFonts w:hint="default" w:ascii="Times New Roman" w:hAnsi="Times New Roman" w:cs="Times New Roman"/>
                      <w:b w:val="0"/>
                      <w:bCs w:val="0"/>
                      <w:color w:val="auto"/>
                      <w:sz w:val="21"/>
                      <w:szCs w:val="21"/>
                      <w:u w:val="none"/>
                      <w:lang w:val="en-US" w:eastAsia="zh-CN"/>
                    </w:rPr>
                  </w:pPr>
                </w:p>
              </w:tc>
              <w:tc>
                <w:tcPr>
                  <w:tcW w:w="285" w:type="pct"/>
                  <w:vMerge w:val="continue"/>
                  <w:tcBorders>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450" w:type="pct"/>
                  <w:vMerge w:val="restart"/>
                  <w:tcBorders>
                    <w:top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环境管理水平</w:t>
                  </w:r>
                </w:p>
              </w:tc>
              <w:tc>
                <w:tcPr>
                  <w:tcW w:w="353" w:type="pct"/>
                  <w:tcBorders>
                    <w:bottom w:val="single" w:color="auto" w:sz="4" w:space="0"/>
                    <w:right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环保档案</w:t>
                  </w:r>
                </w:p>
              </w:tc>
              <w:tc>
                <w:tcPr>
                  <w:tcW w:w="2542" w:type="pct"/>
                  <w:tcBorders>
                    <w:left w:val="single" w:color="auto" w:sz="4" w:space="0"/>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1.环评批复文件2.排污许可证及季度、年度执行报告；3、竣工验收文件；4、废气治理设施运行管理规程；5、一年内废气；</w:t>
                  </w:r>
                </w:p>
              </w:tc>
              <w:tc>
                <w:tcPr>
                  <w:tcW w:w="1366" w:type="pct"/>
                  <w:tcBorders>
                    <w:bottom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项目目前正在办理环保相关手续；按要求做好环保档案，有完整的台账记录；管理制度健全，有专职环保人员等</w:t>
                  </w:r>
                </w:p>
              </w:tc>
              <w:tc>
                <w:tcPr>
                  <w:tcW w:w="285" w:type="pct"/>
                  <w:tcBorders>
                    <w:bottom w:val="single" w:color="auto" w:sz="4" w:space="0"/>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W w:w="450" w:type="pct"/>
                  <w:vMerge w:val="continue"/>
                  <w:tcBorders>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p>
              </w:tc>
              <w:tc>
                <w:tcPr>
                  <w:tcW w:w="353" w:type="pct"/>
                  <w:tcBorders>
                    <w:top w:val="single" w:color="auto" w:sz="4" w:space="0"/>
                    <w:bottom w:val="single" w:color="auto" w:sz="4" w:space="0"/>
                    <w:right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台账记录</w:t>
                  </w:r>
                </w:p>
              </w:tc>
              <w:tc>
                <w:tcPr>
                  <w:tcW w:w="2542" w:type="pct"/>
                  <w:tcBorders>
                    <w:top w:val="single" w:color="auto" w:sz="4" w:space="0"/>
                    <w:left w:val="single" w:color="auto" w:sz="4" w:space="0"/>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1.生产设施运行管理信息（生产时间、运行负荷、产品产量等）；2.废气污染治理设施运行管理信息</w:t>
                  </w:r>
                  <w:r>
                    <w:rPr>
                      <w:rFonts w:hint="default" w:ascii="Times New Roman" w:hAnsi="Times New Roman" w:cs="Times New Roman"/>
                      <w:b w:val="0"/>
                      <w:bCs w:val="0"/>
                      <w:color w:val="auto"/>
                      <w:sz w:val="21"/>
                      <w:szCs w:val="21"/>
                      <w:u w:val="none"/>
                      <w:lang w:eastAsia="zh-CN"/>
                    </w:rPr>
                    <w:t>（除尘滤料更换量和时间、脱硫和脱硝剂添加量和时间、含烟气量和污染物出口浓度的月度</w:t>
                  </w:r>
                  <w:r>
                    <w:rPr>
                      <w:rFonts w:hint="default" w:ascii="Times New Roman" w:hAnsi="Times New Roman" w:cs="Times New Roman"/>
                      <w:b w:val="0"/>
                      <w:bCs w:val="0"/>
                      <w:color w:val="auto"/>
                      <w:sz w:val="21"/>
                      <w:szCs w:val="21"/>
                      <w:u w:val="none"/>
                      <w:lang w:val="en-US" w:eastAsia="zh-CN"/>
                    </w:rPr>
                    <w:t>DCS曲线图等</w:t>
                  </w:r>
                  <w:r>
                    <w:rPr>
                      <w:rFonts w:hint="default" w:ascii="Times New Roman" w:hAnsi="Times New Roman" w:cs="Times New Roman"/>
                      <w:b w:val="0"/>
                      <w:bCs w:val="0"/>
                      <w:color w:val="auto"/>
                      <w:sz w:val="21"/>
                      <w:szCs w:val="21"/>
                      <w:u w:val="none"/>
                      <w:lang w:eastAsia="zh-CN"/>
                    </w:rPr>
                    <w:t>）</w:t>
                  </w:r>
                  <w:r>
                    <w:rPr>
                      <w:rFonts w:hint="default" w:ascii="Times New Roman" w:hAnsi="Times New Roman" w:cs="Times New Roman"/>
                      <w:b w:val="0"/>
                      <w:bCs w:val="0"/>
                      <w:color w:val="auto"/>
                      <w:sz w:val="21"/>
                      <w:szCs w:val="21"/>
                      <w:u w:val="none"/>
                    </w:rPr>
                    <w:t>；3.监测记录信息（主要污染排放口废气排放记录等）；4.主要原辅材料消耗记录；5.燃料消耗记录；</w:t>
                  </w:r>
                </w:p>
              </w:tc>
              <w:tc>
                <w:tcPr>
                  <w:tcW w:w="1366" w:type="pct"/>
                  <w:tcBorders>
                    <w:top w:val="single" w:color="auto" w:sz="4" w:space="0"/>
                    <w:bottom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项目按要求做好台账记录</w:t>
                  </w:r>
                </w:p>
              </w:tc>
              <w:tc>
                <w:tcPr>
                  <w:tcW w:w="285" w:type="pct"/>
                  <w:tcBorders>
                    <w:top w:val="single" w:color="auto" w:sz="4" w:space="0"/>
                    <w:bottom w:val="single" w:color="auto" w:sz="4" w:space="0"/>
                    <w:right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450" w:type="pct"/>
                  <w:vMerge w:val="continue"/>
                  <w:tcBorders>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p>
              </w:tc>
              <w:tc>
                <w:tcPr>
                  <w:tcW w:w="353" w:type="pct"/>
                  <w:tcBorders>
                    <w:top w:val="single" w:color="auto" w:sz="4" w:space="0"/>
                    <w:right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人员配置</w:t>
                  </w:r>
                </w:p>
              </w:tc>
              <w:tc>
                <w:tcPr>
                  <w:tcW w:w="2542" w:type="pct"/>
                  <w:tcBorders>
                    <w:top w:val="single" w:color="auto" w:sz="4" w:space="0"/>
                    <w:left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设置环保部门，配备专职环保人员，并具备相应的环境管理能力</w:t>
                  </w:r>
                </w:p>
              </w:tc>
              <w:tc>
                <w:tcPr>
                  <w:tcW w:w="1366" w:type="pct"/>
                  <w:tcBorders>
                    <w:top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厂区已配备</w:t>
                  </w:r>
                  <w:r>
                    <w:rPr>
                      <w:rFonts w:hint="default" w:ascii="Times New Roman" w:hAnsi="Times New Roman" w:eastAsia="宋体" w:cs="Times New Roman"/>
                      <w:b w:val="0"/>
                      <w:bCs w:val="0"/>
                      <w:color w:val="auto"/>
                      <w:sz w:val="21"/>
                      <w:szCs w:val="21"/>
                      <w:u w:val="none"/>
                      <w:lang w:val="en-US" w:eastAsia="zh-CN"/>
                    </w:rPr>
                    <w:t>配备专职环保人员</w:t>
                  </w:r>
                </w:p>
              </w:tc>
              <w:tc>
                <w:tcPr>
                  <w:tcW w:w="285" w:type="pct"/>
                  <w:tcBorders>
                    <w:top w:val="single" w:color="auto" w:sz="4" w:space="0"/>
                    <w:right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450" w:type="pct"/>
                  <w:tcBorders>
                    <w:top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运输方式</w:t>
                  </w:r>
                </w:p>
              </w:tc>
              <w:tc>
                <w:tcPr>
                  <w:tcW w:w="2896" w:type="pct"/>
                  <w:gridSpan w:val="2"/>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1.物料、产品公路运输全部使用国五及以上排放标准的重型载货车辆（重型燃气车辆达到国六排放标准）或新能源车辆；</w:t>
                  </w:r>
                </w:p>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2.厂区车辆全部达国五及以上排放标准（含燃气）或使用新能源车辆；</w:t>
                  </w:r>
                </w:p>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3.厂内非道路移动机械达到国三及以上排放标准或使用新能源机械。</w:t>
                  </w:r>
                </w:p>
              </w:tc>
              <w:tc>
                <w:tcPr>
                  <w:tcW w:w="1366" w:type="pct"/>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项目使用车辆符合要求</w:t>
                  </w:r>
                </w:p>
              </w:tc>
              <w:tc>
                <w:tcPr>
                  <w:tcW w:w="285" w:type="pct"/>
                  <w:tcBorders>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450" w:type="pct"/>
                  <w:tcBorders>
                    <w:bottom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运输监管</w:t>
                  </w:r>
                </w:p>
              </w:tc>
              <w:tc>
                <w:tcPr>
                  <w:tcW w:w="2896" w:type="pct"/>
                  <w:gridSpan w:val="2"/>
                  <w:tcBorders>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参照《重污染天气重点行业移动源应急管理技术指南》建立门禁视频监控系统和电子台账。</w:t>
                  </w:r>
                </w:p>
              </w:tc>
              <w:tc>
                <w:tcPr>
                  <w:tcW w:w="1366" w:type="pct"/>
                  <w:tcBorders>
                    <w:bottom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项目严格按照</w:t>
                  </w:r>
                  <w:r>
                    <w:rPr>
                      <w:rFonts w:hint="default" w:ascii="Times New Roman" w:hAnsi="Times New Roman" w:cs="Times New Roman"/>
                      <w:b w:val="0"/>
                      <w:bCs w:val="0"/>
                      <w:color w:val="auto"/>
                      <w:sz w:val="21"/>
                      <w:szCs w:val="21"/>
                      <w:u w:val="none"/>
                    </w:rPr>
                    <w:t>《重污染天气重点行业移动源应急管理技术指南》建立门禁视频监控系统和电子台账</w:t>
                  </w:r>
                </w:p>
              </w:tc>
              <w:tc>
                <w:tcPr>
                  <w:tcW w:w="285" w:type="pct"/>
                  <w:tcBorders>
                    <w:bottom w:val="single" w:color="auto" w:sz="4" w:space="0"/>
                    <w:right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b/>
                <w:bCs/>
                <w:color w:val="auto"/>
                <w:sz w:val="24"/>
                <w:szCs w:val="24"/>
                <w:u w:val="none"/>
              </w:rPr>
            </w:pPr>
            <w:r>
              <w:rPr>
                <w:rFonts w:hint="default" w:ascii="Times New Roman" w:hAnsi="Times New Roman" w:cs="Times New Roman"/>
                <w:b/>
                <w:bCs/>
                <w:color w:val="auto"/>
                <w:sz w:val="24"/>
                <w:szCs w:val="24"/>
                <w:u w:val="none"/>
                <w:lang w:val="en-US" w:eastAsia="zh-CN"/>
              </w:rPr>
              <w:t>（5）</w:t>
            </w:r>
            <w:r>
              <w:rPr>
                <w:rFonts w:hint="default" w:ascii="Times New Roman" w:hAnsi="Times New Roman" w:cs="Times New Roman"/>
                <w:b/>
                <w:bCs/>
                <w:color w:val="auto"/>
                <w:sz w:val="24"/>
                <w:szCs w:val="24"/>
                <w:u w:val="none"/>
              </w:rPr>
              <w:t>与</w:t>
            </w:r>
            <w:r>
              <w:rPr>
                <w:rFonts w:hint="eastAsia" w:ascii="Times New Roman" w:hAnsi="Times New Roman" w:cs="Times New Roman"/>
                <w:b/>
                <w:bCs/>
                <w:color w:val="auto"/>
                <w:sz w:val="24"/>
                <w:szCs w:val="24"/>
                <w:u w:val="none"/>
                <w:lang w:eastAsia="zh-CN"/>
              </w:rPr>
              <w:t>《</w:t>
            </w:r>
            <w:r>
              <w:rPr>
                <w:rFonts w:hint="default" w:ascii="Times New Roman" w:hAnsi="Times New Roman" w:cs="Times New Roman"/>
                <w:b/>
                <w:bCs/>
                <w:color w:val="auto"/>
                <w:sz w:val="24"/>
                <w:szCs w:val="24"/>
                <w:u w:val="none"/>
              </w:rPr>
              <w:t>商丘市2023年蓝天保卫战实施方案</w:t>
            </w:r>
            <w:r>
              <w:rPr>
                <w:rFonts w:hint="eastAsia" w:ascii="Times New Roman" w:hAnsi="Times New Roman" w:cs="Times New Roman"/>
                <w:b/>
                <w:bCs/>
                <w:color w:val="auto"/>
                <w:sz w:val="24"/>
                <w:szCs w:val="24"/>
                <w:u w:val="none"/>
                <w:lang w:eastAsia="zh-CN"/>
              </w:rPr>
              <w:t>》、《商丘市2023年碧水保卫战实施方案》、《商丘市2023年净土保卫战实施方案》</w:t>
            </w:r>
            <w:r>
              <w:rPr>
                <w:rFonts w:hint="default" w:ascii="Times New Roman" w:hAnsi="Times New Roman" w:cs="Times New Roman"/>
                <w:b/>
                <w:bCs/>
                <w:color w:val="auto"/>
                <w:sz w:val="24"/>
                <w:szCs w:val="24"/>
                <w:u w:val="none"/>
              </w:rPr>
              <w:t>相符性分析</w:t>
            </w:r>
          </w:p>
          <w:p>
            <w:pPr>
              <w:pStyle w:val="2"/>
              <w:spacing w:line="360" w:lineRule="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与（豫环委办〔2022〕9号）相符性分析一览表</w:t>
            </w:r>
          </w:p>
          <w:tbl>
            <w:tblPr>
              <w:tblStyle w:val="27"/>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0"/>
              <w:gridCol w:w="3462"/>
              <w:gridCol w:w="2636"/>
              <w:gridCol w:w="5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753" w:type="pct"/>
                  <w:noWrap w:val="0"/>
                  <w:vAlign w:val="center"/>
                </w:tcPr>
                <w:p>
                  <w:pPr>
                    <w:jc w:val="center"/>
                    <w:rPr>
                      <w:rFonts w:ascii="Times New Roman" w:hAnsi="Times New Roman"/>
                      <w:b/>
                      <w:bCs/>
                      <w:color w:val="000000"/>
                      <w:szCs w:val="21"/>
                      <w:highlight w:val="none"/>
                    </w:rPr>
                  </w:pPr>
                  <w:r>
                    <w:rPr>
                      <w:rFonts w:ascii="Times New Roman" w:hAnsi="Times New Roman"/>
                      <w:b/>
                      <w:bCs/>
                      <w:color w:val="000000"/>
                      <w:szCs w:val="21"/>
                      <w:highlight w:val="none"/>
                    </w:rPr>
                    <w:t>项目</w:t>
                  </w:r>
                </w:p>
              </w:tc>
              <w:tc>
                <w:tcPr>
                  <w:tcW w:w="2209" w:type="pct"/>
                  <w:noWrap w:val="0"/>
                  <w:vAlign w:val="center"/>
                </w:tcPr>
                <w:p>
                  <w:pPr>
                    <w:jc w:val="center"/>
                    <w:rPr>
                      <w:rFonts w:ascii="Times New Roman" w:hAnsi="Times New Roman"/>
                      <w:b/>
                      <w:bCs/>
                      <w:color w:val="000000"/>
                      <w:szCs w:val="21"/>
                      <w:highlight w:val="none"/>
                    </w:rPr>
                  </w:pPr>
                  <w:r>
                    <w:rPr>
                      <w:rFonts w:ascii="Times New Roman" w:hAnsi="Times New Roman"/>
                      <w:b/>
                      <w:bCs/>
                      <w:color w:val="000000"/>
                      <w:szCs w:val="21"/>
                      <w:highlight w:val="none"/>
                    </w:rPr>
                    <w:t>相关要求</w:t>
                  </w:r>
                </w:p>
              </w:tc>
              <w:tc>
                <w:tcPr>
                  <w:tcW w:w="1682" w:type="pct"/>
                  <w:noWrap w:val="0"/>
                  <w:vAlign w:val="center"/>
                </w:tcPr>
                <w:p>
                  <w:pPr>
                    <w:jc w:val="center"/>
                    <w:rPr>
                      <w:rFonts w:ascii="Times New Roman" w:hAnsi="Times New Roman"/>
                      <w:b/>
                      <w:bCs/>
                      <w:color w:val="000000"/>
                      <w:szCs w:val="21"/>
                      <w:highlight w:val="none"/>
                    </w:rPr>
                  </w:pPr>
                  <w:r>
                    <w:rPr>
                      <w:rFonts w:ascii="Times New Roman" w:hAnsi="Times New Roman"/>
                      <w:b/>
                      <w:bCs/>
                      <w:color w:val="000000"/>
                      <w:szCs w:val="21"/>
                      <w:highlight w:val="none"/>
                    </w:rPr>
                    <w:t>本项目情况</w:t>
                  </w:r>
                </w:p>
              </w:tc>
              <w:tc>
                <w:tcPr>
                  <w:tcW w:w="354" w:type="pct"/>
                  <w:tcBorders>
                    <w:right w:val="single" w:color="auto" w:sz="4" w:space="0"/>
                  </w:tcBorders>
                  <w:noWrap w:val="0"/>
                  <w:vAlign w:val="center"/>
                </w:tcPr>
                <w:p>
                  <w:pPr>
                    <w:jc w:val="center"/>
                    <w:rPr>
                      <w:rFonts w:ascii="Times New Roman" w:hAnsi="Times New Roman"/>
                      <w:b/>
                      <w:bCs/>
                      <w:color w:val="000000"/>
                      <w:szCs w:val="21"/>
                      <w:highlight w:val="none"/>
                    </w:rPr>
                  </w:pPr>
                  <w:r>
                    <w:rPr>
                      <w:rFonts w:ascii="Times New Roman" w:hAnsi="Times New Roman"/>
                      <w:b/>
                      <w:bCs/>
                      <w:color w:val="000000"/>
                      <w:szCs w:val="21"/>
                      <w:highlight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6" w:hRule="atLeast"/>
              </w:trPr>
              <w:tc>
                <w:tcPr>
                  <w:tcW w:w="753" w:type="pct"/>
                  <w:noWrap w:val="0"/>
                  <w:vAlign w:val="center"/>
                </w:tcPr>
                <w:p>
                  <w:pPr>
                    <w:jc w:val="left"/>
                    <w:rPr>
                      <w:rFonts w:ascii="Times New Roman" w:hAnsi="Times New Roman"/>
                      <w:color w:val="000000"/>
                      <w:szCs w:val="21"/>
                      <w:highlight w:val="none"/>
                    </w:rPr>
                  </w:pPr>
                  <w:r>
                    <w:rPr>
                      <w:rFonts w:ascii="Times New Roman" w:hAnsi="Times New Roman"/>
                      <w:color w:val="000000"/>
                      <w:szCs w:val="21"/>
                      <w:highlight w:val="none"/>
                    </w:rPr>
                    <w:t>《商丘市2023年蓝天保卫战实施方案》）</w:t>
                  </w:r>
                </w:p>
              </w:tc>
              <w:tc>
                <w:tcPr>
                  <w:tcW w:w="2209" w:type="pct"/>
                  <w:tcBorders>
                    <w:bottom w:val="single" w:color="auto" w:sz="4" w:space="0"/>
                  </w:tcBorders>
                  <w:noWrap w:val="0"/>
                  <w:vAlign w:val="center"/>
                </w:tcPr>
                <w:p>
                  <w:pPr>
                    <w:rPr>
                      <w:rFonts w:ascii="Times New Roman" w:hAnsi="Times New Roman"/>
                      <w:color w:val="000000"/>
                      <w:szCs w:val="21"/>
                      <w:highlight w:val="none"/>
                    </w:rPr>
                  </w:pPr>
                  <w:r>
                    <w:rPr>
                      <w:rFonts w:ascii="Times New Roman" w:hAnsi="Times New Roman"/>
                      <w:color w:val="000000"/>
                      <w:szCs w:val="21"/>
                      <w:highlight w:val="none"/>
                    </w:rPr>
                    <w:t>（一）持续推进产业结构优化调整</w:t>
                  </w:r>
                </w:p>
                <w:p>
                  <w:pPr>
                    <w:rPr>
                      <w:rFonts w:ascii="Times New Roman" w:hAnsi="Times New Roman"/>
                      <w:color w:val="000000"/>
                      <w:szCs w:val="21"/>
                      <w:highlight w:val="none"/>
                    </w:rPr>
                  </w:pPr>
                  <w:r>
                    <w:rPr>
                      <w:rFonts w:ascii="Times New Roman" w:hAnsi="Times New Roman"/>
                      <w:color w:val="000000"/>
                      <w:szCs w:val="21"/>
                      <w:highlight w:val="none"/>
                    </w:rPr>
                    <w:t>1、加快传统产业企业升级改造。组织对炭素、耐火材料、包装印刷、家具制造等行业企业开展排查摸底，2023年5月底前建立重点行业企业清单台账，研究制定“一行业一策”整治提升方案，从生产工艺、产能规模、能耗水平、燃料类型、污染治理和区域环境综合整治等方面明确升级改造标准，支持建设集中供热(气)中心、集中涂装中心、活性炭集中再生处理中心、有机溶剂回收处置中心，培育一批绿色工厂、绿色工业园区，不断优化产业结构，推进工业企业绿色低碳高质量发展。</w:t>
                  </w:r>
                </w:p>
                <w:p>
                  <w:pPr>
                    <w:rPr>
                      <w:rFonts w:ascii="Times New Roman" w:hAnsi="Times New Roman"/>
                      <w:color w:val="000000"/>
                      <w:szCs w:val="21"/>
                      <w:highlight w:val="none"/>
                    </w:rPr>
                  </w:pPr>
                  <w:r>
                    <w:rPr>
                      <w:rFonts w:ascii="Times New Roman" w:hAnsi="Times New Roman"/>
                      <w:color w:val="000000"/>
                      <w:szCs w:val="21"/>
                      <w:highlight w:val="none"/>
                    </w:rPr>
                    <w:t>2.依法依规淘汰落后低效产能。将大气污染物排放强度高、治理难度大以及产能过剩行业的工艺和装备纳入淘汰范围。制定2023年落后产能淘汰退出工作方案，严格执行能耗、环保、质量、安全、技术等法规标准，明确落后产能淘汰目标任务，组织开展排查整治专项行动，对落后产能实施动态“清零”。</w:t>
                  </w:r>
                </w:p>
                <w:p>
                  <w:pPr>
                    <w:rPr>
                      <w:rFonts w:ascii="Times New Roman" w:hAnsi="Times New Roman"/>
                      <w:color w:val="000000"/>
                      <w:szCs w:val="21"/>
                      <w:highlight w:val="none"/>
                    </w:rPr>
                  </w:pPr>
                  <w:r>
                    <w:rPr>
                      <w:rFonts w:ascii="Times New Roman" w:hAnsi="Times New Roman"/>
                      <w:color w:val="000000"/>
                      <w:szCs w:val="21"/>
                      <w:highlight w:val="none"/>
                    </w:rPr>
                    <w:t>3.推进重污染企业退城搬迁。全面排查不符合城市建设规划、行业发展规划、生态环境功能定位的重污染企业，结合空气质量高值热点情况，研究建立重污染企业退城搬迁工作台账，持续推进重污染企业退城搬迁工作。</w:t>
                  </w:r>
                </w:p>
              </w:tc>
              <w:tc>
                <w:tcPr>
                  <w:tcW w:w="1682" w:type="pct"/>
                  <w:tcBorders>
                    <w:bottom w:val="single" w:color="auto" w:sz="4" w:space="0"/>
                  </w:tcBorders>
                  <w:noWrap w:val="0"/>
                  <w:vAlign w:val="center"/>
                </w:tcPr>
                <w:p>
                  <w:pPr>
                    <w:pStyle w:val="64"/>
                    <w:spacing w:line="240" w:lineRule="auto"/>
                    <w:ind w:firstLine="0" w:firstLineChars="0"/>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本项目</w:t>
                  </w:r>
                  <w:r>
                    <w:rPr>
                      <w:rFonts w:hint="default" w:ascii="Times New Roman" w:hAnsi="Times New Roman" w:cs="Times New Roman"/>
                      <w:color w:val="auto"/>
                      <w:sz w:val="21"/>
                      <w:szCs w:val="21"/>
                      <w:highlight w:val="none"/>
                      <w:u w:val="none"/>
                      <w:shd w:val="clear"/>
                      <w:lang w:val="en-US" w:eastAsia="zh-CN"/>
                    </w:rPr>
                    <w:t>属于铝压延加工</w:t>
                  </w:r>
                  <w:r>
                    <w:rPr>
                      <w:rFonts w:ascii="Times New Roman" w:hAnsi="Times New Roman" w:cs="Times New Roman"/>
                      <w:color w:val="000000"/>
                      <w:sz w:val="21"/>
                      <w:szCs w:val="21"/>
                      <w:highlight w:val="none"/>
                    </w:rPr>
                    <w:t>，不属于大气污染物排放强度高、治理难度大的企业，不属于产能过剩行业；项目不属于重污染企业。</w:t>
                  </w:r>
                </w:p>
              </w:tc>
              <w:tc>
                <w:tcPr>
                  <w:tcW w:w="354" w:type="pct"/>
                  <w:tcBorders>
                    <w:right w:val="single" w:color="auto" w:sz="4" w:space="0"/>
                  </w:tcBorders>
                  <w:noWrap w:val="0"/>
                  <w:vAlign w:val="center"/>
                </w:tcPr>
                <w:p>
                  <w:pPr>
                    <w:jc w:val="center"/>
                    <w:rPr>
                      <w:rFonts w:ascii="Times New Roman" w:hAnsi="Times New Roman"/>
                      <w:color w:val="000000"/>
                      <w:szCs w:val="21"/>
                      <w:highlight w:val="none"/>
                    </w:rPr>
                  </w:pPr>
                  <w:r>
                    <w:rPr>
                      <w:rFonts w:ascii="Times New Roman" w:hAnsi="Times New Roman"/>
                      <w:color w:val="000000"/>
                      <w:szCs w:val="21"/>
                      <w:highlight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753" w:type="pct"/>
                  <w:vMerge w:val="restart"/>
                  <w:noWrap w:val="0"/>
                  <w:vAlign w:val="center"/>
                </w:tcPr>
                <w:p>
                  <w:pPr>
                    <w:rPr>
                      <w:rFonts w:ascii="Times New Roman" w:hAnsi="Times New Roman"/>
                      <w:color w:val="000000"/>
                      <w:szCs w:val="21"/>
                      <w:highlight w:val="none"/>
                    </w:rPr>
                  </w:pPr>
                  <w:r>
                    <w:rPr>
                      <w:rFonts w:ascii="Times New Roman" w:hAnsi="Times New Roman"/>
                      <w:color w:val="000000"/>
                      <w:szCs w:val="21"/>
                      <w:highlight w:val="none"/>
                    </w:rPr>
                    <w:t>《商丘市2023年碧水保卫战实施方案》</w:t>
                  </w:r>
                </w:p>
              </w:tc>
              <w:tc>
                <w:tcPr>
                  <w:tcW w:w="2209" w:type="pct"/>
                  <w:tcBorders>
                    <w:bottom w:val="single" w:color="auto" w:sz="4" w:space="0"/>
                  </w:tcBorders>
                  <w:noWrap w:val="0"/>
                  <w:vAlign w:val="center"/>
                </w:tcPr>
                <w:p>
                  <w:pPr>
                    <w:rPr>
                      <w:rFonts w:ascii="Times New Roman" w:hAnsi="Times New Roman"/>
                      <w:color w:val="000000"/>
                      <w:szCs w:val="21"/>
                      <w:highlight w:val="none"/>
                    </w:rPr>
                  </w:pPr>
                  <w:r>
                    <w:rPr>
                      <w:rFonts w:ascii="Times New Roman" w:hAnsi="Times New Roman"/>
                      <w:color w:val="000000"/>
                      <w:szCs w:val="21"/>
                      <w:highlight w:val="none"/>
                    </w:rPr>
                    <w:t>（一）持续打好城市黑臭水体治理攻坚战</w:t>
                  </w:r>
                </w:p>
                <w:p>
                  <w:pPr>
                    <w:rPr>
                      <w:rFonts w:ascii="Times New Roman" w:hAnsi="Times New Roman"/>
                      <w:color w:val="000000"/>
                      <w:szCs w:val="21"/>
                      <w:highlight w:val="none"/>
                    </w:rPr>
                  </w:pPr>
                  <w:r>
                    <w:rPr>
                      <w:rFonts w:ascii="Times New Roman" w:hAnsi="Times New Roman"/>
                      <w:color w:val="000000"/>
                      <w:szCs w:val="21"/>
                      <w:highlight w:val="none"/>
                    </w:rPr>
                    <w:t>2、加快推进城镇污水基础设施建设。持续推进城镇生活污水处理提质增效，补齐污水收集处理 设施短板，提升新区新城、污水处理厂长期超负荷运行区域的污水处理能力。开展污水管网建设和雨污分流、错接混接破损改造，对进水生化需氧量浓度低于100毫克/升的城市生活污水处理厂，围绕服务片区开展“一厂一策”系统化整治。</w:t>
                  </w:r>
                </w:p>
              </w:tc>
              <w:tc>
                <w:tcPr>
                  <w:tcW w:w="1682" w:type="pct"/>
                  <w:tcBorders>
                    <w:bottom w:val="single" w:color="auto" w:sz="4" w:space="0"/>
                  </w:tcBorders>
                  <w:noWrap w:val="0"/>
                  <w:vAlign w:val="center"/>
                </w:tcPr>
                <w:p>
                  <w:pPr>
                    <w:rPr>
                      <w:rFonts w:ascii="Times New Roman" w:hAnsi="Times New Roman"/>
                      <w:color w:val="000000"/>
                      <w:szCs w:val="21"/>
                      <w:highlight w:val="none"/>
                    </w:rPr>
                  </w:pPr>
                  <w:r>
                    <w:rPr>
                      <w:rFonts w:ascii="Times New Roman" w:hAnsi="Times New Roman"/>
                      <w:color w:val="000000"/>
                      <w:szCs w:val="21"/>
                      <w:highlight w:val="none"/>
                    </w:rPr>
                    <w:t>本</w:t>
                  </w:r>
                  <w:r>
                    <w:rPr>
                      <w:rFonts w:hint="default" w:ascii="Times New Roman" w:hAnsi="Times New Roman" w:cs="Times New Roman"/>
                      <w:b w:val="0"/>
                      <w:bCs w:val="0"/>
                      <w:color w:val="auto"/>
                      <w:sz w:val="21"/>
                      <w:szCs w:val="21"/>
                      <w:u w:val="none"/>
                      <w:lang w:eastAsia="zh-CN"/>
                    </w:rPr>
                    <w:t>项目</w:t>
                  </w:r>
                  <w:r>
                    <w:rPr>
                      <w:rFonts w:hint="default" w:ascii="Times New Roman" w:hAnsi="Times New Roman" w:cs="Times New Roman"/>
                      <w:color w:val="auto"/>
                      <w:sz w:val="21"/>
                      <w:szCs w:val="21"/>
                      <w:highlight w:val="none"/>
                      <w:u w:val="none"/>
                      <w:shd w:val="clear"/>
                      <w:lang w:val="en-US" w:eastAsia="zh-CN"/>
                    </w:rPr>
                    <w:t>属于铝压延加工</w:t>
                  </w:r>
                  <w:r>
                    <w:rPr>
                      <w:rFonts w:ascii="Times New Roman" w:hAnsi="Times New Roman"/>
                      <w:color w:val="000000"/>
                      <w:szCs w:val="21"/>
                      <w:highlight w:val="none"/>
                    </w:rPr>
                    <w:t>，营运期</w:t>
                  </w:r>
                  <w:r>
                    <w:rPr>
                      <w:rFonts w:hint="eastAsia" w:ascii="Times New Roman" w:hAnsi="Times New Roman"/>
                      <w:color w:val="000000"/>
                      <w:szCs w:val="21"/>
                      <w:highlight w:val="none"/>
                      <w:lang w:val="en-US" w:eastAsia="zh-CN"/>
                    </w:rPr>
                    <w:t>不新增污水</w:t>
                  </w:r>
                  <w:r>
                    <w:rPr>
                      <w:rFonts w:ascii="Times New Roman" w:hAnsi="Times New Roman"/>
                      <w:color w:val="000000"/>
                      <w:szCs w:val="21"/>
                      <w:highlight w:val="none"/>
                    </w:rPr>
                    <w:t>。</w:t>
                  </w:r>
                </w:p>
              </w:tc>
              <w:tc>
                <w:tcPr>
                  <w:tcW w:w="354" w:type="pct"/>
                  <w:tcBorders>
                    <w:bottom w:val="single" w:color="auto" w:sz="4" w:space="0"/>
                    <w:right w:val="single" w:color="auto" w:sz="4" w:space="0"/>
                  </w:tcBorders>
                  <w:noWrap w:val="0"/>
                  <w:vAlign w:val="center"/>
                </w:tcPr>
                <w:p>
                  <w:pPr>
                    <w:jc w:val="center"/>
                    <w:rPr>
                      <w:rFonts w:ascii="Times New Roman" w:hAnsi="Times New Roman"/>
                      <w:color w:val="000000"/>
                      <w:szCs w:val="21"/>
                      <w:highlight w:val="none"/>
                    </w:rPr>
                  </w:pPr>
                  <w:r>
                    <w:rPr>
                      <w:rFonts w:ascii="Times New Roman" w:hAnsi="Times New Roman"/>
                      <w:color w:val="000000"/>
                      <w:szCs w:val="21"/>
                      <w:highlight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753" w:type="pct"/>
                  <w:vMerge w:val="continue"/>
                  <w:noWrap w:val="0"/>
                  <w:vAlign w:val="center"/>
                </w:tcPr>
                <w:p>
                  <w:pPr>
                    <w:rPr>
                      <w:rFonts w:ascii="Times New Roman" w:hAnsi="Times New Roman"/>
                      <w:color w:val="000000"/>
                      <w:szCs w:val="21"/>
                      <w:highlight w:val="none"/>
                    </w:rPr>
                  </w:pPr>
                </w:p>
              </w:tc>
              <w:tc>
                <w:tcPr>
                  <w:tcW w:w="2209" w:type="pct"/>
                  <w:tcBorders>
                    <w:top w:val="single" w:color="auto" w:sz="4" w:space="0"/>
                    <w:bottom w:val="single" w:color="auto" w:sz="4" w:space="0"/>
                  </w:tcBorders>
                  <w:noWrap w:val="0"/>
                  <w:vAlign w:val="center"/>
                </w:tcPr>
                <w:p>
                  <w:pPr>
                    <w:rPr>
                      <w:rFonts w:ascii="Times New Roman" w:hAnsi="Times New Roman"/>
                      <w:color w:val="000000"/>
                      <w:szCs w:val="21"/>
                      <w:highlight w:val="none"/>
                    </w:rPr>
                  </w:pPr>
                  <w:r>
                    <w:rPr>
                      <w:rFonts w:ascii="Times New Roman" w:hAnsi="Times New Roman"/>
                      <w:color w:val="000000"/>
                      <w:szCs w:val="21"/>
                      <w:highlight w:val="none"/>
                    </w:rPr>
                    <w:t>（五）开展污水资源化利用</w:t>
                  </w:r>
                </w:p>
                <w:p>
                  <w:pPr>
                    <w:rPr>
                      <w:rFonts w:ascii="Times New Roman" w:hAnsi="Times New Roman"/>
                      <w:color w:val="000000"/>
                      <w:szCs w:val="21"/>
                      <w:highlight w:val="none"/>
                    </w:rPr>
                  </w:pPr>
                  <w:r>
                    <w:rPr>
                      <w:rFonts w:ascii="Times New Roman" w:hAnsi="Times New Roman"/>
                      <w:color w:val="000000"/>
                      <w:szCs w:val="21"/>
                      <w:highlight w:val="none"/>
                    </w:rPr>
                    <w:t>17. 实施工业废水循环利用工程。推进企业、工业园区根据内部废水水质特点，围绕过程循环和回用，实施废水循环利用技术改造，完善废水循环利用装备和设施，促进企业间串联用水、分质用水、一水多用和梯级利用，提升企业水重复利用率。新建企业和园区要在规划布局时，统筹供排水、水处理及循环利用设施建设，推动企业间的用水系统集成优化。开展工业废水再生利用水质监测评价和用水管理，推动地方和重点用水企业搭建工业废水循环利用智慧管理平台。</w:t>
                  </w:r>
                </w:p>
              </w:tc>
              <w:tc>
                <w:tcPr>
                  <w:tcW w:w="1682" w:type="pct"/>
                  <w:tcBorders>
                    <w:top w:val="single" w:color="auto" w:sz="4" w:space="0"/>
                    <w:bottom w:val="single" w:color="auto" w:sz="4" w:space="0"/>
                  </w:tcBorders>
                  <w:noWrap w:val="0"/>
                  <w:vAlign w:val="center"/>
                </w:tcPr>
                <w:p>
                  <w:pPr>
                    <w:rPr>
                      <w:rFonts w:ascii="Times New Roman" w:hAnsi="Times New Roman"/>
                      <w:color w:val="000000"/>
                      <w:szCs w:val="21"/>
                      <w:highlight w:val="none"/>
                    </w:rPr>
                  </w:pPr>
                  <w:r>
                    <w:rPr>
                      <w:rFonts w:ascii="Times New Roman" w:hAnsi="Times New Roman"/>
                      <w:color w:val="000000"/>
                      <w:szCs w:val="21"/>
                      <w:highlight w:val="none"/>
                    </w:rPr>
                    <w:t>本项目属于</w:t>
                  </w:r>
                  <w:r>
                    <w:rPr>
                      <w:rFonts w:hint="default" w:ascii="Times New Roman" w:hAnsi="Times New Roman" w:cs="Times New Roman"/>
                      <w:color w:val="auto"/>
                      <w:sz w:val="21"/>
                      <w:szCs w:val="21"/>
                      <w:highlight w:val="none"/>
                      <w:u w:val="none"/>
                      <w:shd w:val="clear"/>
                      <w:lang w:val="en-US" w:eastAsia="zh-CN"/>
                    </w:rPr>
                    <w:t>铝压延加工</w:t>
                  </w:r>
                  <w:r>
                    <w:rPr>
                      <w:rFonts w:ascii="Times New Roman" w:hAnsi="Times New Roman"/>
                      <w:color w:val="000000"/>
                      <w:szCs w:val="21"/>
                      <w:highlight w:val="none"/>
                    </w:rPr>
                    <w:t>项目，</w:t>
                  </w:r>
                  <w:r>
                    <w:rPr>
                      <w:rFonts w:hint="eastAsia" w:ascii="Times New Roman" w:hAnsi="Times New Roman"/>
                      <w:color w:val="000000"/>
                      <w:szCs w:val="21"/>
                      <w:highlight w:val="none"/>
                      <w:lang w:val="en-US" w:eastAsia="zh-CN"/>
                    </w:rPr>
                    <w:t>项目不新增污水</w:t>
                  </w:r>
                </w:p>
              </w:tc>
              <w:tc>
                <w:tcPr>
                  <w:tcW w:w="354" w:type="pct"/>
                  <w:tcBorders>
                    <w:top w:val="single" w:color="auto" w:sz="4" w:space="0"/>
                    <w:bottom w:val="single" w:color="auto" w:sz="4" w:space="0"/>
                    <w:right w:val="single" w:color="auto" w:sz="4" w:space="0"/>
                  </w:tcBorders>
                  <w:noWrap w:val="0"/>
                  <w:vAlign w:val="center"/>
                </w:tcPr>
                <w:p>
                  <w:pPr>
                    <w:jc w:val="center"/>
                    <w:rPr>
                      <w:rFonts w:ascii="Times New Roman" w:hAnsi="Times New Roman"/>
                      <w:color w:val="000000"/>
                      <w:szCs w:val="21"/>
                      <w:highlight w:val="none"/>
                    </w:rPr>
                  </w:pPr>
                  <w:r>
                    <w:rPr>
                      <w:rFonts w:ascii="Times New Roman" w:hAnsi="Times New Roman"/>
                      <w:color w:val="000000"/>
                      <w:szCs w:val="21"/>
                      <w:highlight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 w:hRule="atLeast"/>
              </w:trPr>
              <w:tc>
                <w:tcPr>
                  <w:tcW w:w="753" w:type="pct"/>
                  <w:vMerge w:val="continue"/>
                  <w:noWrap w:val="0"/>
                  <w:vAlign w:val="center"/>
                </w:tcPr>
                <w:p>
                  <w:pPr>
                    <w:rPr>
                      <w:rFonts w:ascii="Times New Roman" w:hAnsi="Times New Roman"/>
                      <w:color w:val="000000"/>
                      <w:szCs w:val="21"/>
                      <w:highlight w:val="none"/>
                    </w:rPr>
                  </w:pPr>
                </w:p>
              </w:tc>
              <w:tc>
                <w:tcPr>
                  <w:tcW w:w="2209" w:type="pct"/>
                  <w:tcBorders>
                    <w:top w:val="single" w:color="auto" w:sz="4" w:space="0"/>
                  </w:tcBorders>
                  <w:noWrap w:val="0"/>
                  <w:vAlign w:val="center"/>
                </w:tcPr>
                <w:p>
                  <w:pPr>
                    <w:rPr>
                      <w:rFonts w:ascii="Times New Roman" w:hAnsi="Times New Roman"/>
                      <w:color w:val="000000"/>
                      <w:szCs w:val="21"/>
                      <w:highlight w:val="none"/>
                    </w:rPr>
                  </w:pPr>
                  <w:r>
                    <w:rPr>
                      <w:rFonts w:ascii="Times New Roman" w:hAnsi="Times New Roman"/>
                      <w:color w:val="000000"/>
                      <w:szCs w:val="21"/>
                      <w:highlight w:val="none"/>
                    </w:rPr>
                    <w:t>(六)统筹做好其他水生态环境保护工作</w:t>
                  </w:r>
                </w:p>
                <w:p>
                  <w:pPr>
                    <w:rPr>
                      <w:rFonts w:ascii="Times New Roman" w:hAnsi="Times New Roman"/>
                      <w:color w:val="000000"/>
                      <w:szCs w:val="21"/>
                      <w:highlight w:val="none"/>
                    </w:rPr>
                  </w:pPr>
                  <w:r>
                    <w:rPr>
                      <w:rFonts w:ascii="Times New Roman" w:hAnsi="Times New Roman"/>
                      <w:color w:val="000000"/>
                      <w:szCs w:val="21"/>
                      <w:highlight w:val="none"/>
                    </w:rPr>
                    <w:t>19. 推动企业绿色转型发展。严格落实环境准入，落实“三线一单"生态环境分区管控体系，构建以“三线一单”为空间管控基础、环境影响评价为环境准入把关、排污许可为企业运行守法依据的生态环境管理框架。在造纸、焦化、氮肥、农副食品加工、皮革、印染、有色、原料药制造、电镀等重点水污染物排放行业，深入推进清洁生产审核，推动清洁生产改造，减少单位产品耗水量和单位产品排污量，促进企业废水厂内回用。</w:t>
                  </w:r>
                </w:p>
              </w:tc>
              <w:tc>
                <w:tcPr>
                  <w:tcW w:w="1682" w:type="pct"/>
                  <w:tcBorders>
                    <w:top w:val="single" w:color="auto" w:sz="4" w:space="0"/>
                  </w:tcBorders>
                  <w:noWrap w:val="0"/>
                  <w:vAlign w:val="center"/>
                </w:tcPr>
                <w:p>
                  <w:pPr>
                    <w:rPr>
                      <w:rFonts w:hint="default" w:ascii="Times New Roman" w:hAnsi="Times New Roman" w:eastAsia="宋体"/>
                      <w:color w:val="000000"/>
                      <w:szCs w:val="21"/>
                      <w:highlight w:val="none"/>
                      <w:lang w:val="en-US" w:eastAsia="zh-CN"/>
                    </w:rPr>
                  </w:pPr>
                  <w:r>
                    <w:rPr>
                      <w:rFonts w:ascii="Times New Roman" w:hAnsi="Times New Roman"/>
                      <w:color w:val="000000"/>
                      <w:szCs w:val="21"/>
                      <w:highlight w:val="none"/>
                    </w:rPr>
                    <w:t>本项目属于</w:t>
                  </w:r>
                  <w:r>
                    <w:rPr>
                      <w:rFonts w:hint="default" w:ascii="Times New Roman" w:hAnsi="Times New Roman" w:cs="Times New Roman"/>
                      <w:color w:val="auto"/>
                      <w:sz w:val="21"/>
                      <w:szCs w:val="21"/>
                      <w:highlight w:val="none"/>
                      <w:u w:val="none"/>
                      <w:shd w:val="clear"/>
                      <w:lang w:val="en-US" w:eastAsia="zh-CN"/>
                    </w:rPr>
                    <w:t>铝压延加工</w:t>
                  </w:r>
                  <w:r>
                    <w:rPr>
                      <w:rFonts w:ascii="Times New Roman" w:hAnsi="Times New Roman"/>
                      <w:color w:val="000000"/>
                      <w:szCs w:val="21"/>
                      <w:highlight w:val="none"/>
                    </w:rPr>
                    <w:t>项目，严格遵守“三线一单"生态环境分区管控体系。项目不属于造纸、焦化、氮肥、农副食品加工、皮革、印染、有色、原料药制造、电镀等重点水污染物排放行业；营运期</w:t>
                  </w:r>
                  <w:r>
                    <w:rPr>
                      <w:rFonts w:hint="eastAsia" w:ascii="Times New Roman" w:hAnsi="Times New Roman"/>
                      <w:color w:val="000000"/>
                      <w:szCs w:val="21"/>
                      <w:highlight w:val="none"/>
                      <w:lang w:val="en-US" w:eastAsia="zh-CN"/>
                    </w:rPr>
                    <w:t>不新增污水</w:t>
                  </w:r>
                </w:p>
              </w:tc>
              <w:tc>
                <w:tcPr>
                  <w:tcW w:w="354" w:type="pct"/>
                  <w:tcBorders>
                    <w:top w:val="single" w:color="auto" w:sz="4" w:space="0"/>
                    <w:right w:val="single" w:color="auto" w:sz="4" w:space="0"/>
                  </w:tcBorders>
                  <w:noWrap w:val="0"/>
                  <w:vAlign w:val="center"/>
                </w:tcPr>
                <w:p>
                  <w:pPr>
                    <w:jc w:val="center"/>
                    <w:rPr>
                      <w:rFonts w:ascii="Times New Roman" w:hAnsi="Times New Roman"/>
                      <w:color w:val="000000"/>
                      <w:szCs w:val="21"/>
                      <w:highlight w:val="none"/>
                    </w:rPr>
                  </w:pPr>
                  <w:r>
                    <w:rPr>
                      <w:rFonts w:ascii="Times New Roman" w:hAnsi="Times New Roman"/>
                      <w:color w:val="000000"/>
                      <w:szCs w:val="21"/>
                      <w:highlight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53" w:type="pct"/>
                  <w:tcBorders>
                    <w:top w:val="single" w:color="auto" w:sz="4" w:space="0"/>
                    <w:bottom w:val="single" w:color="auto" w:sz="4" w:space="0"/>
                  </w:tcBorders>
                  <w:noWrap w:val="0"/>
                  <w:vAlign w:val="center"/>
                </w:tcPr>
                <w:p>
                  <w:pPr>
                    <w:rPr>
                      <w:rFonts w:ascii="Times New Roman" w:hAnsi="Times New Roman"/>
                      <w:color w:val="000000"/>
                      <w:szCs w:val="21"/>
                      <w:highlight w:val="none"/>
                    </w:rPr>
                  </w:pPr>
                  <w:r>
                    <w:rPr>
                      <w:rFonts w:ascii="Times New Roman" w:hAnsi="Times New Roman"/>
                      <w:color w:val="000000"/>
                      <w:szCs w:val="21"/>
                      <w:highlight w:val="none"/>
                    </w:rPr>
                    <w:t>《商丘市2023年净土保卫战实施方案》</w:t>
                  </w:r>
                </w:p>
              </w:tc>
              <w:tc>
                <w:tcPr>
                  <w:tcW w:w="2209" w:type="pct"/>
                  <w:noWrap w:val="0"/>
                  <w:vAlign w:val="center"/>
                </w:tcPr>
                <w:p>
                  <w:pPr>
                    <w:rPr>
                      <w:rFonts w:ascii="Times New Roman" w:hAnsi="Times New Roman"/>
                      <w:color w:val="000000"/>
                      <w:szCs w:val="21"/>
                      <w:highlight w:val="none"/>
                    </w:rPr>
                  </w:pPr>
                  <w:r>
                    <w:rPr>
                      <w:rFonts w:ascii="Times New Roman" w:hAnsi="Times New Roman"/>
                      <w:color w:val="000000"/>
                      <w:szCs w:val="21"/>
                      <w:highlight w:val="none"/>
                    </w:rPr>
                    <w:t>加强土壤污染风险管控</w:t>
                  </w:r>
                </w:p>
                <w:p>
                  <w:pPr>
                    <w:rPr>
                      <w:rFonts w:ascii="Times New Roman" w:hAnsi="Times New Roman"/>
                      <w:color w:val="000000"/>
                      <w:szCs w:val="21"/>
                      <w:highlight w:val="none"/>
                    </w:rPr>
                  </w:pPr>
                  <w:r>
                    <w:rPr>
                      <w:rFonts w:ascii="Times New Roman" w:hAnsi="Times New Roman"/>
                      <w:color w:val="000000"/>
                      <w:szCs w:val="21"/>
                      <w:highlight w:val="none"/>
                    </w:rPr>
                    <w:t>1.深入推进农用地土壤锡等重金属污染源头防治行动加强壤重金属污染源头防控，动态更新涉镐等重金属行业企业清单并完成整治任务。</w:t>
                  </w:r>
                </w:p>
                <w:p>
                  <w:pPr>
                    <w:rPr>
                      <w:rFonts w:ascii="Times New Roman" w:hAnsi="Times New Roman"/>
                      <w:color w:val="000000"/>
                      <w:szCs w:val="21"/>
                      <w:highlight w:val="none"/>
                    </w:rPr>
                  </w:pPr>
                  <w:r>
                    <w:rPr>
                      <w:rFonts w:ascii="Times New Roman" w:hAnsi="Times New Roman"/>
                      <w:color w:val="000000"/>
                      <w:szCs w:val="21"/>
                      <w:highlight w:val="none"/>
                    </w:rPr>
                    <w:t>2.推动重点监管单位规范化监管。</w:t>
                  </w:r>
                </w:p>
                <w:p>
                  <w:pPr>
                    <w:rPr>
                      <w:rFonts w:ascii="Times New Roman" w:hAnsi="Times New Roman"/>
                      <w:color w:val="000000"/>
                      <w:szCs w:val="21"/>
                      <w:highlight w:val="none"/>
                    </w:rPr>
                  </w:pPr>
                  <w:r>
                    <w:rPr>
                      <w:rFonts w:ascii="Times New Roman" w:hAnsi="Times New Roman"/>
                      <w:color w:val="000000"/>
                      <w:szCs w:val="21"/>
                      <w:highlight w:val="none"/>
                    </w:rPr>
                    <w:t>完成土壤污染重点监管单位名录更新，及时向社会公开，依法纳入排污许可管理，全面落实法律义务。新纳入的重点监管单位本年度内开展一次隐患排查、自行监测对制革、焦化、有色金属冶炼等10个行业开展隐患排查“回头看”工作。</w:t>
                  </w:r>
                </w:p>
                <w:p>
                  <w:pPr>
                    <w:rPr>
                      <w:rFonts w:ascii="Times New Roman" w:hAnsi="Times New Roman"/>
                      <w:color w:val="000000"/>
                      <w:szCs w:val="21"/>
                      <w:highlight w:val="none"/>
                    </w:rPr>
                  </w:pPr>
                  <w:r>
                    <w:rPr>
                      <w:rFonts w:ascii="Times New Roman" w:hAnsi="Times New Roman"/>
                      <w:color w:val="000000"/>
                      <w:szCs w:val="21"/>
                      <w:highlight w:val="none"/>
                    </w:rPr>
                    <w:t>3.全面加强固体废物监管。</w:t>
                  </w:r>
                </w:p>
                <w:p>
                  <w:pPr>
                    <w:rPr>
                      <w:rFonts w:ascii="Times New Roman" w:hAnsi="Times New Roman"/>
                      <w:color w:val="000000"/>
                      <w:szCs w:val="21"/>
                      <w:highlight w:val="none"/>
                    </w:rPr>
                  </w:pPr>
                  <w:r>
                    <w:rPr>
                      <w:rFonts w:ascii="Times New Roman" w:hAnsi="Times New Roman"/>
                      <w:color w:val="000000"/>
                      <w:szCs w:val="21"/>
                      <w:highlight w:val="none"/>
                    </w:rPr>
                    <w:t>持续开展危险废物排查整治，全面提升危险废物环境监管、利用处置和环境风险防范“三个能力”，推动危险废物监管和利用处置能力改革工作。加快健全医疗废物收集转运体系，支持现有医疗废物集中处置设施提标改造。动态更新涉危险废物企业“四个清单”，有序推进固废监管信息化建设，强化危险废物源头管控和收集转运等过程监管。持续开展小微企业危险废物收集和废铅酸蓄电池收集转运试点工作。</w:t>
                  </w:r>
                </w:p>
                <w:p>
                  <w:pPr>
                    <w:rPr>
                      <w:rFonts w:ascii="Times New Roman" w:hAnsi="Times New Roman"/>
                      <w:color w:val="000000"/>
                      <w:szCs w:val="21"/>
                      <w:highlight w:val="none"/>
                    </w:rPr>
                  </w:pPr>
                  <w:r>
                    <w:rPr>
                      <w:rFonts w:ascii="Times New Roman" w:hAnsi="Times New Roman"/>
                      <w:color w:val="000000"/>
                      <w:szCs w:val="21"/>
                      <w:highlight w:val="none"/>
                    </w:rPr>
                    <w:t>9.保障重点建设用地安全利用。</w:t>
                  </w:r>
                </w:p>
                <w:p>
                  <w:pPr>
                    <w:rPr>
                      <w:rFonts w:ascii="Times New Roman" w:hAnsi="Times New Roman"/>
                      <w:color w:val="000000"/>
                      <w:szCs w:val="21"/>
                      <w:highlight w:val="none"/>
                    </w:rPr>
                  </w:pPr>
                  <w:r>
                    <w:rPr>
                      <w:rFonts w:ascii="Times New Roman" w:hAnsi="Times New Roman"/>
                      <w:color w:val="000000"/>
                      <w:szCs w:val="21"/>
                      <w:highlight w:val="none"/>
                    </w:rPr>
                    <w:t>生态环境、自然资源部门加强联动监管，健全管理机制，用途变更为“一住两公”纳入详细规划和供地管理的地块应在供地(土地划拔、出让)前落实壤污染风险管控和修复活动。生态环境部门共享重点建设用地土壤污染风险管控和修复落实情况，及时上传全国土壤环境管理信息系统，组织开展安全利用核查核算;自然资源部门及时共享用途变更为“一住两公”的年度供地计划，并依法督促土地使用权人、土壤污染责任人或管理单位开展土壤污染状况调查。鼓励采取“净土收储”“净土供应”或“环境修复+开发建设”等模式。</w:t>
                  </w:r>
                </w:p>
              </w:tc>
              <w:tc>
                <w:tcPr>
                  <w:tcW w:w="1682" w:type="pct"/>
                  <w:noWrap w:val="0"/>
                  <w:vAlign w:val="center"/>
                </w:tcPr>
                <w:p>
                  <w:pPr>
                    <w:rPr>
                      <w:rFonts w:ascii="Times New Roman" w:hAnsi="Times New Roman"/>
                      <w:color w:val="000000"/>
                      <w:szCs w:val="21"/>
                      <w:highlight w:val="none"/>
                    </w:rPr>
                  </w:pPr>
                  <w:r>
                    <w:rPr>
                      <w:rFonts w:ascii="Times New Roman" w:hAnsi="Times New Roman"/>
                      <w:color w:val="000000"/>
                      <w:szCs w:val="21"/>
                      <w:highlight w:val="none"/>
                    </w:rPr>
                    <w:t>本项目属于</w:t>
                  </w:r>
                  <w:r>
                    <w:rPr>
                      <w:rFonts w:hint="default" w:ascii="Times New Roman" w:hAnsi="Times New Roman" w:cs="Times New Roman"/>
                      <w:color w:val="auto"/>
                      <w:sz w:val="21"/>
                      <w:szCs w:val="21"/>
                      <w:highlight w:val="none"/>
                      <w:u w:val="none"/>
                      <w:shd w:val="clear"/>
                      <w:lang w:val="en-US" w:eastAsia="zh-CN"/>
                    </w:rPr>
                    <w:t>铝压延加工</w:t>
                  </w:r>
                  <w:r>
                    <w:rPr>
                      <w:rFonts w:ascii="Times New Roman" w:hAnsi="Times New Roman"/>
                      <w:color w:val="000000"/>
                      <w:szCs w:val="21"/>
                      <w:highlight w:val="none"/>
                    </w:rPr>
                    <w:t>项目，不属于涉重金属企业。评价要求企业按时申领排污许可证；本项目营运期产生的危险废物委托有资质单位处置；项目不属于纳入大气重点排污单位名录或实行排污许可重点管理的涉镉等重金属排放企业。</w:t>
                  </w:r>
                </w:p>
              </w:tc>
              <w:tc>
                <w:tcPr>
                  <w:tcW w:w="354" w:type="pct"/>
                  <w:tcBorders>
                    <w:right w:val="single" w:color="auto" w:sz="4" w:space="0"/>
                  </w:tcBorders>
                  <w:noWrap w:val="0"/>
                  <w:vAlign w:val="center"/>
                </w:tcPr>
                <w:p>
                  <w:pPr>
                    <w:jc w:val="center"/>
                    <w:rPr>
                      <w:rFonts w:ascii="Times New Roman" w:hAnsi="Times New Roman"/>
                      <w:color w:val="000000"/>
                      <w:szCs w:val="21"/>
                      <w:highlight w:val="none"/>
                    </w:rPr>
                  </w:pPr>
                  <w:r>
                    <w:rPr>
                      <w:rFonts w:ascii="Times New Roman" w:hAnsi="Times New Roman"/>
                      <w:color w:val="000000"/>
                      <w:szCs w:val="21"/>
                      <w:highlight w:val="none"/>
                    </w:rPr>
                    <w:t>符合</w:t>
                  </w:r>
                </w:p>
              </w:tc>
            </w:tr>
          </w:tbl>
          <w:p>
            <w:pPr>
              <w:spacing w:line="360" w:lineRule="auto"/>
              <w:ind w:firstLine="480" w:firstLineChars="200"/>
              <w:jc w:val="left"/>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由上表可知，本项目建设与</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rPr>
              <w:t>商丘市2023年蓝天保卫战实施方案</w:t>
            </w:r>
            <w:r>
              <w:rPr>
                <w:rFonts w:hint="default" w:ascii="Times New Roman" w:hAnsi="Times New Roman" w:cs="Times New Roman"/>
                <w:b w:val="0"/>
                <w:bCs w:val="0"/>
                <w:color w:val="auto"/>
                <w:sz w:val="24"/>
                <w:szCs w:val="24"/>
                <w:u w:val="none"/>
                <w:lang w:eastAsia="zh-CN"/>
              </w:rPr>
              <w:t>》、《商丘市2023年碧水保卫战实施方案》、《商丘市2023年净土保卫战实施方案》</w:t>
            </w:r>
            <w:r>
              <w:rPr>
                <w:rFonts w:hint="default" w:ascii="Times New Roman" w:hAnsi="Times New Roman" w:cs="Times New Roman"/>
                <w:b w:val="0"/>
                <w:bCs w:val="0"/>
                <w:color w:val="auto"/>
                <w:sz w:val="24"/>
                <w:szCs w:val="24"/>
                <w:u w:val="none"/>
              </w:rPr>
              <w:t>相符。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vertAlign w:val="baseline"/>
                <w:lang w:val="en-US" w:eastAsia="zh-CN"/>
              </w:rPr>
            </w:pPr>
          </w:p>
        </w:tc>
      </w:tr>
    </w:tbl>
    <w:p>
      <w:pPr>
        <w:rPr>
          <w:rFonts w:hint="default" w:ascii="Times New Roman" w:hAnsi="Times New Roman" w:cs="Times New Roman"/>
          <w:color w:val="auto"/>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jc w:val="center"/>
        <w:rPr>
          <w:rFonts w:hint="default" w:ascii="Times New Roman" w:hAnsi="Times New Roman" w:eastAsia="黑体" w:cs="Times New Roman"/>
          <w:color w:val="auto"/>
          <w:sz w:val="28"/>
          <w:szCs w:val="36"/>
          <w:lang w:val="en-US" w:eastAsia="zh-CN"/>
        </w:rPr>
      </w:pPr>
      <w:r>
        <w:rPr>
          <w:rFonts w:hint="default" w:ascii="Times New Roman" w:hAnsi="Times New Roman" w:eastAsia="黑体" w:cs="Times New Roman"/>
          <w:color w:val="auto"/>
          <w:sz w:val="28"/>
          <w:szCs w:val="36"/>
          <w:lang w:val="en-US" w:eastAsia="zh-CN"/>
        </w:rPr>
        <w:t>二、建设项目工程分析</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
        <w:gridCol w:w="8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建设内容</w:t>
            </w:r>
          </w:p>
        </w:tc>
        <w:tc>
          <w:tcPr>
            <w:tcW w:w="8134" w:type="dxa"/>
            <w:noWrap w:val="0"/>
            <w:vAlign w:val="top"/>
          </w:tcPr>
          <w:p>
            <w:pPr>
              <w:pStyle w:val="2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1、项目概况</w:t>
            </w:r>
          </w:p>
          <w:p>
            <w:pPr>
              <w:pStyle w:val="61"/>
              <w:spacing w:line="360" w:lineRule="auto"/>
              <w:ind w:firstLine="482"/>
              <w:outlineLvl w:val="0"/>
              <w:rPr>
                <w:rFonts w:hint="default" w:ascii="Times New Roman" w:hAnsi="Times New Roman" w:eastAsia="宋体" w:cs="Times New Roman"/>
                <w:color w:val="auto"/>
                <w:sz w:val="24"/>
                <w:szCs w:val="24"/>
                <w:highlight w:val="none"/>
                <w:lang w:val="zh-CN"/>
              </w:rPr>
            </w:pPr>
            <w:r>
              <w:rPr>
                <w:rFonts w:hint="default" w:ascii="Times New Roman" w:hAnsi="Times New Roman" w:cs="Times New Roman"/>
                <w:color w:val="auto"/>
                <w:sz w:val="24"/>
                <w:szCs w:val="24"/>
                <w:lang w:val="zh-CN"/>
              </w:rPr>
              <w:t>本项目为</w:t>
            </w:r>
            <w:r>
              <w:rPr>
                <w:rFonts w:hint="eastAsia" w:ascii="Times New Roman" w:hAnsi="Times New Roman" w:cs="Times New Roman"/>
                <w:color w:val="auto"/>
                <w:sz w:val="24"/>
                <w:szCs w:val="24"/>
                <w:lang w:val="en-US" w:eastAsia="zh-CN"/>
              </w:rPr>
              <w:t>改建</w:t>
            </w:r>
            <w:r>
              <w:rPr>
                <w:rFonts w:hint="default" w:ascii="Times New Roman" w:hAnsi="Times New Roman" w:cs="Times New Roman"/>
                <w:color w:val="auto"/>
                <w:sz w:val="24"/>
                <w:szCs w:val="24"/>
                <w:lang w:val="en-US" w:eastAsia="zh-CN"/>
              </w:rPr>
              <w:t>项目，</w:t>
            </w:r>
            <w:r>
              <w:rPr>
                <w:rFonts w:hint="eastAsia" w:ascii="Times New Roman" w:hAnsi="Times New Roman" w:cs="Times New Roman"/>
                <w:color w:val="auto"/>
                <w:sz w:val="24"/>
                <w:szCs w:val="24"/>
                <w:lang w:val="en-US" w:eastAsia="zh-CN"/>
              </w:rPr>
              <w:t>针对</w:t>
            </w:r>
            <w:r>
              <w:rPr>
                <w:rFonts w:hint="default" w:ascii="Times New Roman" w:hAnsi="Times New Roman" w:cs="Times New Roman"/>
                <w:color w:val="auto"/>
                <w:sz w:val="24"/>
                <w:szCs w:val="24"/>
                <w:lang w:val="en-US" w:eastAsia="zh-CN"/>
              </w:rPr>
              <w:t>河南科源电子铝箔有限公司高性能电子铝箔技术改造项目</w:t>
            </w:r>
            <w:r>
              <w:rPr>
                <w:rFonts w:hint="eastAsia" w:ascii="Times New Roman" w:hAnsi="Times New Roman" w:cs="Times New Roman"/>
                <w:color w:val="auto"/>
                <w:sz w:val="24"/>
                <w:szCs w:val="24"/>
                <w:lang w:val="en-US" w:eastAsia="zh-CN"/>
              </w:rPr>
              <w:t>进行进一步技术升级改造</w:t>
            </w:r>
            <w:r>
              <w:rPr>
                <w:rFonts w:hint="default" w:ascii="Times New Roman" w:hAnsi="Times New Roman" w:eastAsia="宋体" w:cs="Times New Roman"/>
                <w:color w:val="auto"/>
                <w:sz w:val="24"/>
                <w:szCs w:val="24"/>
                <w:highlight w:val="none"/>
                <w:lang w:val="zh-CN"/>
              </w:rPr>
              <w:t>，产品为高性能高压电子铝箔，该产品主要用于消费电子、工业控制、新能源汽车、光伏风电、移动通讯、航空航天等领域。以优势产品高压</w:t>
            </w:r>
            <w:r>
              <w:rPr>
                <w:rFonts w:hint="default" w:ascii="Times New Roman" w:hAnsi="Times New Roman" w:eastAsia="宋体" w:cs="Times New Roman"/>
                <w:color w:val="auto"/>
                <w:sz w:val="24"/>
                <w:szCs w:val="24"/>
                <w:highlight w:val="none"/>
                <w:lang w:val="zh-CN" w:eastAsia="zh-CN"/>
              </w:rPr>
              <w:t>电子铝</w:t>
            </w:r>
            <w:r>
              <w:rPr>
                <w:rFonts w:hint="default" w:ascii="Times New Roman" w:hAnsi="Times New Roman" w:eastAsia="宋体" w:cs="Times New Roman"/>
                <w:color w:val="auto"/>
                <w:sz w:val="24"/>
                <w:szCs w:val="24"/>
                <w:highlight w:val="none"/>
                <w:lang w:val="zh-CN"/>
              </w:rPr>
              <w:t>箔为支撑，深化调整产品结构，并围绕高性能电子新材料的开发进行设备配套建设。为顺应家用电器等消费类电子及工业电气设备小型化的发展趋势，本项目引进多台高端设备，如</w:t>
            </w:r>
            <w:r>
              <w:rPr>
                <w:rFonts w:hint="default" w:ascii="Times New Roman" w:hAnsi="Times New Roman" w:eastAsia="宋体" w:cs="Times New Roman"/>
                <w:color w:val="auto"/>
                <w:sz w:val="24"/>
                <w:szCs w:val="24"/>
                <w:highlight w:val="none"/>
                <w:lang w:val="zh-CN" w:eastAsia="zh-CN"/>
              </w:rPr>
              <w:t>铸造机</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eastAsia="zh-CN"/>
              </w:rPr>
              <w:t>均热炉、冷轧机板形控制系统等</w:t>
            </w:r>
            <w:r>
              <w:rPr>
                <w:rFonts w:hint="default" w:ascii="Times New Roman" w:hAnsi="Times New Roman" w:eastAsia="宋体" w:cs="Times New Roman"/>
                <w:color w:val="auto"/>
                <w:sz w:val="24"/>
                <w:szCs w:val="24"/>
                <w:highlight w:val="none"/>
                <w:lang w:val="zh-CN"/>
              </w:rPr>
              <w:t>为产品生产过程质量稳定提升、产品性能指标不断攀高、新型电子材料的研发奠定基础。本项目设备装机水平高、自动化程度强，并以此为基础着力打造数字化智慧型工厂。</w:t>
            </w:r>
          </w:p>
          <w:p>
            <w:pPr>
              <w:pStyle w:val="61"/>
              <w:spacing w:line="360" w:lineRule="auto"/>
              <w:ind w:firstLine="482"/>
              <w:outlineLvl w:val="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项目</w:t>
            </w:r>
            <w:r>
              <w:rPr>
                <w:rFonts w:hint="default" w:ascii="Times New Roman" w:hAnsi="Times New Roman" w:cs="Times New Roman"/>
                <w:color w:val="auto"/>
                <w:sz w:val="24"/>
                <w:szCs w:val="24"/>
                <w:lang w:val="en-US" w:eastAsia="zh-CN"/>
              </w:rPr>
              <w:t>已在</w:t>
            </w:r>
            <w:r>
              <w:rPr>
                <w:rFonts w:hint="default" w:ascii="Times New Roman" w:hAnsi="Times New Roman" w:eastAsia="宋体" w:cs="Times New Roman"/>
                <w:color w:val="auto"/>
                <w:sz w:val="24"/>
                <w:szCs w:val="24"/>
                <w:vertAlign w:val="baseline"/>
                <w:lang w:val="en-US" w:eastAsia="zh-CN"/>
              </w:rPr>
              <w:t>永城经济技术开发区经济发展局备案（项目代码：</w:t>
            </w:r>
            <w:r>
              <w:rPr>
                <w:rFonts w:hint="eastAsia" w:ascii="Times New Roman" w:hAnsi="Times New Roman" w:cs="Times New Roman"/>
                <w:color w:val="auto"/>
                <w:sz w:val="24"/>
                <w:szCs w:val="24"/>
                <w:vertAlign w:val="baseline"/>
                <w:lang w:val="en-US" w:eastAsia="zh-CN"/>
              </w:rPr>
              <w:t>2311-411481-04-02-781087</w:t>
            </w:r>
            <w:r>
              <w:rPr>
                <w:rFonts w:hint="default"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color w:val="auto"/>
                <w:sz w:val="24"/>
                <w:szCs w:val="24"/>
                <w:vertAlign w:val="baseline"/>
                <w:lang w:val="zh-CN" w:eastAsia="zh-CN"/>
              </w:rPr>
              <w:t>经对照《产业结构调整指导目录(20</w:t>
            </w:r>
            <w:r>
              <w:rPr>
                <w:rFonts w:hint="eastAsia" w:ascii="Times New Roman" w:hAnsi="Times New Roman" w:eastAsia="宋体" w:cs="Times New Roman"/>
                <w:color w:val="auto"/>
                <w:sz w:val="24"/>
                <w:szCs w:val="24"/>
                <w:vertAlign w:val="baseline"/>
                <w:lang w:val="en-US" w:eastAsia="zh-CN"/>
              </w:rPr>
              <w:t>24</w:t>
            </w:r>
            <w:r>
              <w:rPr>
                <w:rFonts w:hint="default" w:ascii="Times New Roman" w:hAnsi="Times New Roman" w:eastAsia="宋体" w:cs="Times New Roman"/>
                <w:color w:val="auto"/>
                <w:sz w:val="24"/>
                <w:szCs w:val="24"/>
                <w:vertAlign w:val="baseline"/>
                <w:lang w:val="zh-CN" w:eastAsia="zh-CN"/>
              </w:rPr>
              <w:t>年本)》，本项目不属于限制、淘汰类项目，属于允许类</w:t>
            </w:r>
            <w:r>
              <w:rPr>
                <w:rFonts w:hint="default" w:ascii="Times New Roman" w:hAnsi="Times New Roman" w:cs="Times New Roman"/>
                <w:color w:val="auto"/>
                <w:sz w:val="24"/>
                <w:szCs w:val="24"/>
                <w:lang w:val="zh-CN"/>
              </w:rPr>
              <w:t>，符合国家产业政策</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sz w:val="24"/>
                <w:szCs w:val="24"/>
                <w:highlight w:val="none"/>
                <w:u w:val="none" w:color="auto"/>
                <w:lang w:eastAsia="zh-CN"/>
              </w:rPr>
            </w:pPr>
            <w:r>
              <w:rPr>
                <w:rFonts w:hint="default" w:ascii="Times New Roman" w:hAnsi="Times New Roman" w:cs="Times New Roman"/>
                <w:b w:val="0"/>
                <w:bCs w:val="0"/>
                <w:color w:val="auto"/>
                <w:sz w:val="24"/>
                <w:szCs w:val="24"/>
                <w:u w:val="none" w:color="auto"/>
              </w:rPr>
              <w:t>根据《建设项目环境影响评价分类管理名录》（</w:t>
            </w:r>
            <w:r>
              <w:rPr>
                <w:rFonts w:hint="default" w:ascii="Times New Roman" w:hAnsi="Times New Roman" w:cs="Times New Roman"/>
                <w:b w:val="0"/>
                <w:bCs w:val="0"/>
                <w:color w:val="auto"/>
                <w:sz w:val="24"/>
                <w:szCs w:val="24"/>
                <w:u w:val="none" w:color="auto"/>
                <w:lang w:eastAsia="zh-CN"/>
              </w:rPr>
              <w:t>2021版</w:t>
            </w:r>
            <w:r>
              <w:rPr>
                <w:rFonts w:hint="default" w:ascii="Times New Roman" w:hAnsi="Times New Roman" w:cs="Times New Roman"/>
                <w:b w:val="0"/>
                <w:bCs w:val="0"/>
                <w:color w:val="auto"/>
                <w:sz w:val="24"/>
                <w:szCs w:val="24"/>
                <w:u w:val="none" w:color="auto"/>
              </w:rPr>
              <w:t>）的规定</w:t>
            </w:r>
            <w:r>
              <w:rPr>
                <w:rFonts w:hint="default" w:ascii="Times New Roman" w:hAnsi="Times New Roman" w:cs="Times New Roman"/>
                <w:b w:val="0"/>
                <w:bCs w:val="0"/>
                <w:color w:val="auto"/>
                <w:sz w:val="24"/>
                <w:szCs w:val="24"/>
                <w:u w:val="none" w:color="auto"/>
                <w:lang w:val="zh-CN"/>
              </w:rPr>
              <w:t>，本项目属于“</w:t>
            </w:r>
            <w:r>
              <w:rPr>
                <w:rFonts w:hint="default" w:ascii="Times New Roman" w:hAnsi="Times New Roman" w:cs="Times New Roman"/>
                <w:b w:val="0"/>
                <w:bCs w:val="0"/>
                <w:color w:val="auto"/>
                <w:sz w:val="24"/>
                <w:szCs w:val="24"/>
                <w:u w:val="none" w:color="auto"/>
                <w:lang w:val="zh-CN" w:eastAsia="zh-CN"/>
              </w:rPr>
              <w:t>二十九、有色金属冶炼和压延加工业32  65、有色金属压延加工325</w:t>
            </w:r>
            <w:r>
              <w:rPr>
                <w:rFonts w:hint="default" w:ascii="Times New Roman" w:hAnsi="Times New Roman" w:cs="Times New Roman"/>
                <w:b w:val="0"/>
                <w:bCs w:val="0"/>
                <w:color w:val="auto"/>
                <w:sz w:val="24"/>
                <w:szCs w:val="24"/>
                <w:u w:val="none" w:color="auto"/>
                <w:lang w:val="zh-CN"/>
              </w:rPr>
              <w:t>”</w:t>
            </w:r>
            <w:r>
              <w:rPr>
                <w:rFonts w:hint="default" w:ascii="Times New Roman" w:hAnsi="Times New Roman" w:cs="Times New Roman"/>
                <w:b w:val="0"/>
                <w:bCs w:val="0"/>
                <w:color w:val="auto"/>
                <w:sz w:val="24"/>
                <w:szCs w:val="24"/>
                <w:u w:val="none" w:color="auto"/>
              </w:rPr>
              <w:t>，</w:t>
            </w:r>
            <w:r>
              <w:rPr>
                <w:rFonts w:hint="default" w:ascii="Times New Roman" w:hAnsi="Times New Roman" w:cs="Times New Roman"/>
                <w:b w:val="0"/>
                <w:bCs w:val="0"/>
                <w:color w:val="auto"/>
                <w:sz w:val="24"/>
                <w:szCs w:val="24"/>
                <w:u w:val="none" w:color="auto"/>
                <w:lang w:val="zh-CN"/>
              </w:rPr>
              <w:t>需编制环境影响报告表。</w:t>
            </w:r>
            <w:r>
              <w:rPr>
                <w:rFonts w:hint="default" w:ascii="Times New Roman" w:hAnsi="Times New Roman" w:cs="Times New Roman"/>
                <w:b w:val="0"/>
                <w:bCs w:val="0"/>
                <w:color w:val="auto"/>
                <w:sz w:val="24"/>
                <w:szCs w:val="24"/>
                <w:highlight w:val="none"/>
                <w:u w:val="none" w:color="auto"/>
                <w:lang w:val="zh-CN"/>
              </w:rPr>
              <w:t>本项目</w:t>
            </w:r>
            <w:r>
              <w:rPr>
                <w:rFonts w:hint="eastAsia" w:ascii="Times New Roman" w:hAnsi="Times New Roman" w:cs="Times New Roman"/>
                <w:b w:val="0"/>
                <w:bCs w:val="0"/>
                <w:color w:val="auto"/>
                <w:sz w:val="24"/>
                <w:szCs w:val="24"/>
                <w:highlight w:val="none"/>
                <w:u w:val="none" w:color="auto"/>
                <w:lang w:val="en-US" w:eastAsia="zh-CN"/>
              </w:rPr>
              <w:t>对</w:t>
            </w:r>
            <w:r>
              <w:rPr>
                <w:rFonts w:hint="default" w:ascii="Times New Roman" w:hAnsi="Times New Roman" w:eastAsia="宋体" w:cs="Times New Roman"/>
                <w:color w:val="auto"/>
                <w:sz w:val="24"/>
                <w:szCs w:val="24"/>
                <w:vertAlign w:val="baseline"/>
                <w:lang w:val="en-US" w:eastAsia="zh-CN"/>
              </w:rPr>
              <w:t>河南科源电子铝箔有限公司</w:t>
            </w:r>
            <w:r>
              <w:rPr>
                <w:rFonts w:hint="eastAsia" w:ascii="Times New Roman" w:hAnsi="Times New Roman" w:cs="Times New Roman"/>
                <w:color w:val="auto"/>
                <w:sz w:val="24"/>
                <w:szCs w:val="24"/>
                <w:vertAlign w:val="baseline"/>
                <w:lang w:val="en-US" w:eastAsia="zh-CN"/>
              </w:rPr>
              <w:t>现有电子铝箔进行技术改造</w:t>
            </w:r>
            <w:r>
              <w:rPr>
                <w:rFonts w:hint="default" w:ascii="Times New Roman" w:hAnsi="Times New Roman" w:cs="Times New Roman"/>
                <w:b w:val="0"/>
                <w:bCs w:val="0"/>
                <w:color w:val="auto"/>
                <w:sz w:val="24"/>
                <w:szCs w:val="24"/>
                <w:highlight w:val="none"/>
                <w:u w:val="none" w:color="auto"/>
                <w:lang w:val="en-US" w:eastAsia="zh-CN"/>
              </w:rPr>
              <w:t>，项目厂区四周均为农田</w:t>
            </w:r>
            <w:r>
              <w:rPr>
                <w:rFonts w:hint="default" w:ascii="Times New Roman" w:hAnsi="Times New Roman" w:cs="Times New Roman"/>
                <w:b w:val="0"/>
                <w:bCs w:val="0"/>
                <w:color w:val="auto"/>
                <w:sz w:val="24"/>
                <w:szCs w:val="24"/>
                <w:highlight w:val="none"/>
                <w:u w:val="none" w:color="auto"/>
                <w:shd w:val="clear" w:color="auto" w:fill="auto"/>
                <w:lang w:val="en-US" w:eastAsia="zh-CN"/>
              </w:rPr>
              <w:t>，距离本项目最近的敏感点为北侧</w:t>
            </w:r>
            <w:r>
              <w:rPr>
                <w:rFonts w:hint="eastAsia" w:ascii="Times New Roman" w:hAnsi="Times New Roman" w:cs="Times New Roman"/>
                <w:b w:val="0"/>
                <w:bCs w:val="0"/>
                <w:color w:val="auto"/>
                <w:sz w:val="24"/>
                <w:szCs w:val="24"/>
                <w:highlight w:val="none"/>
                <w:u w:val="none" w:color="auto"/>
                <w:shd w:val="clear" w:color="auto" w:fill="auto"/>
                <w:lang w:val="en-US" w:eastAsia="zh-CN"/>
              </w:rPr>
              <w:t>102</w:t>
            </w:r>
            <w:r>
              <w:rPr>
                <w:rFonts w:hint="default" w:ascii="Times New Roman" w:hAnsi="Times New Roman" w:cs="Times New Roman"/>
                <w:b w:val="0"/>
                <w:bCs w:val="0"/>
                <w:color w:val="auto"/>
                <w:sz w:val="24"/>
                <w:szCs w:val="24"/>
                <w:highlight w:val="none"/>
                <w:u w:val="none" w:color="auto"/>
                <w:shd w:val="clear" w:color="auto" w:fill="auto"/>
                <w:lang w:val="en-US" w:eastAsia="zh-CN"/>
              </w:rPr>
              <w:t>m处的小刘庄村，</w:t>
            </w:r>
            <w:r>
              <w:rPr>
                <w:rFonts w:hint="default" w:ascii="Times New Roman" w:hAnsi="Times New Roman" w:cs="Times New Roman"/>
                <w:b w:val="0"/>
                <w:bCs w:val="0"/>
                <w:color w:val="auto"/>
                <w:sz w:val="24"/>
                <w:szCs w:val="24"/>
                <w:highlight w:val="none"/>
                <w:u w:val="none" w:color="auto"/>
                <w:lang w:val="zh-CN"/>
              </w:rPr>
              <w:t>项目周边环境示意图见附图</w:t>
            </w:r>
            <w:r>
              <w:rPr>
                <w:rFonts w:hint="default" w:ascii="Times New Roman" w:hAnsi="Times New Roman" w:cs="Times New Roman"/>
                <w:b w:val="0"/>
                <w:bCs w:val="0"/>
                <w:color w:val="auto"/>
                <w:sz w:val="24"/>
                <w:szCs w:val="24"/>
                <w:highlight w:val="none"/>
                <w:u w:val="none" w:color="auto"/>
                <w:lang w:val="en-US" w:eastAsia="zh-CN"/>
              </w:rPr>
              <w:t>2</w:t>
            </w:r>
            <w:r>
              <w:rPr>
                <w:rFonts w:hint="default" w:ascii="Times New Roman" w:hAnsi="Times New Roman" w:cs="Times New Roman"/>
                <w:b w:val="0"/>
                <w:bCs w:val="0"/>
                <w:color w:val="auto"/>
                <w:sz w:val="24"/>
                <w:szCs w:val="24"/>
                <w:highlight w:val="none"/>
                <w:u w:val="none" w:color="auto"/>
                <w:lang w:val="zh-CN"/>
              </w:rPr>
              <w:t>。</w:t>
            </w:r>
          </w:p>
          <w:p>
            <w:pPr>
              <w:pStyle w:val="2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szCs w:val="24"/>
                <w:u w:val="single"/>
                <w:vertAlign w:val="baseline"/>
                <w:lang w:val="en-US" w:eastAsia="zh-CN"/>
              </w:rPr>
            </w:pPr>
            <w:r>
              <w:rPr>
                <w:rFonts w:hint="default" w:ascii="Times New Roman" w:hAnsi="Times New Roman" w:cs="Times New Roman"/>
                <w:b/>
                <w:bCs/>
                <w:color w:val="auto"/>
                <w:sz w:val="24"/>
                <w:szCs w:val="24"/>
                <w:u w:val="single"/>
                <w:vertAlign w:val="baseline"/>
                <w:lang w:val="en-US" w:eastAsia="zh-CN"/>
              </w:rPr>
              <w:t>项目具体建设内容为：</w:t>
            </w:r>
          </w:p>
          <w:p>
            <w:pPr>
              <w:pStyle w:val="2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u w:val="single"/>
                <w:lang w:val="zh-CN"/>
              </w:rPr>
            </w:pPr>
            <w:r>
              <w:rPr>
                <w:rFonts w:hint="default" w:ascii="Times New Roman" w:hAnsi="Times New Roman" w:eastAsia="宋体" w:cs="Times New Roman"/>
                <w:b/>
                <w:bCs/>
                <w:color w:val="auto"/>
                <w:sz w:val="24"/>
                <w:szCs w:val="24"/>
                <w:highlight w:val="none"/>
                <w:u w:val="single"/>
                <w:lang w:val="zh-CN"/>
              </w:rPr>
              <w:t>本项目引进多台高端设备，如</w:t>
            </w:r>
            <w:r>
              <w:rPr>
                <w:rFonts w:hint="default" w:ascii="Times New Roman" w:hAnsi="Times New Roman" w:eastAsia="宋体" w:cs="Times New Roman"/>
                <w:b/>
                <w:bCs/>
                <w:color w:val="auto"/>
                <w:sz w:val="24"/>
                <w:szCs w:val="24"/>
                <w:highlight w:val="none"/>
                <w:u w:val="single"/>
                <w:lang w:val="zh-CN" w:eastAsia="zh-CN"/>
              </w:rPr>
              <w:t>铸造机</w:t>
            </w:r>
            <w:r>
              <w:rPr>
                <w:rFonts w:hint="default" w:ascii="Times New Roman" w:hAnsi="Times New Roman" w:eastAsia="宋体" w:cs="Times New Roman"/>
                <w:b/>
                <w:bCs/>
                <w:color w:val="auto"/>
                <w:sz w:val="24"/>
                <w:szCs w:val="24"/>
                <w:highlight w:val="none"/>
                <w:u w:val="single"/>
                <w:lang w:val="zh-CN"/>
              </w:rPr>
              <w:t>、</w:t>
            </w:r>
            <w:r>
              <w:rPr>
                <w:rFonts w:hint="default" w:ascii="Times New Roman" w:hAnsi="Times New Roman" w:eastAsia="宋体" w:cs="Times New Roman"/>
                <w:b/>
                <w:bCs/>
                <w:color w:val="auto"/>
                <w:sz w:val="24"/>
                <w:szCs w:val="24"/>
                <w:highlight w:val="none"/>
                <w:u w:val="single"/>
                <w:lang w:val="zh-CN" w:eastAsia="zh-CN"/>
              </w:rPr>
              <w:t>均热炉、冷轧机板形控制系统等</w:t>
            </w:r>
            <w:r>
              <w:rPr>
                <w:rFonts w:hint="default" w:ascii="Times New Roman" w:hAnsi="Times New Roman" w:eastAsia="宋体" w:cs="Times New Roman"/>
                <w:b/>
                <w:bCs/>
                <w:color w:val="auto"/>
                <w:sz w:val="24"/>
                <w:szCs w:val="24"/>
                <w:highlight w:val="none"/>
                <w:u w:val="single"/>
                <w:lang w:val="zh-CN"/>
              </w:rPr>
              <w:t>为产品生产过程质量稳定提升、产品性能指标不断攀高、新型电子材料的研发奠定基础。</w:t>
            </w:r>
            <w:r>
              <w:rPr>
                <w:rFonts w:hint="eastAsia" w:ascii="Times New Roman" w:hAnsi="Times New Roman" w:cs="Times New Roman"/>
                <w:b/>
                <w:bCs/>
                <w:color w:val="auto"/>
                <w:sz w:val="24"/>
                <w:szCs w:val="24"/>
                <w:u w:val="single"/>
                <w:vertAlign w:val="baseline"/>
                <w:lang w:val="en-US" w:eastAsia="zh-CN"/>
              </w:rPr>
              <w:t>对其中一部分高性能电子铝箔（约1万吨）进行升级改造为</w:t>
            </w:r>
            <w:r>
              <w:rPr>
                <w:rFonts w:hint="default" w:ascii="Times New Roman" w:hAnsi="Times New Roman" w:eastAsia="宋体" w:cs="Times New Roman"/>
                <w:b/>
                <w:bCs/>
                <w:color w:val="auto"/>
                <w:sz w:val="24"/>
                <w:szCs w:val="24"/>
                <w:highlight w:val="none"/>
                <w:u w:val="single"/>
                <w:lang w:val="zh-CN"/>
              </w:rPr>
              <w:t>高性能高压电子铝箔</w:t>
            </w:r>
            <w:r>
              <w:rPr>
                <w:rFonts w:hint="eastAsia" w:ascii="Times New Roman" w:hAnsi="Times New Roman" w:cs="Times New Roman"/>
                <w:b/>
                <w:bCs/>
                <w:color w:val="auto"/>
                <w:sz w:val="24"/>
                <w:szCs w:val="24"/>
                <w:highlight w:val="none"/>
                <w:u w:val="single"/>
                <w:lang w:val="zh-CN"/>
              </w:rPr>
              <w:t>，</w:t>
            </w:r>
            <w:r>
              <w:rPr>
                <w:rFonts w:hint="eastAsia" w:ascii="Times New Roman" w:hAnsi="Times New Roman" w:cs="Times New Roman"/>
                <w:b/>
                <w:bCs/>
                <w:color w:val="auto"/>
                <w:sz w:val="24"/>
                <w:szCs w:val="24"/>
                <w:highlight w:val="none"/>
                <w:u w:val="single"/>
                <w:lang w:val="en-US" w:eastAsia="zh-CN"/>
              </w:rPr>
              <w:t>总体产能不发生变化，较现有生产工艺不发生变化，主要通过改变设备、产品参数来提升产品性能。</w:t>
            </w:r>
            <w:r>
              <w:rPr>
                <w:rFonts w:hint="default" w:ascii="Times New Roman" w:hAnsi="Times New Roman" w:eastAsia="宋体" w:cs="Times New Roman"/>
                <w:b/>
                <w:bCs/>
                <w:color w:val="auto"/>
                <w:sz w:val="24"/>
                <w:szCs w:val="24"/>
                <w:highlight w:val="none"/>
                <w:u w:val="single"/>
                <w:lang w:val="zh-CN"/>
              </w:rPr>
              <w:t>购置中退炉1台、铸造机1套、倾动炉1台、均热炉1套、复卷机1台、冷轧机板型系统1套、箔轧机1台、进口磨床1台、清洗机1台，大数据信息平台建设系统1套等。</w:t>
            </w:r>
          </w:p>
          <w:p>
            <w:pPr>
              <w:pStyle w:val="26"/>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highlight w:val="none"/>
                <w:u w:val="single"/>
                <w:vertAlign w:val="baseline"/>
                <w:lang w:val="en-US" w:eastAsia="zh-CN"/>
              </w:rPr>
            </w:pPr>
            <w:r>
              <w:rPr>
                <w:rFonts w:hint="default" w:ascii="Times New Roman" w:hAnsi="Times New Roman" w:eastAsia="宋体" w:cs="Times New Roman"/>
                <w:b/>
                <w:bCs/>
                <w:color w:val="auto"/>
                <w:sz w:val="24"/>
                <w:szCs w:val="24"/>
                <w:highlight w:val="none"/>
                <w:u w:val="single"/>
                <w:lang w:val="zh-CN"/>
              </w:rPr>
              <w:t>工艺流程：原料→熔铸→锯切→铣面→均热→热轧→冷轧→退火→箔轧→精整及热处理→检测→包装入库</w:t>
            </w:r>
            <w:r>
              <w:rPr>
                <w:rFonts w:hint="eastAsia" w:ascii="Times New Roman" w:hAnsi="Times New Roman" w:cs="Times New Roman"/>
                <w:b/>
                <w:bCs/>
                <w:color w:val="auto"/>
                <w:sz w:val="24"/>
                <w:szCs w:val="24"/>
                <w:highlight w:val="none"/>
                <w:u w:val="single"/>
                <w:lang w:val="zh-CN"/>
              </w:rPr>
              <w:t>，</w:t>
            </w:r>
            <w:r>
              <w:rPr>
                <w:rFonts w:hint="eastAsia" w:ascii="Times New Roman" w:hAnsi="Times New Roman" w:cs="Times New Roman"/>
                <w:b/>
                <w:bCs/>
                <w:color w:val="auto"/>
                <w:sz w:val="24"/>
                <w:szCs w:val="24"/>
                <w:highlight w:val="none"/>
                <w:u w:val="single"/>
                <w:lang w:val="en-US" w:eastAsia="zh-CN"/>
              </w:rPr>
              <w:t>较现有生产工艺不发生变化</w:t>
            </w:r>
            <w:r>
              <w:rPr>
                <w:rFonts w:hint="default" w:ascii="Times New Roman" w:hAnsi="Times New Roman" w:eastAsia="宋体" w:cs="Times New Roman"/>
                <w:b/>
                <w:bCs/>
                <w:color w:val="auto"/>
                <w:sz w:val="24"/>
                <w:szCs w:val="24"/>
                <w:highlight w:val="none"/>
                <w:u w:val="single"/>
                <w:lang w:val="zh-CN"/>
              </w:rPr>
              <w:t>。</w:t>
            </w:r>
          </w:p>
          <w:p>
            <w:pPr>
              <w:pStyle w:val="2"/>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  建设内容一览表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77"/>
              <w:gridCol w:w="895"/>
              <w:gridCol w:w="1116"/>
              <w:gridCol w:w="3716"/>
              <w:gridCol w:w="15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677" w:type="dxa"/>
                  <w:tcBorders>
                    <w:top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lang w:val="zh-CN"/>
                    </w:rPr>
                  </w:pPr>
                  <w:r>
                    <w:rPr>
                      <w:rFonts w:ascii="Times New Roman" w:hAnsi="Times New Roman" w:cs="Times New Roman"/>
                      <w:color w:val="auto"/>
                      <w:sz w:val="21"/>
                      <w:szCs w:val="21"/>
                      <w:lang w:val="zh-CN"/>
                    </w:rPr>
                    <w:t>序号</w:t>
                  </w:r>
                </w:p>
              </w:tc>
              <w:tc>
                <w:tcPr>
                  <w:tcW w:w="895" w:type="dxa"/>
                  <w:tcBorders>
                    <w:top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lang w:val="zh-CN"/>
                    </w:rPr>
                  </w:pPr>
                  <w:r>
                    <w:rPr>
                      <w:rFonts w:ascii="Times New Roman" w:hAnsi="Times New Roman" w:cs="Times New Roman"/>
                      <w:color w:val="auto"/>
                      <w:sz w:val="21"/>
                      <w:szCs w:val="21"/>
                      <w:lang w:val="zh-CN"/>
                    </w:rPr>
                    <w:t>类别</w:t>
                  </w:r>
                </w:p>
              </w:tc>
              <w:tc>
                <w:tcPr>
                  <w:tcW w:w="1116" w:type="dxa"/>
                  <w:tcBorders>
                    <w:top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lang w:val="zh-CN"/>
                    </w:rPr>
                  </w:pPr>
                  <w:r>
                    <w:rPr>
                      <w:rFonts w:ascii="Times New Roman" w:hAnsi="Times New Roman" w:cs="Times New Roman"/>
                      <w:color w:val="auto"/>
                      <w:sz w:val="21"/>
                      <w:szCs w:val="21"/>
                      <w:lang w:val="zh-CN"/>
                    </w:rPr>
                    <w:t>名称</w:t>
                  </w:r>
                </w:p>
              </w:tc>
              <w:tc>
                <w:tcPr>
                  <w:tcW w:w="3716" w:type="dxa"/>
                  <w:tcBorders>
                    <w:top w:val="single" w:color="auto" w:sz="4" w:space="0"/>
                    <w:right w:val="single" w:color="auto" w:sz="4" w:space="0"/>
                  </w:tcBorders>
                  <w:vAlign w:val="center"/>
                </w:tcPr>
                <w:p>
                  <w:pPr>
                    <w:autoSpaceDE w:val="0"/>
                    <w:autoSpaceDN w:val="0"/>
                    <w:adjustRightInd w:val="0"/>
                    <w:snapToGrid w:val="0"/>
                    <w:jc w:val="center"/>
                    <w:rPr>
                      <w:rFonts w:hint="eastAsia" w:ascii="Times New Roman" w:hAnsi="Times New Roman" w:eastAsia="宋体" w:cs="Times New Roman"/>
                      <w:color w:val="auto"/>
                      <w:sz w:val="21"/>
                      <w:szCs w:val="21"/>
                      <w:lang w:val="zh-CN" w:eastAsia="zh-CN"/>
                    </w:rPr>
                  </w:pPr>
                  <w:r>
                    <w:rPr>
                      <w:rFonts w:hint="eastAsia" w:ascii="Times New Roman" w:hAnsi="Times New Roman" w:cs="Times New Roman"/>
                      <w:color w:val="auto"/>
                      <w:sz w:val="21"/>
                      <w:szCs w:val="21"/>
                      <w:lang w:val="en-US" w:eastAsia="zh-CN"/>
                    </w:rPr>
                    <w:t>建设内容</w:t>
                  </w:r>
                </w:p>
              </w:tc>
              <w:tc>
                <w:tcPr>
                  <w:tcW w:w="1501" w:type="dxa"/>
                  <w:tcBorders>
                    <w:top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lang w:val="zh-CN"/>
                    </w:rPr>
                  </w:pPr>
                  <w:r>
                    <w:rPr>
                      <w:rFonts w:ascii="Times New Roman" w:hAnsi="Times New Roman" w:cs="Times New Roman"/>
                      <w:color w:val="auto"/>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677" w:type="dxa"/>
                  <w:vMerge w:val="restar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895" w:type="dxa"/>
                  <w:vMerge w:val="restart"/>
                  <w:vAlign w:val="center"/>
                </w:tcPr>
                <w:p>
                  <w:pPr>
                    <w:autoSpaceDE w:val="0"/>
                    <w:autoSpaceDN w:val="0"/>
                    <w:adjustRightInd w:val="0"/>
                    <w:snapToGrid w:val="0"/>
                    <w:jc w:val="center"/>
                    <w:rPr>
                      <w:rFonts w:ascii="Times New Roman" w:hAnsi="Times New Roman" w:cs="Times New Roman"/>
                      <w:color w:val="auto"/>
                      <w:sz w:val="21"/>
                      <w:szCs w:val="21"/>
                      <w:lang w:val="zh-CN"/>
                    </w:rPr>
                  </w:pPr>
                  <w:r>
                    <w:rPr>
                      <w:rFonts w:ascii="Times New Roman" w:hAnsi="Times New Roman" w:cs="Times New Roman"/>
                      <w:color w:val="auto"/>
                      <w:sz w:val="21"/>
                      <w:szCs w:val="21"/>
                      <w:lang w:val="zh-CN"/>
                    </w:rPr>
                    <w:t>主体工程</w:t>
                  </w:r>
                </w:p>
              </w:tc>
              <w:tc>
                <w:tcPr>
                  <w:tcW w:w="1116" w:type="dxa"/>
                  <w:tcBorders>
                    <w:bottom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压延</w:t>
                  </w:r>
                  <w:r>
                    <w:rPr>
                      <w:rFonts w:hint="default" w:ascii="Times New Roman" w:hAnsi="Times New Roman" w:cs="Times New Roman"/>
                      <w:color w:val="auto"/>
                      <w:sz w:val="21"/>
                      <w:szCs w:val="21"/>
                      <w:lang w:eastAsia="zh-CN"/>
                    </w:rPr>
                    <w:t>厂房</w:t>
                  </w:r>
                </w:p>
              </w:tc>
              <w:tc>
                <w:tcPr>
                  <w:tcW w:w="3716" w:type="dxa"/>
                  <w:tcBorders>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22662</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2</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主要为压延、轧制、清洗工序</w:t>
                  </w:r>
                </w:p>
              </w:tc>
              <w:tc>
                <w:tcPr>
                  <w:tcW w:w="1501" w:type="dxa"/>
                  <w:tcBorders>
                    <w:bottom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现有</w:t>
                  </w:r>
                  <w:r>
                    <w:rPr>
                      <w:rFonts w:hint="default" w:ascii="Times New Roman" w:hAnsi="Times New Roman" w:cs="Times New Roman"/>
                      <w:color w:val="auto"/>
                      <w:sz w:val="21"/>
                      <w:szCs w:val="21"/>
                      <w:lang w:eastAsia="zh-CN"/>
                    </w:rPr>
                    <w:t>厂房，不发生变化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3" w:hRule="atLeast"/>
              </w:trPr>
              <w:tc>
                <w:tcPr>
                  <w:tcW w:w="677" w:type="dxa"/>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895" w:type="dxa"/>
                  <w:vMerge w:val="continue"/>
                  <w:vAlign w:val="center"/>
                </w:tcPr>
                <w:p>
                  <w:pPr>
                    <w:autoSpaceDE w:val="0"/>
                    <w:autoSpaceDN w:val="0"/>
                    <w:adjustRightInd w:val="0"/>
                    <w:snapToGrid w:val="0"/>
                    <w:jc w:val="center"/>
                    <w:rPr>
                      <w:rFonts w:ascii="Times New Roman" w:hAnsi="Times New Roman" w:cs="Times New Roman"/>
                      <w:color w:val="auto"/>
                      <w:sz w:val="21"/>
                      <w:szCs w:val="21"/>
                      <w:lang w:val="zh-CN"/>
                    </w:rPr>
                  </w:pPr>
                </w:p>
              </w:tc>
              <w:tc>
                <w:tcPr>
                  <w:tcW w:w="1116" w:type="dxa"/>
                  <w:tcBorders>
                    <w:top w:val="single" w:color="auto" w:sz="4" w:space="0"/>
                    <w:bottom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铸造厂房</w:t>
                  </w:r>
                </w:p>
              </w:tc>
              <w:tc>
                <w:tcPr>
                  <w:tcW w:w="3716" w:type="dxa"/>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5800</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2</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主要为铸造、铣面工序</w:t>
                  </w:r>
                </w:p>
              </w:tc>
              <w:tc>
                <w:tcPr>
                  <w:tcW w:w="1501" w:type="dxa"/>
                  <w:tcBorders>
                    <w:top w:val="single" w:color="auto" w:sz="4" w:space="0"/>
                    <w:bottom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现有</w:t>
                  </w:r>
                  <w:r>
                    <w:rPr>
                      <w:rFonts w:hint="default" w:ascii="Times New Roman" w:hAnsi="Times New Roman" w:cs="Times New Roman"/>
                      <w:color w:val="auto"/>
                      <w:sz w:val="21"/>
                      <w:szCs w:val="21"/>
                      <w:lang w:eastAsia="zh-CN"/>
                    </w:rPr>
                    <w:t>厂房，不发生变化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 w:hRule="atLeast"/>
              </w:trPr>
              <w:tc>
                <w:tcPr>
                  <w:tcW w:w="677" w:type="dxa"/>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895" w:type="dxa"/>
                  <w:vMerge w:val="continue"/>
                  <w:vAlign w:val="center"/>
                </w:tcPr>
                <w:p>
                  <w:pPr>
                    <w:autoSpaceDE w:val="0"/>
                    <w:autoSpaceDN w:val="0"/>
                    <w:adjustRightInd w:val="0"/>
                    <w:snapToGrid w:val="0"/>
                    <w:jc w:val="center"/>
                    <w:rPr>
                      <w:rFonts w:ascii="Times New Roman" w:hAnsi="Times New Roman" w:cs="Times New Roman"/>
                      <w:color w:val="auto"/>
                      <w:sz w:val="21"/>
                      <w:szCs w:val="21"/>
                      <w:lang w:val="zh-CN"/>
                    </w:rPr>
                  </w:pPr>
                </w:p>
              </w:tc>
              <w:tc>
                <w:tcPr>
                  <w:tcW w:w="1116" w:type="dxa"/>
                  <w:tcBorders>
                    <w:top w:val="single" w:color="auto" w:sz="4" w:space="0"/>
                    <w:bottom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成品厂房</w:t>
                  </w:r>
                </w:p>
              </w:tc>
              <w:tc>
                <w:tcPr>
                  <w:tcW w:w="3716" w:type="dxa"/>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4400</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2</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主要为成品仓库</w:t>
                  </w:r>
                </w:p>
              </w:tc>
              <w:tc>
                <w:tcPr>
                  <w:tcW w:w="1501" w:type="dxa"/>
                  <w:tcBorders>
                    <w:top w:val="single" w:color="auto" w:sz="4" w:space="0"/>
                    <w:bottom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现有</w:t>
                  </w:r>
                  <w:r>
                    <w:rPr>
                      <w:rFonts w:hint="default" w:ascii="Times New Roman" w:hAnsi="Times New Roman" w:cs="Times New Roman"/>
                      <w:color w:val="auto"/>
                      <w:sz w:val="21"/>
                      <w:szCs w:val="21"/>
                      <w:lang w:eastAsia="zh-CN"/>
                    </w:rPr>
                    <w:t>厂房，不发生变化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3" w:hRule="atLeast"/>
              </w:trPr>
              <w:tc>
                <w:tcPr>
                  <w:tcW w:w="677" w:type="dxa"/>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895" w:type="dxa"/>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辅助工程</w:t>
                  </w:r>
                </w:p>
              </w:tc>
              <w:tc>
                <w:tcPr>
                  <w:tcW w:w="1116" w:type="dxa"/>
                  <w:tcBorders>
                    <w:bottom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rPr>
                  </w:pPr>
                  <w:r>
                    <w:rPr>
                      <w:rFonts w:hint="default" w:ascii="Times New Roman" w:hAnsi="Times New Roman" w:cs="Times New Roman"/>
                      <w:color w:val="auto"/>
                      <w:sz w:val="21"/>
                      <w:szCs w:val="21"/>
                      <w:lang w:eastAsia="zh-CN"/>
                    </w:rPr>
                    <w:t>研发大楼</w:t>
                  </w:r>
                </w:p>
              </w:tc>
              <w:tc>
                <w:tcPr>
                  <w:tcW w:w="3716" w:type="dxa"/>
                  <w:tcBorders>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3F，1~2F办公，3F研发</w:t>
                  </w:r>
                </w:p>
              </w:tc>
              <w:tc>
                <w:tcPr>
                  <w:tcW w:w="1501" w:type="dxa"/>
                  <w:tcBorders>
                    <w:bottom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现有</w:t>
                  </w:r>
                  <w:r>
                    <w:rPr>
                      <w:rFonts w:hint="default" w:ascii="Times New Roman" w:hAnsi="Times New Roman" w:cs="Times New Roman"/>
                      <w:color w:val="auto"/>
                      <w:sz w:val="21"/>
                      <w:szCs w:val="21"/>
                      <w:lang w:eastAsia="zh-CN"/>
                    </w:rPr>
                    <w:t>厂房，不发生变化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677" w:type="dxa"/>
                  <w:vMerge w:val="restar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895" w:type="dxa"/>
                  <w:vMerge w:val="restar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公用工程</w:t>
                  </w:r>
                </w:p>
              </w:tc>
              <w:tc>
                <w:tcPr>
                  <w:tcW w:w="1116" w:type="dxa"/>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供水系统</w:t>
                  </w:r>
                </w:p>
              </w:tc>
              <w:tc>
                <w:tcPr>
                  <w:tcW w:w="3716" w:type="dxa"/>
                  <w:tcBorders>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eastAsia="zh-CN"/>
                    </w:rPr>
                  </w:pPr>
                  <w:r>
                    <w:rPr>
                      <w:rFonts w:ascii="Times New Roman" w:hAnsi="Times New Roman" w:cs="Times New Roman"/>
                      <w:color w:val="auto"/>
                      <w:sz w:val="21"/>
                      <w:szCs w:val="21"/>
                    </w:rPr>
                    <w:t>取水来自</w:t>
                  </w:r>
                  <w:r>
                    <w:rPr>
                      <w:rFonts w:hint="default" w:ascii="Times New Roman" w:hAnsi="Times New Roman" w:cs="Times New Roman"/>
                      <w:color w:val="auto"/>
                      <w:sz w:val="21"/>
                      <w:szCs w:val="21"/>
                      <w:lang w:eastAsia="zh-CN"/>
                    </w:rPr>
                    <w:t>厂区地下水井，已取得取水证明</w:t>
                  </w:r>
                </w:p>
              </w:tc>
              <w:tc>
                <w:tcPr>
                  <w:tcW w:w="1501" w:type="dxa"/>
                  <w:tcBorders>
                    <w:left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677" w:type="dxa"/>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895" w:type="dxa"/>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1116" w:type="dxa"/>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排水系统</w:t>
                  </w:r>
                </w:p>
              </w:tc>
              <w:tc>
                <w:tcPr>
                  <w:tcW w:w="3716" w:type="dxa"/>
                  <w:tcBorders>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本次改建项目不新增污水</w:t>
                  </w:r>
                </w:p>
              </w:tc>
              <w:tc>
                <w:tcPr>
                  <w:tcW w:w="1501" w:type="dxa"/>
                  <w:tcBorders>
                    <w:lef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77" w:type="dxa"/>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895" w:type="dxa"/>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1116" w:type="dxa"/>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供电系统</w:t>
                  </w:r>
                </w:p>
              </w:tc>
              <w:tc>
                <w:tcPr>
                  <w:tcW w:w="3716" w:type="dxa"/>
                  <w:tcBorders>
                    <w:right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产业集聚区</w:t>
                  </w:r>
                  <w:r>
                    <w:rPr>
                      <w:rFonts w:ascii="Times New Roman" w:hAnsi="Times New Roman" w:cs="Times New Roman"/>
                      <w:color w:val="auto"/>
                      <w:sz w:val="21"/>
                      <w:szCs w:val="21"/>
                    </w:rPr>
                    <w:t>供电电网</w:t>
                  </w:r>
                </w:p>
              </w:tc>
              <w:tc>
                <w:tcPr>
                  <w:tcW w:w="1501" w:type="dxa"/>
                  <w:tcBorders>
                    <w:left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rPr>
                  </w:pPr>
                  <w:r>
                    <w:rPr>
                      <w:rFonts w:hint="default" w:ascii="Times New Roman" w:hAnsi="Times New Roman" w:cs="Times New Roman"/>
                      <w:color w:val="auto"/>
                      <w:sz w:val="21"/>
                      <w:szCs w:val="21"/>
                      <w:lang w:eastAsia="zh-CN"/>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9" w:hRule="atLeast"/>
              </w:trPr>
              <w:tc>
                <w:tcPr>
                  <w:tcW w:w="677" w:type="dxa"/>
                  <w:vMerge w:val="restar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895" w:type="dxa"/>
                  <w:vMerge w:val="restar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环保工程</w:t>
                  </w:r>
                </w:p>
              </w:tc>
              <w:tc>
                <w:tcPr>
                  <w:tcW w:w="1116" w:type="dxa"/>
                  <w:vAlign w:val="center"/>
                </w:tcPr>
                <w:p>
                  <w:pPr>
                    <w:autoSpaceDE w:val="0"/>
                    <w:autoSpaceDN w:val="0"/>
                    <w:adjustRightInd w:val="0"/>
                    <w:snapToGrid w:val="0"/>
                    <w:jc w:val="left"/>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废气处理</w:t>
                  </w:r>
                </w:p>
              </w:tc>
              <w:tc>
                <w:tcPr>
                  <w:tcW w:w="3716" w:type="dxa"/>
                  <w:tcBorders>
                    <w:right w:val="single" w:color="auto" w:sz="4" w:space="0"/>
                  </w:tcBorders>
                  <w:vAlign w:val="center"/>
                </w:tcPr>
                <w:p>
                  <w:pPr>
                    <w:autoSpaceDE w:val="0"/>
                    <w:autoSpaceDN w:val="0"/>
                    <w:adjustRightInd w:val="0"/>
                    <w:snapToGrid w:val="0"/>
                    <w:jc w:val="left"/>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eastAsia="zh-CN"/>
                    </w:rPr>
                    <w:t>本次</w:t>
                  </w:r>
                  <w:r>
                    <w:rPr>
                      <w:rFonts w:hint="eastAsia" w:ascii="Times New Roman" w:hAnsi="Times New Roman" w:cs="Times New Roman"/>
                      <w:b w:val="0"/>
                      <w:bCs w:val="0"/>
                      <w:color w:val="auto"/>
                      <w:sz w:val="21"/>
                      <w:szCs w:val="21"/>
                      <w:highlight w:val="none"/>
                      <w:u w:val="none"/>
                      <w:lang w:val="en-US" w:eastAsia="zh-CN"/>
                    </w:rPr>
                    <w:t>改建</w:t>
                  </w:r>
                  <w:r>
                    <w:rPr>
                      <w:rFonts w:hint="default" w:ascii="Times New Roman" w:hAnsi="Times New Roman" w:cs="Times New Roman"/>
                      <w:b w:val="0"/>
                      <w:bCs w:val="0"/>
                      <w:color w:val="auto"/>
                      <w:sz w:val="21"/>
                      <w:szCs w:val="21"/>
                      <w:highlight w:val="none"/>
                      <w:u w:val="none"/>
                      <w:lang w:eastAsia="zh-CN"/>
                    </w:rPr>
                    <w:t>项目主要新增废气为倾动炉废气、</w:t>
                  </w:r>
                  <w:r>
                    <w:rPr>
                      <w:rFonts w:hint="eastAsia" w:ascii="Times New Roman" w:hAnsi="Times New Roman" w:cs="Times New Roman"/>
                      <w:b w:val="0"/>
                      <w:bCs w:val="0"/>
                      <w:color w:val="auto"/>
                      <w:sz w:val="21"/>
                      <w:szCs w:val="21"/>
                      <w:highlight w:val="none"/>
                      <w:u w:val="none"/>
                      <w:lang w:val="en-US" w:eastAsia="zh-CN"/>
                    </w:rPr>
                    <w:t>箔轧机轧制工序废气</w:t>
                  </w:r>
                  <w:r>
                    <w:rPr>
                      <w:rFonts w:hint="default" w:ascii="Times New Roman" w:hAnsi="Times New Roman" w:cs="Times New Roman"/>
                      <w:b w:val="0"/>
                      <w:bCs w:val="0"/>
                      <w:color w:val="auto"/>
                      <w:sz w:val="21"/>
                      <w:szCs w:val="21"/>
                      <w:highlight w:val="none"/>
                      <w:u w:val="none"/>
                      <w:lang w:eastAsia="zh-CN"/>
                    </w:rPr>
                    <w:t>。倾动炉废气经</w:t>
                  </w:r>
                  <w:r>
                    <w:rPr>
                      <w:rFonts w:hint="default" w:ascii="Times New Roman" w:hAnsi="Times New Roman" w:cs="Times New Roman"/>
                      <w:b w:val="0"/>
                      <w:bCs w:val="0"/>
                      <w:color w:val="auto"/>
                      <w:sz w:val="21"/>
                      <w:szCs w:val="21"/>
                      <w:highlight w:val="none"/>
                      <w:u w:val="none"/>
                      <w:lang w:val="en-US" w:eastAsia="zh-CN"/>
                    </w:rPr>
                    <w:t>袋式除尘器处理后由20m高排气筒排放</w:t>
                  </w:r>
                  <w:r>
                    <w:rPr>
                      <w:rFonts w:hint="eastAsia" w:ascii="Times New Roman" w:hAnsi="Times New Roman" w:cs="Times New Roman"/>
                      <w:b w:val="0"/>
                      <w:bCs w:val="0"/>
                      <w:color w:val="auto"/>
                      <w:sz w:val="21"/>
                      <w:szCs w:val="21"/>
                      <w:highlight w:val="none"/>
                      <w:u w:val="none"/>
                      <w:lang w:val="en-US" w:eastAsia="zh-CN"/>
                    </w:rPr>
                    <w:t>；箔轧机轧制工序废气经油烟净化装置处理后由20m高排气筒排放</w:t>
                  </w:r>
                  <w:r>
                    <w:rPr>
                      <w:rFonts w:hint="default" w:ascii="Times New Roman" w:hAnsi="Times New Roman" w:cs="Times New Roman"/>
                      <w:b w:val="0"/>
                      <w:bCs w:val="0"/>
                      <w:color w:val="auto"/>
                      <w:sz w:val="21"/>
                      <w:szCs w:val="21"/>
                      <w:highlight w:val="none"/>
                      <w:u w:val="none"/>
                      <w:lang w:val="en-US" w:eastAsia="zh-CN"/>
                    </w:rPr>
                    <w:t>。</w:t>
                  </w:r>
                </w:p>
              </w:tc>
              <w:tc>
                <w:tcPr>
                  <w:tcW w:w="1501" w:type="dxa"/>
                  <w:tcBorders>
                    <w:left w:val="single" w:color="auto" w:sz="4" w:space="0"/>
                  </w:tcBorders>
                  <w:vAlign w:val="center"/>
                </w:tcPr>
                <w:p>
                  <w:pPr>
                    <w:autoSpaceDE w:val="0"/>
                    <w:autoSpaceDN w:val="0"/>
                    <w:adjustRightInd w:val="0"/>
                    <w:snapToGrid w:val="0"/>
                    <w:jc w:val="left"/>
                    <w:rPr>
                      <w:rFonts w:hint="default" w:ascii="Times New Roman" w:hAnsi="Times New Roman" w:eastAsia="宋体" w:cs="Times New Roman"/>
                      <w:b w:val="0"/>
                      <w:bCs w:val="0"/>
                      <w:color w:val="auto"/>
                      <w:sz w:val="21"/>
                      <w:szCs w:val="21"/>
                      <w:highlight w:val="none"/>
                      <w:u w:val="none"/>
                      <w:lang w:eastAsia="zh-CN"/>
                    </w:rPr>
                  </w:pPr>
                  <w:r>
                    <w:rPr>
                      <w:rFonts w:hint="eastAsia" w:ascii="Times New Roman" w:hAnsi="Times New Roman" w:cs="Times New Roman"/>
                      <w:b w:val="0"/>
                      <w:bCs w:val="0"/>
                      <w:color w:val="auto"/>
                      <w:sz w:val="21"/>
                      <w:szCs w:val="21"/>
                      <w:highlight w:val="none"/>
                      <w:u w:val="no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677" w:type="dxa"/>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895" w:type="dxa"/>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1116" w:type="dxa"/>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废水治理</w:t>
                  </w:r>
                </w:p>
              </w:tc>
              <w:tc>
                <w:tcPr>
                  <w:tcW w:w="3716" w:type="dxa"/>
                  <w:tcBorders>
                    <w:right w:val="single" w:color="auto" w:sz="4" w:space="0"/>
                  </w:tcBorders>
                  <w:vAlign w:val="center"/>
                </w:tcPr>
                <w:p>
                  <w:pPr>
                    <w:autoSpaceDE w:val="0"/>
                    <w:autoSpaceDN w:val="0"/>
                    <w:adjustRightInd w:val="0"/>
                    <w:snapToGrid w:val="0"/>
                    <w:jc w:val="left"/>
                    <w:rPr>
                      <w:rFonts w:ascii="Times New Roman" w:hAnsi="Times New Roman" w:cs="Times New Roman"/>
                      <w:color w:val="auto"/>
                      <w:sz w:val="21"/>
                      <w:szCs w:val="21"/>
                      <w:lang w:val="zh-CN"/>
                    </w:rPr>
                  </w:pPr>
                  <w:r>
                    <w:rPr>
                      <w:rFonts w:hint="eastAsia" w:ascii="Times New Roman" w:hAnsi="Times New Roman" w:cs="Times New Roman"/>
                      <w:color w:val="auto"/>
                      <w:sz w:val="21"/>
                      <w:szCs w:val="21"/>
                      <w:lang w:val="en-US" w:eastAsia="zh-CN"/>
                    </w:rPr>
                    <w:t>本次改建项目不新增污水</w:t>
                  </w:r>
                </w:p>
              </w:tc>
              <w:tc>
                <w:tcPr>
                  <w:tcW w:w="1501" w:type="dxa"/>
                  <w:tcBorders>
                    <w:left w:val="single" w:color="auto" w:sz="4" w:space="0"/>
                  </w:tcBorders>
                  <w:vAlign w:val="center"/>
                </w:tcPr>
                <w:p>
                  <w:pPr>
                    <w:autoSpaceDE w:val="0"/>
                    <w:autoSpaceDN w:val="0"/>
                    <w:adjustRightInd w:val="0"/>
                    <w:snapToGrid w:val="0"/>
                    <w:jc w:val="left"/>
                    <w:rPr>
                      <w:rFonts w:hint="default" w:ascii="Times New Roman" w:hAnsi="Times New Roman" w:cs="Times New Roman"/>
                      <w:color w:val="auto"/>
                      <w:sz w:val="21"/>
                      <w:szCs w:val="21"/>
                      <w:lang w:val="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677" w:type="dxa"/>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895" w:type="dxa"/>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1116" w:type="dxa"/>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噪声治理</w:t>
                  </w:r>
                </w:p>
              </w:tc>
              <w:tc>
                <w:tcPr>
                  <w:tcW w:w="3716" w:type="dxa"/>
                  <w:tcBorders>
                    <w:right w:val="single" w:color="auto" w:sz="4" w:space="0"/>
                  </w:tcBorders>
                  <w:vAlign w:val="center"/>
                </w:tcPr>
                <w:p>
                  <w:pPr>
                    <w:autoSpaceDE w:val="0"/>
                    <w:autoSpaceDN w:val="0"/>
                    <w:adjustRightInd w:val="0"/>
                    <w:snapToGrid w:val="0"/>
                    <w:jc w:val="left"/>
                    <w:rPr>
                      <w:rFonts w:ascii="Times New Roman" w:hAnsi="Times New Roman" w:cs="Times New Roman"/>
                      <w:color w:val="auto"/>
                      <w:sz w:val="21"/>
                      <w:szCs w:val="21"/>
                      <w:lang w:val="zh-CN"/>
                    </w:rPr>
                  </w:pPr>
                  <w:r>
                    <w:rPr>
                      <w:rFonts w:ascii="Times New Roman" w:hAnsi="Times New Roman" w:cs="Times New Roman"/>
                      <w:color w:val="auto"/>
                      <w:sz w:val="21"/>
                      <w:szCs w:val="21"/>
                      <w:lang w:val="zh-CN"/>
                    </w:rPr>
                    <w:t>选用低噪设备、厂房隔声、基础减震等</w:t>
                  </w:r>
                </w:p>
              </w:tc>
              <w:tc>
                <w:tcPr>
                  <w:tcW w:w="1501" w:type="dxa"/>
                  <w:tcBorders>
                    <w:left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lang w:val="zh-CN"/>
                    </w:rPr>
                  </w:pPr>
                  <w:r>
                    <w:rPr>
                      <w:rFonts w:hint="default" w:ascii="Times New Roman" w:hAnsi="Times New Roman"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677" w:type="dxa"/>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895" w:type="dxa"/>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1116" w:type="dxa"/>
                  <w:tcBorders>
                    <w:right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固废治理</w:t>
                  </w:r>
                </w:p>
              </w:tc>
              <w:tc>
                <w:tcPr>
                  <w:tcW w:w="3716" w:type="dxa"/>
                  <w:tcBorders>
                    <w:left w:val="single" w:color="auto" w:sz="4" w:space="0"/>
                    <w:right w:val="single" w:color="auto" w:sz="4" w:space="0"/>
                  </w:tcBorders>
                  <w:vAlign w:val="center"/>
                </w:tcPr>
                <w:p>
                  <w:pPr>
                    <w:autoSpaceDE w:val="0"/>
                    <w:autoSpaceDN w:val="0"/>
                    <w:adjustRightInd w:val="0"/>
                    <w:snapToGrid w:val="0"/>
                    <w:jc w:val="left"/>
                    <w:rPr>
                      <w:rFonts w:ascii="Times New Roman" w:hAnsi="Times New Roman" w:cs="Times New Roman"/>
                      <w:color w:val="auto"/>
                      <w:sz w:val="21"/>
                      <w:szCs w:val="21"/>
                    </w:rPr>
                  </w:pPr>
                  <w:r>
                    <w:rPr>
                      <w:rFonts w:hint="default" w:ascii="Times New Roman" w:hAnsi="Times New Roman" w:cs="Times New Roman"/>
                      <w:color w:val="auto"/>
                      <w:sz w:val="21"/>
                      <w:szCs w:val="21"/>
                      <w:highlight w:val="none"/>
                      <w:lang w:eastAsia="zh-CN"/>
                    </w:rPr>
                    <w:t>固废主要为除尘器收尘、</w:t>
                  </w:r>
                  <w:r>
                    <w:rPr>
                      <w:rFonts w:hint="eastAsia" w:ascii="Times New Roman" w:hAnsi="Times New Roman" w:cs="Times New Roman"/>
                      <w:color w:val="auto"/>
                      <w:sz w:val="21"/>
                      <w:szCs w:val="21"/>
                      <w:highlight w:val="none"/>
                      <w:lang w:eastAsia="zh-CN"/>
                    </w:rPr>
                    <w:t>废轧制油及沾染物、废硅藻土、</w:t>
                  </w:r>
                  <w:r>
                    <w:rPr>
                      <w:rFonts w:hint="eastAsia" w:ascii="Times New Roman" w:hAnsi="Times New Roman" w:cs="Times New Roman"/>
                      <w:color w:val="auto"/>
                      <w:sz w:val="21"/>
                      <w:szCs w:val="21"/>
                      <w:highlight w:val="none"/>
                      <w:lang w:val="en-US" w:eastAsia="zh-CN"/>
                    </w:rPr>
                    <w:t>油雾净化器废油脂</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除尘器收尘、</w:t>
                  </w:r>
                  <w:r>
                    <w:rPr>
                      <w:rFonts w:hint="eastAsia" w:ascii="Times New Roman" w:hAnsi="Times New Roman" w:cs="Times New Roman"/>
                      <w:color w:val="auto"/>
                      <w:sz w:val="21"/>
                      <w:szCs w:val="21"/>
                      <w:highlight w:val="none"/>
                      <w:lang w:val="en-US" w:eastAsia="zh-CN"/>
                    </w:rPr>
                    <w:t>废</w:t>
                  </w:r>
                  <w:r>
                    <w:rPr>
                      <w:rFonts w:hint="default" w:ascii="Times New Roman" w:hAnsi="Times New Roman" w:cs="Times New Roman"/>
                      <w:color w:val="auto"/>
                      <w:sz w:val="21"/>
                      <w:szCs w:val="21"/>
                      <w:highlight w:val="none"/>
                      <w:lang w:eastAsia="zh-CN"/>
                    </w:rPr>
                    <w:t>硅藻土、废轧制油</w:t>
                  </w:r>
                  <w:r>
                    <w:rPr>
                      <w:rFonts w:hint="eastAsia" w:ascii="Times New Roman" w:hAnsi="Times New Roman" w:cs="Times New Roman"/>
                      <w:color w:val="auto"/>
                      <w:sz w:val="21"/>
                      <w:szCs w:val="21"/>
                      <w:highlight w:val="none"/>
                      <w:lang w:eastAsia="zh-CN"/>
                    </w:rPr>
                    <w:t>、油雾净化器产生的废油脂</w:t>
                  </w:r>
                  <w:r>
                    <w:rPr>
                      <w:rFonts w:hint="default" w:ascii="Times New Roman" w:hAnsi="Times New Roman" w:cs="Times New Roman"/>
                      <w:color w:val="auto"/>
                      <w:sz w:val="21"/>
                      <w:szCs w:val="21"/>
                      <w:highlight w:val="none"/>
                      <w:lang w:eastAsia="zh-CN"/>
                    </w:rPr>
                    <w:t>分别交由相应资质单位处理</w:t>
                  </w:r>
                  <w:r>
                    <w:rPr>
                      <w:rFonts w:hint="default" w:ascii="Times New Roman" w:hAnsi="Times New Roman" w:cs="Times New Roman"/>
                      <w:color w:val="auto"/>
                      <w:sz w:val="21"/>
                      <w:szCs w:val="21"/>
                      <w:highlight w:val="none"/>
                    </w:rPr>
                    <w:t>。</w:t>
                  </w:r>
                </w:p>
              </w:tc>
              <w:tc>
                <w:tcPr>
                  <w:tcW w:w="1501" w:type="dxa"/>
                  <w:tcBorders>
                    <w:left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677" w:type="dxa"/>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2011" w:type="dxa"/>
                  <w:gridSpan w:val="2"/>
                  <w:tcBorders>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val="en-US" w:eastAsia="zh-CN"/>
                    </w:rPr>
                  </w:pPr>
                  <w:r>
                    <w:rPr>
                      <w:rFonts w:ascii="Times New Roman" w:hAnsi="Times New Roman" w:cs="Times New Roman"/>
                      <w:color w:val="auto"/>
                      <w:sz w:val="21"/>
                      <w:szCs w:val="21"/>
                    </w:rPr>
                    <w:t>劳动定员</w:t>
                  </w:r>
                </w:p>
              </w:tc>
              <w:tc>
                <w:tcPr>
                  <w:tcW w:w="3716" w:type="dxa"/>
                  <w:tcBorders>
                    <w:left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本项目不新增劳动定员</w:t>
                  </w:r>
                </w:p>
              </w:tc>
              <w:tc>
                <w:tcPr>
                  <w:tcW w:w="1501" w:type="dxa"/>
                  <w:tcBorders>
                    <w:left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bl>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color w:val="auto"/>
                <w:sz w:val="24"/>
                <w:szCs w:val="24"/>
                <w:vertAlign w:val="baseline"/>
                <w:lang w:val="en-US" w:eastAsia="zh-CN"/>
              </w:rPr>
              <w:t>（2）</w:t>
            </w:r>
            <w:r>
              <w:rPr>
                <w:rFonts w:hint="default" w:ascii="Times New Roman" w:hAnsi="Times New Roman" w:eastAsia="宋体" w:cs="Times New Roman"/>
                <w:b w:val="0"/>
                <w:bCs/>
                <w:color w:val="auto"/>
                <w:kern w:val="0"/>
                <w:sz w:val="24"/>
                <w:szCs w:val="24"/>
              </w:rPr>
              <w:t>产品方案及规模</w:t>
            </w:r>
          </w:p>
          <w:p>
            <w:pPr>
              <w:pStyle w:val="2"/>
              <w:numPr>
                <w:ilvl w:val="-1"/>
                <w:numId w:val="0"/>
              </w:numPr>
              <w:bidi w:val="0"/>
              <w:spacing w:line="360" w:lineRule="auto"/>
              <w:ind w:left="0" w:firstLine="480" w:firstLineChars="200"/>
              <w:jc w:val="both"/>
              <w:rPr>
                <w:rFonts w:hint="default" w:ascii="Times New Roman" w:hAnsi="Times New Roman" w:eastAsia="宋体"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本项目</w:t>
            </w:r>
            <w:r>
              <w:rPr>
                <w:rFonts w:hint="eastAsia" w:ascii="Times New Roman" w:hAnsi="Times New Roman" w:cs="Times New Roman"/>
                <w:b w:val="0"/>
                <w:bCs/>
                <w:color w:val="auto"/>
                <w:sz w:val="24"/>
                <w:szCs w:val="24"/>
                <w:lang w:val="en-US" w:eastAsia="zh-CN"/>
              </w:rPr>
              <w:t>改建</w:t>
            </w:r>
            <w:r>
              <w:rPr>
                <w:rFonts w:hint="default" w:ascii="Times New Roman" w:hAnsi="Times New Roman" w:cs="Times New Roman"/>
                <w:b w:val="0"/>
                <w:bCs/>
                <w:color w:val="auto"/>
                <w:sz w:val="24"/>
                <w:szCs w:val="24"/>
                <w:lang w:val="en-US" w:eastAsia="zh-CN"/>
              </w:rPr>
              <w:t>前后产品方案和产能见下表。</w:t>
            </w:r>
          </w:p>
          <w:p>
            <w:pPr>
              <w:pStyle w:val="2"/>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产品方案及规模一览表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094"/>
              <w:gridCol w:w="1094"/>
              <w:gridCol w:w="1847"/>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90" w:type="pct"/>
                  <w:vAlign w:val="center"/>
                </w:tcPr>
                <w:p>
                  <w:pPr>
                    <w:autoSpaceDE w:val="0"/>
                    <w:autoSpaceDN w:val="0"/>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产品名称</w:t>
                  </w:r>
                </w:p>
              </w:tc>
              <w:tc>
                <w:tcPr>
                  <w:tcW w:w="692" w:type="pct"/>
                  <w:vAlign w:val="center"/>
                </w:tcPr>
                <w:p>
                  <w:pPr>
                    <w:autoSpaceDE w:val="0"/>
                    <w:autoSpaceDN w:val="0"/>
                    <w:spacing w:line="240" w:lineRule="auto"/>
                    <w:jc w:val="center"/>
                    <w:rPr>
                      <w:rFonts w:hint="default"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改建</w:t>
                  </w:r>
                  <w:r>
                    <w:rPr>
                      <w:rFonts w:hint="default" w:ascii="Times New Roman" w:hAnsi="Times New Roman" w:cs="Times New Roman"/>
                      <w:b w:val="0"/>
                      <w:bCs w:val="0"/>
                      <w:color w:val="auto"/>
                      <w:sz w:val="21"/>
                      <w:szCs w:val="21"/>
                      <w:lang w:eastAsia="zh-CN"/>
                    </w:rPr>
                    <w:t>前</w:t>
                  </w:r>
                  <w:r>
                    <w:rPr>
                      <w:rFonts w:hint="default" w:ascii="Times New Roman" w:hAnsi="Times New Roman" w:cs="Times New Roman"/>
                      <w:b w:val="0"/>
                      <w:bCs w:val="0"/>
                      <w:color w:val="auto"/>
                      <w:sz w:val="21"/>
                      <w:szCs w:val="21"/>
                    </w:rPr>
                    <w:t>产量</w:t>
                  </w:r>
                </w:p>
              </w:tc>
              <w:tc>
                <w:tcPr>
                  <w:tcW w:w="692" w:type="pct"/>
                  <w:vAlign w:val="center"/>
                </w:tcPr>
                <w:p>
                  <w:pPr>
                    <w:autoSpaceDE w:val="0"/>
                    <w:autoSpaceDN w:val="0"/>
                    <w:spacing w:line="240" w:lineRule="auto"/>
                    <w:jc w:val="center"/>
                    <w:rPr>
                      <w:rFonts w:hint="default"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改建</w:t>
                  </w:r>
                  <w:r>
                    <w:rPr>
                      <w:rFonts w:hint="default" w:ascii="Times New Roman" w:hAnsi="Times New Roman" w:cs="Times New Roman"/>
                      <w:b w:val="0"/>
                      <w:bCs w:val="0"/>
                      <w:color w:val="auto"/>
                      <w:sz w:val="21"/>
                      <w:szCs w:val="21"/>
                      <w:lang w:eastAsia="zh-CN"/>
                    </w:rPr>
                    <w:t>后全厂</w:t>
                  </w:r>
                  <w:r>
                    <w:rPr>
                      <w:rFonts w:hint="default" w:ascii="Times New Roman" w:hAnsi="Times New Roman" w:cs="Times New Roman"/>
                      <w:b w:val="0"/>
                      <w:bCs w:val="0"/>
                      <w:color w:val="auto"/>
                      <w:sz w:val="21"/>
                      <w:szCs w:val="21"/>
                    </w:rPr>
                    <w:t>产量</w:t>
                  </w:r>
                </w:p>
              </w:tc>
              <w:tc>
                <w:tcPr>
                  <w:tcW w:w="1168" w:type="pct"/>
                  <w:vAlign w:val="center"/>
                </w:tcPr>
                <w:p>
                  <w:pPr>
                    <w:autoSpaceDE w:val="0"/>
                    <w:autoSpaceDN w:val="0"/>
                    <w:spacing w:line="240" w:lineRule="auto"/>
                    <w:jc w:val="center"/>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技改前后产品变化情况</w:t>
                  </w:r>
                </w:p>
              </w:tc>
              <w:tc>
                <w:tcPr>
                  <w:tcW w:w="1956" w:type="pct"/>
                  <w:vAlign w:val="center"/>
                </w:tcPr>
                <w:p>
                  <w:pPr>
                    <w:autoSpaceDE w:val="0"/>
                    <w:autoSpaceDN w:val="0"/>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产品质量标准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 w:type="pct"/>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电子铝箔</w:t>
                  </w:r>
                </w:p>
              </w:tc>
              <w:tc>
                <w:tcPr>
                  <w:tcW w:w="692" w:type="pct"/>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30000</w:t>
                  </w:r>
                  <w:r>
                    <w:rPr>
                      <w:rFonts w:hint="default" w:ascii="Times New Roman" w:hAnsi="Times New Roman" w:cs="Times New Roman"/>
                      <w:color w:val="auto"/>
                      <w:sz w:val="21"/>
                      <w:szCs w:val="21"/>
                      <w:lang w:val="en-US" w:eastAsia="zh-CN"/>
                    </w:rPr>
                    <w:t>t/a</w:t>
                  </w:r>
                </w:p>
              </w:tc>
              <w:tc>
                <w:tcPr>
                  <w:tcW w:w="692" w:type="pct"/>
                  <w:vAlign w:val="center"/>
                </w:tcPr>
                <w:p>
                  <w:pPr>
                    <w:spacing w:line="240" w:lineRule="auto"/>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30</w:t>
                  </w:r>
                  <w:r>
                    <w:rPr>
                      <w:rFonts w:hint="default" w:ascii="Times New Roman" w:hAnsi="Times New Roman" w:cs="Times New Roman"/>
                      <w:color w:val="auto"/>
                      <w:sz w:val="21"/>
                      <w:szCs w:val="21"/>
                    </w:rPr>
                    <w:t>000</w:t>
                  </w:r>
                  <w:r>
                    <w:rPr>
                      <w:rFonts w:hint="default" w:ascii="Times New Roman" w:hAnsi="Times New Roman" w:cs="Times New Roman"/>
                      <w:color w:val="auto"/>
                      <w:sz w:val="21"/>
                      <w:szCs w:val="21"/>
                      <w:lang w:val="en-US" w:eastAsia="zh-CN"/>
                    </w:rPr>
                    <w:t>t/a</w:t>
                  </w:r>
                </w:p>
              </w:tc>
              <w:tc>
                <w:tcPr>
                  <w:tcW w:w="1168" w:type="pct"/>
                  <w:vAlign w:val="center"/>
                </w:tcPr>
                <w:p>
                  <w:pPr>
                    <w:spacing w:line="240" w:lineRule="auto"/>
                    <w:jc w:val="center"/>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+0</w:t>
                  </w:r>
                  <w:r>
                    <w:rPr>
                      <w:rFonts w:hint="default" w:ascii="Times New Roman" w:hAnsi="Times New Roman" w:cs="Times New Roman"/>
                      <w:b/>
                      <w:bCs/>
                      <w:color w:val="auto"/>
                      <w:sz w:val="21"/>
                      <w:szCs w:val="21"/>
                      <w:u w:val="single"/>
                      <w:lang w:val="en-US" w:eastAsia="zh-CN"/>
                    </w:rPr>
                    <w:t>t/a</w:t>
                  </w:r>
                  <w:r>
                    <w:rPr>
                      <w:rFonts w:hint="eastAsia" w:ascii="Times New Roman" w:hAnsi="Times New Roman" w:cs="Times New Roman"/>
                      <w:b/>
                      <w:bCs/>
                      <w:color w:val="auto"/>
                      <w:sz w:val="21"/>
                      <w:szCs w:val="21"/>
                      <w:u w:val="single"/>
                      <w:lang w:val="en-US" w:eastAsia="zh-CN"/>
                    </w:rPr>
                    <w:t>，产能不增加</w:t>
                  </w:r>
                </w:p>
              </w:tc>
              <w:tc>
                <w:tcPr>
                  <w:tcW w:w="1956" w:type="pct"/>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~0.2</w:t>
                  </w:r>
                  <w:r>
                    <w:rPr>
                      <w:rFonts w:hint="eastAsia" w:ascii="Times New Roman" w:hAnsi="Times New Roman" w:cs="Times New Roman"/>
                      <w:color w:val="auto"/>
                      <w:sz w:val="21"/>
                      <w:szCs w:val="21"/>
                      <w:lang w:val="en-US" w:eastAsia="zh-CN"/>
                    </w:rPr>
                    <w:t>05</w:t>
                  </w:r>
                  <w:r>
                    <w:rPr>
                      <w:rFonts w:hint="default" w:ascii="Times New Roman" w:hAnsi="Times New Roman" w:cs="Times New Roman"/>
                      <w:color w:val="auto"/>
                      <w:sz w:val="21"/>
                      <w:szCs w:val="21"/>
                      <w:lang w:val="en-US" w:eastAsia="zh-CN"/>
                    </w:rPr>
                    <w:t>mm×</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00~</w:t>
                  </w:r>
                  <w:r>
                    <w:rPr>
                      <w:rFonts w:hint="eastAsia" w:ascii="Times New Roman" w:hAnsi="Times New Roman" w:cs="Times New Roman"/>
                      <w:color w:val="auto"/>
                      <w:sz w:val="21"/>
                      <w:szCs w:val="21"/>
                      <w:lang w:val="en-US" w:eastAsia="zh-CN"/>
                    </w:rPr>
                    <w:t>51</w:t>
                  </w:r>
                  <w:r>
                    <w:rPr>
                      <w:rFonts w:hint="default" w:ascii="Times New Roman" w:hAnsi="Times New Roman" w:cs="Times New Roman"/>
                      <w:color w:val="auto"/>
                      <w:sz w:val="21"/>
                      <w:szCs w:val="21"/>
                      <w:lang w:val="en-US" w:eastAsia="zh-CN"/>
                    </w:rPr>
                    <w:t>0mm</w:t>
                  </w:r>
                </w:p>
              </w:tc>
            </w:tr>
          </w:tbl>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注：对其中1万吨高性能电子铝箔进行升级改造为</w:t>
            </w:r>
            <w:r>
              <w:rPr>
                <w:rFonts w:hint="default" w:ascii="Times New Roman" w:hAnsi="Times New Roman" w:eastAsia="宋体" w:cs="Times New Roman"/>
                <w:color w:val="auto"/>
                <w:sz w:val="24"/>
                <w:szCs w:val="24"/>
                <w:highlight w:val="none"/>
                <w:lang w:val="zh-CN"/>
              </w:rPr>
              <w:t>高性能高压电子铝箔</w:t>
            </w:r>
            <w:r>
              <w:rPr>
                <w:rFonts w:hint="eastAsia" w:ascii="Times New Roman" w:hAnsi="Times New Roman" w:cs="Times New Roman"/>
                <w:color w:val="auto"/>
                <w:sz w:val="24"/>
                <w:szCs w:val="24"/>
                <w:highlight w:val="none"/>
                <w:lang w:val="zh-CN"/>
              </w:rPr>
              <w:t>，</w:t>
            </w:r>
            <w:r>
              <w:rPr>
                <w:rFonts w:hint="eastAsia" w:ascii="Times New Roman" w:hAnsi="Times New Roman" w:cs="Times New Roman"/>
                <w:color w:val="auto"/>
                <w:sz w:val="24"/>
                <w:szCs w:val="24"/>
                <w:highlight w:val="none"/>
                <w:lang w:val="en-US" w:eastAsia="zh-CN"/>
              </w:rPr>
              <w:t>总体产能不发生变化。</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（3）主要生产设备</w:t>
            </w:r>
          </w:p>
          <w:p>
            <w:pPr>
              <w:spacing w:line="360" w:lineRule="auto"/>
              <w:ind w:firstLine="482" w:firstLineChars="200"/>
              <w:rPr>
                <w:rFonts w:hint="default"/>
                <w:lang w:val="en-US" w:eastAsia="zh-CN"/>
              </w:rPr>
            </w:pPr>
            <w:r>
              <w:rPr>
                <w:rFonts w:hint="eastAsia" w:ascii="Times New Roman" w:hAnsi="Times New Roman" w:cs="Times New Roman"/>
                <w:b/>
                <w:bCs/>
                <w:color w:val="auto"/>
                <w:sz w:val="24"/>
                <w:szCs w:val="24"/>
                <w:u w:val="single"/>
                <w:lang w:val="en-US" w:eastAsia="zh-CN"/>
              </w:rPr>
              <w:t>本次改建项目生产设备不涉及改造和拆除，只新增设备，主要目的为</w:t>
            </w:r>
            <w:r>
              <w:rPr>
                <w:rFonts w:hint="eastAsia" w:ascii="Times New Roman" w:hAnsi="Times New Roman" w:cs="Times New Roman"/>
                <w:b/>
                <w:bCs/>
                <w:color w:val="auto"/>
                <w:sz w:val="24"/>
                <w:szCs w:val="24"/>
                <w:highlight w:val="none"/>
                <w:u w:val="single"/>
                <w:lang w:val="en-US" w:eastAsia="zh-CN"/>
              </w:rPr>
              <w:t>提升原料配方和合金元素控制精准度、生产过程测量精准度，实现质量进一步提升。通过引进或自主设计并制造技术装备，提高电子铝箔的产品质量和性能，包括提高其力学性能、导电性能、耐腐蚀性能等，以满足高端电子产品对铝箔的更高要求</w:t>
            </w:r>
            <w:r>
              <w:rPr>
                <w:rFonts w:hint="eastAsia" w:ascii="Times New Roman" w:hAnsi="Times New Roman" w:cs="Times New Roman"/>
                <w:b/>
                <w:bCs/>
                <w:color w:val="auto"/>
                <w:sz w:val="24"/>
                <w:szCs w:val="24"/>
                <w:u w:val="single"/>
                <w:lang w:val="en-US" w:eastAsia="zh-CN"/>
              </w:rPr>
              <w:t>。</w:t>
            </w:r>
            <w:r>
              <w:rPr>
                <w:rFonts w:hint="default" w:ascii="Times New Roman" w:hAnsi="Times New Roman" w:cs="Times New Roman"/>
                <w:b/>
                <w:bCs/>
                <w:color w:val="auto"/>
                <w:sz w:val="24"/>
                <w:szCs w:val="24"/>
                <w:u w:val="single"/>
              </w:rPr>
              <w:t>主要</w:t>
            </w:r>
            <w:r>
              <w:rPr>
                <w:rFonts w:hint="eastAsia" w:ascii="Times New Roman" w:hAnsi="Times New Roman" w:cs="Times New Roman"/>
                <w:b/>
                <w:bCs/>
                <w:color w:val="auto"/>
                <w:sz w:val="24"/>
                <w:szCs w:val="24"/>
                <w:u w:val="single"/>
                <w:lang w:val="en-US" w:eastAsia="zh-CN"/>
              </w:rPr>
              <w:t>新增</w:t>
            </w:r>
            <w:r>
              <w:rPr>
                <w:rFonts w:hint="default" w:ascii="Times New Roman" w:hAnsi="Times New Roman" w:cs="Times New Roman"/>
                <w:b/>
                <w:bCs/>
                <w:color w:val="auto"/>
                <w:sz w:val="24"/>
                <w:szCs w:val="24"/>
                <w:u w:val="single"/>
              </w:rPr>
              <w:t>生产设备见下表。</w:t>
            </w:r>
          </w:p>
          <w:p>
            <w:pPr>
              <w:pStyle w:val="2"/>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highlight w:val="none"/>
                <w:lang w:val="en-US" w:eastAsia="zh-CN"/>
              </w:rPr>
              <w:t>本次</w:t>
            </w:r>
            <w:r>
              <w:rPr>
                <w:rFonts w:hint="eastAsia" w:ascii="Times New Roman" w:hAnsi="Times New Roman" w:cs="Times New Roman"/>
                <w:color w:val="auto"/>
                <w:sz w:val="24"/>
                <w:highlight w:val="none"/>
                <w:lang w:val="en-US" w:eastAsia="zh-CN"/>
              </w:rPr>
              <w:t>改建</w:t>
            </w:r>
            <w:r>
              <w:rPr>
                <w:rFonts w:hint="default" w:ascii="Times New Roman" w:hAnsi="Times New Roman" w:cs="Times New Roman"/>
                <w:color w:val="auto"/>
                <w:sz w:val="24"/>
                <w:highlight w:val="none"/>
                <w:lang w:val="en-US" w:eastAsia="zh-CN"/>
              </w:rPr>
              <w:t>项目</w:t>
            </w:r>
            <w:r>
              <w:rPr>
                <w:rFonts w:hint="eastAsia" w:ascii="Times New Roman" w:hAnsi="Times New Roman" w:cs="Times New Roman"/>
                <w:color w:val="auto"/>
                <w:sz w:val="24"/>
                <w:highlight w:val="none"/>
                <w:lang w:val="en-US" w:eastAsia="zh-CN"/>
              </w:rPr>
              <w:t>新增</w:t>
            </w:r>
            <w:r>
              <w:rPr>
                <w:rFonts w:hint="default" w:ascii="Times New Roman" w:hAnsi="Times New Roman" w:cs="Times New Roman"/>
                <w:color w:val="auto"/>
                <w:sz w:val="24"/>
                <w:highlight w:val="none"/>
                <w:lang w:val="en-US" w:eastAsia="zh-CN"/>
              </w:rPr>
              <w:t>生产设备一览表</w:t>
            </w:r>
          </w:p>
          <w:tbl>
            <w:tblPr>
              <w:tblStyle w:val="28"/>
              <w:tblW w:w="7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67"/>
              <w:gridCol w:w="2050"/>
              <w:gridCol w:w="119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pPr>
                    <w:jc w:val="center"/>
                    <w:rPr>
                      <w:rFonts w:hint="default" w:ascii="Times New Roman" w:hAnsi="Times New Roman" w:cs="Times New Roman" w:eastAsiaTheme="minorEastAsia"/>
                      <w:b/>
                      <w:bCs/>
                      <w:color w:val="auto"/>
                      <w:sz w:val="21"/>
                      <w:szCs w:val="21"/>
                      <w:u w:val="single"/>
                      <w:vertAlign w:val="baseline"/>
                      <w:lang w:eastAsia="zh-CN"/>
                    </w:rPr>
                  </w:pPr>
                  <w:r>
                    <w:rPr>
                      <w:rFonts w:hint="default" w:ascii="Times New Roman" w:hAnsi="Times New Roman" w:cs="Times New Roman"/>
                      <w:b/>
                      <w:bCs/>
                      <w:color w:val="auto"/>
                      <w:sz w:val="21"/>
                      <w:szCs w:val="21"/>
                      <w:u w:val="single"/>
                      <w:vertAlign w:val="baseline"/>
                      <w:lang w:eastAsia="zh-CN"/>
                    </w:rPr>
                    <w:t>序号</w:t>
                  </w:r>
                </w:p>
              </w:tc>
              <w:tc>
                <w:tcPr>
                  <w:tcW w:w="2467" w:type="dxa"/>
                  <w:vAlign w:val="center"/>
                </w:tcPr>
                <w:p>
                  <w:pPr>
                    <w:jc w:val="center"/>
                    <w:rPr>
                      <w:rFonts w:hint="default" w:ascii="Times New Roman" w:hAnsi="Times New Roman" w:cs="Times New Roman" w:eastAsiaTheme="minorEastAsia"/>
                      <w:b/>
                      <w:bCs/>
                      <w:color w:val="auto"/>
                      <w:sz w:val="21"/>
                      <w:szCs w:val="21"/>
                      <w:u w:val="single"/>
                      <w:vertAlign w:val="baseline"/>
                      <w:lang w:eastAsia="zh-CN"/>
                    </w:rPr>
                  </w:pPr>
                  <w:r>
                    <w:rPr>
                      <w:rFonts w:hint="default" w:ascii="Times New Roman" w:hAnsi="Times New Roman" w:cs="Times New Roman"/>
                      <w:b/>
                      <w:bCs/>
                      <w:color w:val="auto"/>
                      <w:sz w:val="21"/>
                      <w:szCs w:val="21"/>
                      <w:u w:val="single"/>
                      <w:vertAlign w:val="baseline"/>
                      <w:lang w:eastAsia="zh-CN"/>
                    </w:rPr>
                    <w:t>设备名称</w:t>
                  </w:r>
                </w:p>
              </w:tc>
              <w:tc>
                <w:tcPr>
                  <w:tcW w:w="2050" w:type="dxa"/>
                  <w:vAlign w:val="center"/>
                </w:tcPr>
                <w:p>
                  <w:pPr>
                    <w:jc w:val="center"/>
                    <w:rPr>
                      <w:rFonts w:hint="default" w:ascii="Times New Roman" w:hAnsi="Times New Roman" w:cs="Times New Roman" w:eastAsiaTheme="minorEastAsia"/>
                      <w:b/>
                      <w:bCs/>
                      <w:color w:val="auto"/>
                      <w:sz w:val="21"/>
                      <w:szCs w:val="21"/>
                      <w:u w:val="single"/>
                      <w:vertAlign w:val="baseline"/>
                      <w:lang w:eastAsia="zh-CN"/>
                    </w:rPr>
                  </w:pPr>
                  <w:r>
                    <w:rPr>
                      <w:rFonts w:hint="eastAsia" w:ascii="Times New Roman" w:hAnsi="Times New Roman" w:cs="Times New Roman"/>
                      <w:b/>
                      <w:bCs/>
                      <w:color w:val="auto"/>
                      <w:sz w:val="21"/>
                      <w:szCs w:val="21"/>
                      <w:u w:val="single"/>
                      <w:vertAlign w:val="baseline"/>
                      <w:lang w:val="en-US" w:eastAsia="zh-CN"/>
                    </w:rPr>
                    <w:t>型号</w:t>
                  </w:r>
                </w:p>
              </w:tc>
              <w:tc>
                <w:tcPr>
                  <w:tcW w:w="1198" w:type="dxa"/>
                  <w:vAlign w:val="center"/>
                </w:tcPr>
                <w:p>
                  <w:pPr>
                    <w:jc w:val="center"/>
                    <w:rPr>
                      <w:rFonts w:hint="default" w:ascii="Times New Roman" w:hAnsi="Times New Roman" w:cs="Times New Roman" w:eastAsiaTheme="minorEastAsia"/>
                      <w:b/>
                      <w:bCs/>
                      <w:color w:val="auto"/>
                      <w:sz w:val="21"/>
                      <w:szCs w:val="21"/>
                      <w:u w:val="single"/>
                      <w:vertAlign w:val="baseline"/>
                      <w:lang w:eastAsia="zh-CN"/>
                    </w:rPr>
                  </w:pPr>
                  <w:r>
                    <w:rPr>
                      <w:rFonts w:hint="default" w:ascii="Times New Roman" w:hAnsi="Times New Roman" w:cs="Times New Roman"/>
                      <w:b/>
                      <w:bCs/>
                      <w:color w:val="auto"/>
                      <w:sz w:val="21"/>
                      <w:szCs w:val="21"/>
                      <w:u w:val="single"/>
                      <w:vertAlign w:val="baseline"/>
                      <w:lang w:eastAsia="zh-CN"/>
                    </w:rPr>
                    <w:t>数量</w:t>
                  </w:r>
                </w:p>
              </w:tc>
              <w:tc>
                <w:tcPr>
                  <w:tcW w:w="1198" w:type="dxa"/>
                  <w:vAlign w:val="center"/>
                </w:tcPr>
                <w:p>
                  <w:pPr>
                    <w:jc w:val="center"/>
                    <w:rPr>
                      <w:rFonts w:hint="default" w:ascii="Times New Roman" w:hAnsi="Times New Roman"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hint="default" w:ascii="Times New Roman" w:hAnsi="Times New Roman" w:cs="Times New Roman" w:eastAsiaTheme="minorEastAsia"/>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1</w:t>
                  </w:r>
                </w:p>
              </w:tc>
              <w:tc>
                <w:tcPr>
                  <w:tcW w:w="2467" w:type="dxa"/>
                  <w:vAlign w:val="center"/>
                </w:tcPr>
                <w:p>
                  <w:pPr>
                    <w:jc w:val="center"/>
                    <w:rPr>
                      <w:rFonts w:hint="default" w:ascii="Times New Roman" w:hAnsi="Times New Roman" w:eastAsia="宋体" w:cs="Times New Roman"/>
                      <w:b/>
                      <w:bCs/>
                      <w:color w:val="auto"/>
                      <w:sz w:val="21"/>
                      <w:szCs w:val="21"/>
                      <w:u w:val="single"/>
                      <w:vertAlign w:val="baseline"/>
                      <w:lang w:eastAsia="zh-CN"/>
                    </w:rPr>
                  </w:pPr>
                  <w:r>
                    <w:rPr>
                      <w:rFonts w:hint="eastAsia" w:ascii="Times New Roman" w:hAnsi="Times New Roman" w:eastAsia="宋体" w:cs="Times New Roman"/>
                      <w:b/>
                      <w:bCs/>
                      <w:color w:val="auto"/>
                      <w:sz w:val="21"/>
                      <w:szCs w:val="21"/>
                      <w:u w:val="single"/>
                      <w:vertAlign w:val="baseline"/>
                      <w:lang w:val="en-US" w:eastAsia="zh-CN"/>
                    </w:rPr>
                    <w:t>中退炉</w:t>
                  </w:r>
                </w:p>
              </w:tc>
              <w:tc>
                <w:tcPr>
                  <w:tcW w:w="2050"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20T</w:t>
                  </w:r>
                </w:p>
              </w:tc>
              <w:tc>
                <w:tcPr>
                  <w:tcW w:w="1198"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1台</w:t>
                  </w:r>
                </w:p>
              </w:tc>
              <w:tc>
                <w:tcPr>
                  <w:tcW w:w="1198"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hint="default" w:ascii="Times New Roman" w:hAnsi="Times New Roman" w:cs="Times New Roman" w:eastAsiaTheme="minorEastAsia"/>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2</w:t>
                  </w:r>
                </w:p>
              </w:tc>
              <w:tc>
                <w:tcPr>
                  <w:tcW w:w="2467" w:type="dxa"/>
                  <w:vAlign w:val="center"/>
                </w:tcPr>
                <w:p>
                  <w:pPr>
                    <w:jc w:val="center"/>
                    <w:rPr>
                      <w:rFonts w:hint="default" w:ascii="Times New Roman" w:hAnsi="Times New Roman" w:eastAsia="宋体" w:cs="Times New Roman"/>
                      <w:b/>
                      <w:bCs/>
                      <w:color w:val="auto"/>
                      <w:sz w:val="21"/>
                      <w:szCs w:val="21"/>
                      <w:u w:val="single"/>
                      <w:vertAlign w:val="baseline"/>
                      <w:lang w:eastAsia="zh-CN"/>
                    </w:rPr>
                  </w:pPr>
                  <w:r>
                    <w:rPr>
                      <w:rFonts w:hint="eastAsia" w:ascii="Times New Roman" w:hAnsi="Times New Roman" w:eastAsia="宋体" w:cs="Times New Roman"/>
                      <w:b/>
                      <w:bCs/>
                      <w:color w:val="auto"/>
                      <w:sz w:val="21"/>
                      <w:szCs w:val="21"/>
                      <w:u w:val="single"/>
                      <w:vertAlign w:val="baseline"/>
                      <w:lang w:val="en-US" w:eastAsia="zh-CN"/>
                    </w:rPr>
                    <w:t>铸造机</w:t>
                  </w:r>
                </w:p>
              </w:tc>
              <w:tc>
                <w:tcPr>
                  <w:tcW w:w="2050"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30T</w:t>
                  </w:r>
                </w:p>
              </w:tc>
              <w:tc>
                <w:tcPr>
                  <w:tcW w:w="1198"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1套</w:t>
                  </w:r>
                </w:p>
              </w:tc>
              <w:tc>
                <w:tcPr>
                  <w:tcW w:w="1198" w:type="dxa"/>
                  <w:vAlign w:val="center"/>
                </w:tcPr>
                <w:p>
                  <w:pPr>
                    <w:jc w:val="center"/>
                    <w:rPr>
                      <w:rFonts w:hint="eastAsia"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hint="default" w:ascii="Times New Roman" w:hAnsi="Times New Roman" w:cs="Times New Roman" w:eastAsiaTheme="minorEastAsia"/>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3</w:t>
                  </w:r>
                </w:p>
              </w:tc>
              <w:tc>
                <w:tcPr>
                  <w:tcW w:w="2467" w:type="dxa"/>
                  <w:vAlign w:val="center"/>
                </w:tcPr>
                <w:p>
                  <w:pPr>
                    <w:jc w:val="center"/>
                    <w:rPr>
                      <w:rFonts w:hint="default" w:ascii="Times New Roman" w:hAnsi="Times New Roman" w:eastAsia="宋体" w:cs="Times New Roman"/>
                      <w:b/>
                      <w:bCs/>
                      <w:color w:val="auto"/>
                      <w:sz w:val="21"/>
                      <w:szCs w:val="21"/>
                      <w:u w:val="single"/>
                      <w:vertAlign w:val="baseline"/>
                      <w:lang w:eastAsia="zh-CN"/>
                    </w:rPr>
                  </w:pPr>
                  <w:r>
                    <w:rPr>
                      <w:rFonts w:hint="eastAsia" w:ascii="Times New Roman" w:hAnsi="Times New Roman" w:eastAsia="宋体" w:cs="Times New Roman"/>
                      <w:b/>
                      <w:bCs/>
                      <w:color w:val="auto"/>
                      <w:sz w:val="21"/>
                      <w:szCs w:val="21"/>
                      <w:u w:val="single"/>
                      <w:vertAlign w:val="baseline"/>
                      <w:lang w:val="en-US" w:eastAsia="zh-CN"/>
                    </w:rPr>
                    <w:t>倾动炉</w:t>
                  </w:r>
                </w:p>
              </w:tc>
              <w:tc>
                <w:tcPr>
                  <w:tcW w:w="2050"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20T</w:t>
                  </w:r>
                </w:p>
              </w:tc>
              <w:tc>
                <w:tcPr>
                  <w:tcW w:w="1198"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1台</w:t>
                  </w:r>
                </w:p>
              </w:tc>
              <w:tc>
                <w:tcPr>
                  <w:tcW w:w="1198" w:type="dxa"/>
                  <w:vAlign w:val="center"/>
                </w:tcPr>
                <w:p>
                  <w:pPr>
                    <w:jc w:val="center"/>
                    <w:rPr>
                      <w:rFonts w:hint="eastAsia"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hint="default" w:ascii="Times New Roman" w:hAnsi="Times New Roman" w:cs="Times New Roman" w:eastAsiaTheme="minorEastAsia"/>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4</w:t>
                  </w:r>
                </w:p>
              </w:tc>
              <w:tc>
                <w:tcPr>
                  <w:tcW w:w="2467" w:type="dxa"/>
                  <w:vAlign w:val="center"/>
                </w:tcPr>
                <w:p>
                  <w:pPr>
                    <w:jc w:val="center"/>
                    <w:rPr>
                      <w:rFonts w:hint="default" w:ascii="Times New Roman" w:hAnsi="Times New Roman" w:eastAsia="宋体" w:cs="Times New Roman"/>
                      <w:b/>
                      <w:bCs/>
                      <w:color w:val="auto"/>
                      <w:sz w:val="21"/>
                      <w:szCs w:val="21"/>
                      <w:u w:val="single"/>
                      <w:vertAlign w:val="baseline"/>
                      <w:lang w:eastAsia="zh-CN"/>
                    </w:rPr>
                  </w:pPr>
                  <w:r>
                    <w:rPr>
                      <w:rFonts w:hint="eastAsia" w:ascii="Times New Roman" w:hAnsi="Times New Roman" w:eastAsia="宋体" w:cs="Times New Roman"/>
                      <w:b/>
                      <w:bCs/>
                      <w:color w:val="auto"/>
                      <w:sz w:val="21"/>
                      <w:szCs w:val="21"/>
                      <w:u w:val="single"/>
                      <w:vertAlign w:val="baseline"/>
                      <w:lang w:val="en-US" w:eastAsia="zh-CN"/>
                    </w:rPr>
                    <w:t>均热炉</w:t>
                  </w:r>
                </w:p>
              </w:tc>
              <w:tc>
                <w:tcPr>
                  <w:tcW w:w="2050"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90T</w:t>
                  </w:r>
                </w:p>
              </w:tc>
              <w:tc>
                <w:tcPr>
                  <w:tcW w:w="1198"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1套</w:t>
                  </w:r>
                </w:p>
              </w:tc>
              <w:tc>
                <w:tcPr>
                  <w:tcW w:w="1198" w:type="dxa"/>
                  <w:vAlign w:val="center"/>
                </w:tcPr>
                <w:p>
                  <w:pPr>
                    <w:jc w:val="center"/>
                    <w:rPr>
                      <w:rFonts w:hint="eastAsia"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5</w:t>
                  </w:r>
                </w:p>
              </w:tc>
              <w:tc>
                <w:tcPr>
                  <w:tcW w:w="2467" w:type="dxa"/>
                  <w:vAlign w:val="center"/>
                </w:tcPr>
                <w:p>
                  <w:pPr>
                    <w:jc w:val="center"/>
                    <w:rPr>
                      <w:rFonts w:hint="default" w:ascii="Times New Roman" w:hAnsi="Times New Roman" w:eastAsia="宋体" w:cs="Times New Roman"/>
                      <w:b/>
                      <w:bCs/>
                      <w:color w:val="auto"/>
                      <w:sz w:val="21"/>
                      <w:szCs w:val="21"/>
                      <w:u w:val="single"/>
                      <w:vertAlign w:val="baseline"/>
                      <w:lang w:eastAsia="zh-CN"/>
                    </w:rPr>
                  </w:pPr>
                  <w:r>
                    <w:rPr>
                      <w:rFonts w:hint="eastAsia" w:ascii="Times New Roman" w:hAnsi="Times New Roman" w:eastAsia="宋体" w:cs="Times New Roman"/>
                      <w:b/>
                      <w:bCs/>
                      <w:color w:val="auto"/>
                      <w:sz w:val="21"/>
                      <w:szCs w:val="21"/>
                      <w:u w:val="single"/>
                      <w:vertAlign w:val="baseline"/>
                      <w:lang w:val="en-US" w:eastAsia="zh-CN"/>
                    </w:rPr>
                    <w:t>复卷机</w:t>
                  </w:r>
                </w:p>
              </w:tc>
              <w:tc>
                <w:tcPr>
                  <w:tcW w:w="2050"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500mm</w:t>
                  </w:r>
                </w:p>
              </w:tc>
              <w:tc>
                <w:tcPr>
                  <w:tcW w:w="1198"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1台</w:t>
                  </w:r>
                </w:p>
              </w:tc>
              <w:tc>
                <w:tcPr>
                  <w:tcW w:w="1198" w:type="dxa"/>
                  <w:vAlign w:val="center"/>
                </w:tcPr>
                <w:p>
                  <w:pPr>
                    <w:jc w:val="center"/>
                    <w:rPr>
                      <w:rFonts w:hint="eastAsia"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6</w:t>
                  </w:r>
                </w:p>
              </w:tc>
              <w:tc>
                <w:tcPr>
                  <w:tcW w:w="2467" w:type="dxa"/>
                  <w:vAlign w:val="center"/>
                </w:tcPr>
                <w:p>
                  <w:pPr>
                    <w:jc w:val="center"/>
                    <w:rPr>
                      <w:rFonts w:hint="default" w:ascii="Times New Roman" w:hAnsi="Times New Roman" w:eastAsia="宋体" w:cs="Times New Roman"/>
                      <w:b/>
                      <w:bCs/>
                      <w:color w:val="auto"/>
                      <w:sz w:val="21"/>
                      <w:szCs w:val="21"/>
                      <w:u w:val="single"/>
                      <w:vertAlign w:val="baseline"/>
                      <w:lang w:eastAsia="zh-CN"/>
                    </w:rPr>
                  </w:pPr>
                  <w:r>
                    <w:rPr>
                      <w:rFonts w:hint="eastAsia" w:ascii="Times New Roman" w:hAnsi="Times New Roman" w:eastAsia="宋体" w:cs="Times New Roman"/>
                      <w:b/>
                      <w:bCs/>
                      <w:color w:val="auto"/>
                      <w:sz w:val="21"/>
                      <w:szCs w:val="21"/>
                      <w:u w:val="single"/>
                      <w:vertAlign w:val="baseline"/>
                      <w:lang w:val="en-US" w:eastAsia="zh-CN"/>
                    </w:rPr>
                    <w:t>冷轧机板型系统</w:t>
                  </w:r>
                </w:p>
              </w:tc>
              <w:tc>
                <w:tcPr>
                  <w:tcW w:w="2050"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w:t>
                  </w:r>
                </w:p>
              </w:tc>
              <w:tc>
                <w:tcPr>
                  <w:tcW w:w="1198"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1套</w:t>
                  </w:r>
                </w:p>
              </w:tc>
              <w:tc>
                <w:tcPr>
                  <w:tcW w:w="1198" w:type="dxa"/>
                  <w:vAlign w:val="center"/>
                </w:tcPr>
                <w:p>
                  <w:pPr>
                    <w:jc w:val="center"/>
                    <w:rPr>
                      <w:rFonts w:hint="eastAsia"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pPr>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7</w:t>
                  </w:r>
                </w:p>
              </w:tc>
              <w:tc>
                <w:tcPr>
                  <w:tcW w:w="2467" w:type="dxa"/>
                  <w:vAlign w:val="center"/>
                </w:tcPr>
                <w:p>
                  <w:pPr>
                    <w:jc w:val="center"/>
                    <w:rPr>
                      <w:rFonts w:hint="default" w:ascii="Times New Roman" w:hAnsi="Times New Roman" w:eastAsia="宋体" w:cs="Times New Roman"/>
                      <w:b/>
                      <w:bCs/>
                      <w:color w:val="auto"/>
                      <w:sz w:val="21"/>
                      <w:szCs w:val="21"/>
                      <w:u w:val="single"/>
                      <w:vertAlign w:val="baseline"/>
                      <w:lang w:eastAsia="zh-CN"/>
                    </w:rPr>
                  </w:pPr>
                  <w:r>
                    <w:rPr>
                      <w:rFonts w:hint="eastAsia" w:ascii="Times New Roman" w:hAnsi="Times New Roman" w:eastAsia="宋体" w:cs="Times New Roman"/>
                      <w:b/>
                      <w:bCs/>
                      <w:color w:val="auto"/>
                      <w:sz w:val="21"/>
                      <w:szCs w:val="21"/>
                      <w:u w:val="single"/>
                      <w:vertAlign w:val="baseline"/>
                      <w:lang w:val="en-US" w:eastAsia="zh-CN"/>
                    </w:rPr>
                    <w:t>箔轧机</w:t>
                  </w:r>
                </w:p>
              </w:tc>
              <w:tc>
                <w:tcPr>
                  <w:tcW w:w="2050" w:type="dxa"/>
                  <w:vAlign w:val="center"/>
                </w:tcPr>
                <w:p>
                  <w:pPr>
                    <w:jc w:val="center"/>
                    <w:rPr>
                      <w:rFonts w:hint="default" w:ascii="Times New Roman" w:hAnsi="Times New Roman" w:eastAsia="宋体" w:cs="Times New Roman"/>
                      <w:b/>
                      <w:bCs/>
                      <w:color w:val="auto"/>
                      <w:sz w:val="21"/>
                      <w:szCs w:val="21"/>
                      <w:u w:val="single"/>
                      <w:vertAlign w:val="baseline"/>
                      <w:lang w:eastAsia="zh-CN"/>
                    </w:rPr>
                  </w:pPr>
                  <w:r>
                    <w:rPr>
                      <w:rFonts w:hint="eastAsia" w:ascii="Times New Roman" w:hAnsi="Times New Roman" w:eastAsia="宋体" w:cs="Times New Roman"/>
                      <w:b/>
                      <w:bCs/>
                      <w:color w:val="auto"/>
                      <w:sz w:val="21"/>
                      <w:szCs w:val="21"/>
                      <w:u w:val="single"/>
                      <w:vertAlign w:val="baseline"/>
                      <w:lang w:val="en-US" w:eastAsia="zh-CN"/>
                    </w:rPr>
                    <w:t>800mm</w:t>
                  </w:r>
                </w:p>
              </w:tc>
              <w:tc>
                <w:tcPr>
                  <w:tcW w:w="1198"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1台</w:t>
                  </w:r>
                </w:p>
              </w:tc>
              <w:tc>
                <w:tcPr>
                  <w:tcW w:w="1198" w:type="dxa"/>
                  <w:vAlign w:val="center"/>
                </w:tcPr>
                <w:p>
                  <w:pPr>
                    <w:jc w:val="center"/>
                    <w:rPr>
                      <w:rFonts w:hint="eastAsia"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8</w:t>
                  </w:r>
                </w:p>
              </w:tc>
              <w:tc>
                <w:tcPr>
                  <w:tcW w:w="2467" w:type="dxa"/>
                  <w:vAlign w:val="center"/>
                </w:tcPr>
                <w:p>
                  <w:pPr>
                    <w:jc w:val="center"/>
                    <w:rPr>
                      <w:rFonts w:hint="default" w:ascii="Times New Roman" w:hAnsi="Times New Roman" w:eastAsia="宋体" w:cs="Times New Roman"/>
                      <w:b/>
                      <w:bCs/>
                      <w:color w:val="auto"/>
                      <w:sz w:val="21"/>
                      <w:szCs w:val="21"/>
                      <w:u w:val="single"/>
                      <w:vertAlign w:val="baseline"/>
                      <w:lang w:eastAsia="zh-CN"/>
                    </w:rPr>
                  </w:pPr>
                  <w:r>
                    <w:rPr>
                      <w:rFonts w:hint="eastAsia" w:ascii="Times New Roman" w:hAnsi="Times New Roman" w:eastAsia="宋体" w:cs="Times New Roman"/>
                      <w:b/>
                      <w:bCs/>
                      <w:color w:val="auto"/>
                      <w:sz w:val="21"/>
                      <w:szCs w:val="21"/>
                      <w:u w:val="single"/>
                      <w:vertAlign w:val="baseline"/>
                      <w:lang w:val="en-US" w:eastAsia="zh-CN"/>
                    </w:rPr>
                    <w:t>进口磨床</w:t>
                  </w:r>
                </w:p>
              </w:tc>
              <w:tc>
                <w:tcPr>
                  <w:tcW w:w="2050"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w:t>
                  </w:r>
                </w:p>
              </w:tc>
              <w:tc>
                <w:tcPr>
                  <w:tcW w:w="1198"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1台</w:t>
                  </w:r>
                </w:p>
              </w:tc>
              <w:tc>
                <w:tcPr>
                  <w:tcW w:w="1198" w:type="dxa"/>
                  <w:vAlign w:val="center"/>
                </w:tcPr>
                <w:p>
                  <w:pPr>
                    <w:jc w:val="center"/>
                    <w:rPr>
                      <w:rFonts w:hint="eastAsia"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9</w:t>
                  </w:r>
                </w:p>
              </w:tc>
              <w:tc>
                <w:tcPr>
                  <w:tcW w:w="2467" w:type="dxa"/>
                  <w:vAlign w:val="center"/>
                </w:tcPr>
                <w:p>
                  <w:pPr>
                    <w:jc w:val="center"/>
                    <w:rPr>
                      <w:rFonts w:hint="default" w:ascii="Times New Roman" w:hAnsi="Times New Roman" w:eastAsia="宋体" w:cs="Times New Roman"/>
                      <w:b/>
                      <w:bCs/>
                      <w:color w:val="auto"/>
                      <w:sz w:val="21"/>
                      <w:szCs w:val="21"/>
                      <w:u w:val="single"/>
                      <w:vertAlign w:val="baseline"/>
                      <w:lang w:eastAsia="zh-CN"/>
                    </w:rPr>
                  </w:pPr>
                  <w:r>
                    <w:rPr>
                      <w:rFonts w:hint="eastAsia" w:ascii="Times New Roman" w:hAnsi="Times New Roman" w:eastAsia="宋体" w:cs="Times New Roman"/>
                      <w:b/>
                      <w:bCs/>
                      <w:color w:val="auto"/>
                      <w:sz w:val="21"/>
                      <w:szCs w:val="21"/>
                      <w:u w:val="single"/>
                      <w:vertAlign w:val="baseline"/>
                      <w:lang w:val="en-US" w:eastAsia="zh-CN"/>
                    </w:rPr>
                    <w:t>清洗机</w:t>
                  </w:r>
                </w:p>
              </w:tc>
              <w:tc>
                <w:tcPr>
                  <w:tcW w:w="2050"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650mm</w:t>
                  </w:r>
                </w:p>
              </w:tc>
              <w:tc>
                <w:tcPr>
                  <w:tcW w:w="1198"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1台</w:t>
                  </w:r>
                </w:p>
              </w:tc>
              <w:tc>
                <w:tcPr>
                  <w:tcW w:w="1198" w:type="dxa"/>
                  <w:vAlign w:val="center"/>
                </w:tcPr>
                <w:p>
                  <w:pPr>
                    <w:jc w:val="center"/>
                    <w:rPr>
                      <w:rFonts w:hint="eastAsia"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jc w:val="center"/>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10</w:t>
                  </w:r>
                </w:p>
              </w:tc>
              <w:tc>
                <w:tcPr>
                  <w:tcW w:w="2467" w:type="dxa"/>
                  <w:vAlign w:val="center"/>
                </w:tcPr>
                <w:p>
                  <w:pPr>
                    <w:jc w:val="center"/>
                    <w:rPr>
                      <w:rFonts w:hint="default" w:ascii="Times New Roman" w:hAnsi="Times New Roman" w:eastAsia="宋体" w:cs="Times New Roman"/>
                      <w:b/>
                      <w:bCs/>
                      <w:color w:val="auto"/>
                      <w:sz w:val="21"/>
                      <w:szCs w:val="21"/>
                      <w:u w:val="single"/>
                      <w:vertAlign w:val="baseline"/>
                      <w:lang w:eastAsia="zh-CN"/>
                    </w:rPr>
                  </w:pPr>
                  <w:r>
                    <w:rPr>
                      <w:rFonts w:hint="eastAsia" w:ascii="Times New Roman" w:hAnsi="Times New Roman" w:eastAsia="宋体" w:cs="Times New Roman"/>
                      <w:b/>
                      <w:bCs/>
                      <w:color w:val="auto"/>
                      <w:sz w:val="21"/>
                      <w:szCs w:val="21"/>
                      <w:u w:val="single"/>
                      <w:vertAlign w:val="baseline"/>
                      <w:lang w:val="en-US" w:eastAsia="zh-CN"/>
                    </w:rPr>
                    <w:t>大数据信息平台建设系统</w:t>
                  </w:r>
                </w:p>
              </w:tc>
              <w:tc>
                <w:tcPr>
                  <w:tcW w:w="2050"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w:t>
                  </w:r>
                </w:p>
              </w:tc>
              <w:tc>
                <w:tcPr>
                  <w:tcW w:w="1198"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eastAsia="宋体" w:cs="Times New Roman"/>
                      <w:b/>
                      <w:bCs/>
                      <w:color w:val="auto"/>
                      <w:sz w:val="21"/>
                      <w:szCs w:val="21"/>
                      <w:u w:val="single"/>
                      <w:vertAlign w:val="baseline"/>
                      <w:lang w:val="en-US" w:eastAsia="zh-CN"/>
                    </w:rPr>
                    <w:t>1套</w:t>
                  </w:r>
                </w:p>
              </w:tc>
              <w:tc>
                <w:tcPr>
                  <w:tcW w:w="1198" w:type="dxa"/>
                  <w:vAlign w:val="center"/>
                </w:tcPr>
                <w:p>
                  <w:pPr>
                    <w:jc w:val="center"/>
                    <w:rPr>
                      <w:rFonts w:hint="eastAsia"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新增</w:t>
                  </w:r>
                </w:p>
              </w:tc>
            </w:tr>
          </w:tbl>
          <w:p>
            <w:pPr>
              <w:pStyle w:val="2"/>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highlight w:val="none"/>
                <w:lang w:val="en-US" w:eastAsia="zh-CN"/>
              </w:rPr>
              <w:t>本次</w:t>
            </w:r>
            <w:r>
              <w:rPr>
                <w:rFonts w:hint="eastAsia" w:ascii="Times New Roman" w:hAnsi="Times New Roman" w:cs="Times New Roman"/>
                <w:color w:val="auto"/>
                <w:sz w:val="24"/>
                <w:highlight w:val="none"/>
                <w:lang w:val="en-US" w:eastAsia="zh-CN"/>
              </w:rPr>
              <w:t>改建</w:t>
            </w:r>
            <w:r>
              <w:rPr>
                <w:rFonts w:hint="default" w:ascii="Times New Roman" w:hAnsi="Times New Roman" w:cs="Times New Roman"/>
                <w:color w:val="auto"/>
                <w:sz w:val="24"/>
                <w:highlight w:val="none"/>
                <w:lang w:val="en-US" w:eastAsia="zh-CN"/>
              </w:rPr>
              <w:t>项目</w:t>
            </w:r>
            <w:r>
              <w:rPr>
                <w:rFonts w:hint="eastAsia" w:ascii="Times New Roman" w:hAnsi="Times New Roman" w:cs="Times New Roman"/>
                <w:color w:val="auto"/>
                <w:sz w:val="24"/>
                <w:highlight w:val="none"/>
                <w:lang w:val="en-US" w:eastAsia="zh-CN"/>
              </w:rPr>
              <w:t>建成后高性能电子铝箔</w:t>
            </w:r>
            <w:r>
              <w:rPr>
                <w:rFonts w:hint="default" w:ascii="Times New Roman" w:hAnsi="Times New Roman" w:cs="Times New Roman"/>
                <w:color w:val="auto"/>
                <w:sz w:val="24"/>
                <w:highlight w:val="none"/>
                <w:lang w:val="en-US" w:eastAsia="zh-CN"/>
              </w:rPr>
              <w:t>生产设备一览表</w:t>
            </w:r>
            <w:r>
              <w:rPr>
                <w:rFonts w:hint="eastAsia" w:ascii="Times New Roman" w:hAnsi="Times New Roman" w:cs="Times New Roman"/>
                <w:color w:val="auto"/>
                <w:sz w:val="24"/>
                <w:highlight w:val="none"/>
                <w:lang w:val="en-US" w:eastAsia="zh-CN"/>
              </w:rPr>
              <w:t>（含拟建）</w:t>
            </w:r>
          </w:p>
          <w:tbl>
            <w:tblPr>
              <w:tblStyle w:val="27"/>
              <w:tblW w:w="7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2475"/>
              <w:gridCol w:w="2203"/>
              <w:gridCol w:w="950"/>
              <w:gridCol w:w="1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3"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车间</w:t>
                  </w: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设备名称</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设备型号</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数量</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sz w:val="21"/>
                      <w:szCs w:val="21"/>
                      <w:u w:val="singl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3" w:type="dxa"/>
                  <w:vMerge w:val="restart"/>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铸造</w:t>
                  </w: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20t倾动式炉</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20t</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3台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电磁搅拌装置</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DJ20-XS</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3台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半连续液压铸造机</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内导式</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在线除气装置</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ALPUR TS 15</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highlight w:val="none"/>
                      <w:u w:val="single"/>
                    </w:rPr>
                    <w:t>深床过滤装置</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PDBF</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3台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3" w:type="dxa"/>
                  <w:vMerge w:val="restart"/>
                  <w:noWrap w:val="0"/>
                  <w:vAlign w:val="center"/>
                </w:tcPr>
                <w:p>
                  <w:pPr>
                    <w:ind w:left="0" w:firstLine="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sz w:val="21"/>
                      <w:szCs w:val="21"/>
                      <w:u w:val="single"/>
                    </w:rPr>
                    <w:t>热轧</w:t>
                  </w:r>
                  <w:r>
                    <w:rPr>
                      <w:rFonts w:hint="default" w:ascii="Times New Roman" w:hAnsi="Times New Roman" w:eastAsia="宋体" w:cs="Times New Roman"/>
                      <w:b/>
                      <w:bCs/>
                      <w:color w:val="auto"/>
                      <w:sz w:val="21"/>
                      <w:szCs w:val="21"/>
                      <w:u w:val="single"/>
                      <w:lang w:eastAsia="zh-CN"/>
                    </w:rPr>
                    <w:t>（压延厂房）</w:t>
                  </w: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铸锭铣面机</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XM6000D</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3" w:type="dxa"/>
                  <w:vMerge w:val="continue"/>
                  <w:noWrap w:val="0"/>
                  <w:vAlign w:val="center"/>
                </w:tcPr>
                <w:p>
                  <w:pPr>
                    <w:ind w:left="0"/>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立推式加热炉</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66t型</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3" w:type="dxa"/>
                  <w:vMerge w:val="continue"/>
                  <w:noWrap w:val="0"/>
                  <w:vAlign w:val="center"/>
                </w:tcPr>
                <w:p>
                  <w:pPr>
                    <w:ind w:left="0" w:firstLine="0"/>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立推式加热炉</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90t型</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813" w:type="dxa"/>
                  <w:vMerge w:val="continue"/>
                  <w:noWrap w:val="0"/>
                  <w:vAlign w:val="center"/>
                </w:tcPr>
                <w:p>
                  <w:pPr>
                    <w:ind w:left="0" w:firstLine="0"/>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热轧机</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Φ630/Φ110x1300mm</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3" w:type="dxa"/>
                  <w:vMerge w:val="continue"/>
                  <w:noWrap w:val="0"/>
                  <w:vAlign w:val="center"/>
                </w:tcPr>
                <w:p>
                  <w:pPr>
                    <w:ind w:left="0" w:firstLine="0"/>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碱清洗机组</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1250mm</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3" w:type="dxa"/>
                  <w:vMerge w:val="continue"/>
                  <w:noWrap w:val="0"/>
                  <w:vAlign w:val="center"/>
                </w:tcPr>
                <w:p>
                  <w:pPr>
                    <w:ind w:left="0" w:firstLine="0"/>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碱清洗机组</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1250mm</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3" w:type="dxa"/>
                  <w:vMerge w:val="restart"/>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冷轧</w:t>
                  </w:r>
                  <w:r>
                    <w:rPr>
                      <w:rFonts w:hint="default" w:ascii="Times New Roman" w:hAnsi="Times New Roman" w:eastAsia="宋体" w:cs="Times New Roman"/>
                      <w:b/>
                      <w:bCs/>
                      <w:color w:val="auto"/>
                      <w:sz w:val="21"/>
                      <w:szCs w:val="21"/>
                      <w:u w:val="single"/>
                      <w:lang w:eastAsia="zh-CN"/>
                    </w:rPr>
                    <w:t>（压延厂房）</w:t>
                  </w: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中间退火炉</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20t型</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4台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1#冷轧机</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Φ260/Φ630×800mm</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2#冷轧机</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Φ260/Φ630×800mm</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铝箔轧机</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Φ200/Φ480×800mm</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进口工作辊磨床</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 xml:space="preserve">840D SIEMENCNC </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全自动轧辊磨床</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 xml:space="preserve">MK84125×5000 </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13" w:type="dxa"/>
                  <w:vMerge w:val="restart"/>
                  <w:noWrap w:val="0"/>
                  <w:vAlign w:val="center"/>
                </w:tcPr>
                <w:p>
                  <w:pPr>
                    <w:ind w:left="0" w:firstLine="0"/>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成品车间</w:t>
                  </w: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清洗机组</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650mm型</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清洗机组</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1300mm型</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清洗机组</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1300mm型</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铝带拉矫机组</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800mm</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sz w:val="21"/>
                      <w:szCs w:val="21"/>
                      <w:u w:val="single"/>
                      <w:lang w:eastAsia="zh-CN"/>
                    </w:rPr>
                    <w:t>分切机</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800mm型卧式</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3台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813" w:type="dxa"/>
                  <w:noWrap w:val="0"/>
                  <w:vAlign w:val="center"/>
                </w:tcPr>
                <w:p>
                  <w:pPr>
                    <w:ind w:left="0" w:firstLine="0"/>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成品车间</w:t>
                  </w: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厚箔剪</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800mm型卧式</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813" w:type="dxa"/>
                  <w:vMerge w:val="restart"/>
                  <w:noWrap w:val="0"/>
                  <w:vAlign w:val="center"/>
                </w:tcPr>
                <w:p>
                  <w:pPr>
                    <w:ind w:left="0" w:firstLine="0"/>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成品车间</w:t>
                  </w: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真空退火炉</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4.5吨</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9台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813" w:type="dxa"/>
                  <w:vMerge w:val="continue"/>
                  <w:noWrap w:val="0"/>
                  <w:vAlign w:val="center"/>
                </w:tcPr>
                <w:p>
                  <w:pPr>
                    <w:ind w:left="0"/>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真空退火炉</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4.5吨</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8台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3" w:type="dxa"/>
                  <w:vMerge w:val="continue"/>
                  <w:noWrap w:val="0"/>
                  <w:vAlign w:val="center"/>
                </w:tcPr>
                <w:p>
                  <w:pPr>
                    <w:ind w:left="0"/>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真空退火炉</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4.5吨</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8台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813" w:type="dxa"/>
                  <w:vMerge w:val="continue"/>
                  <w:noWrap w:val="0"/>
                  <w:vAlign w:val="center"/>
                </w:tcPr>
                <w:p>
                  <w:pPr>
                    <w:ind w:left="0"/>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真空退火炉</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4.5吨</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4台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lang w:val="en-US"/>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813" w:type="dxa"/>
                  <w:vMerge w:val="continue"/>
                  <w:noWrap w:val="0"/>
                  <w:vAlign w:val="center"/>
                </w:tcPr>
                <w:p>
                  <w:pPr>
                    <w:ind w:left="0"/>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30-31#真空退火炉</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4.5吨</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2台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3" w:type="dxa"/>
                  <w:vMerge w:val="continue"/>
                  <w:noWrap w:val="0"/>
                  <w:vAlign w:val="center"/>
                </w:tcPr>
                <w:p>
                  <w:pPr>
                    <w:ind w:left="0" w:firstLine="0"/>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1-3#复卷机</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500mm</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3台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6#复卷机</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500mm</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5#复卷机</w:t>
                  </w:r>
                </w:p>
              </w:tc>
              <w:tc>
                <w:tcPr>
                  <w:tcW w:w="2206"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500mm</w:t>
                  </w:r>
                </w:p>
              </w:tc>
              <w:tc>
                <w:tcPr>
                  <w:tcW w:w="969"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tcBorders>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4#复卷机</w:t>
                  </w:r>
                </w:p>
              </w:tc>
              <w:tc>
                <w:tcPr>
                  <w:tcW w:w="2206" w:type="dxa"/>
                  <w:tcBorders>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500mm</w:t>
                  </w:r>
                </w:p>
              </w:tc>
              <w:tc>
                <w:tcPr>
                  <w:tcW w:w="969" w:type="dxa"/>
                  <w:tcBorders>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1台</w:t>
                  </w:r>
                </w:p>
              </w:tc>
              <w:tc>
                <w:tcPr>
                  <w:tcW w:w="1434" w:type="dxa"/>
                  <w:tcBorders>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燃气发生器</w:t>
                  </w:r>
                </w:p>
              </w:tc>
              <w:tc>
                <w:tcPr>
                  <w:tcW w:w="2206" w:type="dxa"/>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rPr>
                    <w:t>1.2t/h</w:t>
                  </w:r>
                </w:p>
              </w:tc>
              <w:tc>
                <w:tcPr>
                  <w:tcW w:w="969" w:type="dxa"/>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2台</w:t>
                  </w:r>
                </w:p>
              </w:tc>
              <w:tc>
                <w:tcPr>
                  <w:tcW w:w="1434" w:type="dxa"/>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反渗透装置</w:t>
                  </w:r>
                </w:p>
              </w:tc>
              <w:tc>
                <w:tcPr>
                  <w:tcW w:w="2206" w:type="dxa"/>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val="en-US" w:eastAsia="zh-CN"/>
                    </w:rPr>
                    <w:t>50m</w:t>
                  </w:r>
                  <w:r>
                    <w:rPr>
                      <w:rFonts w:hint="default" w:ascii="Times New Roman" w:hAnsi="Times New Roman" w:eastAsia="宋体" w:cs="Times New Roman"/>
                      <w:b/>
                      <w:bCs/>
                      <w:color w:val="auto"/>
                      <w:sz w:val="21"/>
                      <w:szCs w:val="21"/>
                      <w:u w:val="single"/>
                      <w:vertAlign w:val="superscript"/>
                      <w:lang w:val="en-US" w:eastAsia="zh-CN"/>
                    </w:rPr>
                    <w:t>3</w:t>
                  </w:r>
                  <w:r>
                    <w:rPr>
                      <w:rFonts w:hint="default" w:ascii="Times New Roman" w:hAnsi="Times New Roman" w:eastAsia="宋体" w:cs="Times New Roman"/>
                      <w:b/>
                      <w:bCs/>
                      <w:color w:val="auto"/>
                      <w:sz w:val="21"/>
                      <w:szCs w:val="21"/>
                      <w:u w:val="single"/>
                      <w:lang w:val="en-US" w:eastAsia="zh-CN"/>
                    </w:rPr>
                    <w:t>/h</w:t>
                  </w:r>
                </w:p>
              </w:tc>
              <w:tc>
                <w:tcPr>
                  <w:tcW w:w="969" w:type="dxa"/>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1台</w:t>
                  </w:r>
                </w:p>
              </w:tc>
              <w:tc>
                <w:tcPr>
                  <w:tcW w:w="1434" w:type="dxa"/>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813" w:type="dxa"/>
                  <w:vMerge w:val="restart"/>
                  <w:noWrap w:val="0"/>
                  <w:vAlign w:val="center"/>
                </w:tcPr>
                <w:p>
                  <w:pPr>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sz w:val="21"/>
                      <w:szCs w:val="21"/>
                      <w:u w:val="single"/>
                      <w:lang w:eastAsia="zh-CN"/>
                    </w:rPr>
                    <w:t>废</w:t>
                  </w:r>
                  <w:r>
                    <w:rPr>
                      <w:rFonts w:hint="default" w:ascii="Times New Roman" w:hAnsi="Times New Roman" w:cs="Times New Roman"/>
                      <w:b/>
                      <w:bCs/>
                      <w:color w:val="auto"/>
                      <w:sz w:val="21"/>
                      <w:szCs w:val="21"/>
                      <w:u w:val="single"/>
                      <w:lang w:eastAsia="zh-CN"/>
                    </w:rPr>
                    <w:t>乳液</w:t>
                  </w:r>
                  <w:r>
                    <w:rPr>
                      <w:rFonts w:hint="default" w:ascii="Times New Roman" w:hAnsi="Times New Roman" w:eastAsia="宋体" w:cs="Times New Roman"/>
                      <w:b/>
                      <w:bCs/>
                      <w:color w:val="auto"/>
                      <w:sz w:val="21"/>
                      <w:szCs w:val="21"/>
                      <w:u w:val="single"/>
                      <w:lang w:eastAsia="zh-CN"/>
                    </w:rPr>
                    <w:t>处理工序</w:t>
                  </w:r>
                </w:p>
              </w:tc>
              <w:tc>
                <w:tcPr>
                  <w:tcW w:w="2410" w:type="dxa"/>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u w:val="single"/>
                    </w:rPr>
                    <w:t>废乳液罐</w:t>
                  </w:r>
                </w:p>
              </w:tc>
              <w:tc>
                <w:tcPr>
                  <w:tcW w:w="2206" w:type="dxa"/>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u w:val="single"/>
                    </w:rPr>
                    <w:t>10吨</w:t>
                  </w:r>
                </w:p>
              </w:tc>
              <w:tc>
                <w:tcPr>
                  <w:tcW w:w="969" w:type="dxa"/>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1个</w:t>
                  </w:r>
                </w:p>
              </w:tc>
              <w:tc>
                <w:tcPr>
                  <w:tcW w:w="1434" w:type="dxa"/>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u w:val="single"/>
                    </w:rPr>
                    <w:t>废乳液处理箱</w:t>
                  </w:r>
                </w:p>
              </w:tc>
              <w:tc>
                <w:tcPr>
                  <w:tcW w:w="2206" w:type="dxa"/>
                  <w:tcBorders>
                    <w:top w:val="single" w:color="auto" w:sz="4" w:space="0"/>
                    <w:bottom w:val="single" w:color="auto" w:sz="4" w:space="0"/>
                  </w:tcBorders>
                  <w:noWrap w:val="0"/>
                  <w:vAlign w:val="center"/>
                </w:tcPr>
                <w:p>
                  <w:pPr>
                    <w:ind w:left="0" w:leftChars="0" w:firstLine="0" w:firstLineChars="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u w:val="single"/>
                      <w:lang w:val="en-US" w:eastAsia="zh-CN"/>
                    </w:rPr>
                    <w:t>3</w:t>
                  </w:r>
                  <w:r>
                    <w:rPr>
                      <w:rFonts w:hint="default" w:ascii="Times New Roman" w:hAnsi="Times New Roman" w:eastAsia="宋体" w:cs="Times New Roman"/>
                      <w:b/>
                      <w:bCs/>
                      <w:color w:val="auto"/>
                      <w:u w:val="single"/>
                    </w:rPr>
                    <w:t>吨</w:t>
                  </w:r>
                </w:p>
              </w:tc>
              <w:tc>
                <w:tcPr>
                  <w:tcW w:w="969" w:type="dxa"/>
                  <w:tcBorders>
                    <w:top w:val="single" w:color="auto" w:sz="4" w:space="0"/>
                    <w:bottom w:val="single" w:color="auto" w:sz="4" w:space="0"/>
                  </w:tcBorders>
                  <w:noWrap w:val="0"/>
                  <w:vAlign w:val="center"/>
                </w:tcPr>
                <w:p>
                  <w:pPr>
                    <w:ind w:left="0" w:leftChars="0" w:firstLine="0" w:firstLineChars="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1个</w:t>
                  </w:r>
                </w:p>
              </w:tc>
              <w:tc>
                <w:tcPr>
                  <w:tcW w:w="1434" w:type="dxa"/>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13" w:type="dxa"/>
                  <w:vMerge w:val="continue"/>
                  <w:noWrap w:val="0"/>
                  <w:vAlign w:val="center"/>
                </w:tcPr>
                <w:p>
                  <w:pPr>
                    <w:jc w:val="center"/>
                    <w:rPr>
                      <w:rFonts w:hint="default" w:ascii="Times New Roman" w:hAnsi="Times New Roman" w:eastAsia="宋体" w:cs="Times New Roman"/>
                      <w:b/>
                      <w:bCs/>
                      <w:color w:val="auto"/>
                      <w:sz w:val="21"/>
                      <w:szCs w:val="21"/>
                      <w:u w:val="single"/>
                    </w:rPr>
                  </w:pPr>
                </w:p>
              </w:tc>
              <w:tc>
                <w:tcPr>
                  <w:tcW w:w="2410" w:type="dxa"/>
                  <w:tcBorders>
                    <w:top w:val="single" w:color="auto" w:sz="4" w:space="0"/>
                    <w:bottom w:val="single" w:color="000000" w:sz="4" w:space="0"/>
                  </w:tcBorders>
                  <w:noWrap w:val="0"/>
                  <w:vAlign w:val="center"/>
                </w:tcPr>
                <w:p>
                  <w:pPr>
                    <w:ind w:left="0" w:firstLine="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sz w:val="21"/>
                      <w:szCs w:val="21"/>
                      <w:u w:val="single"/>
                      <w:lang w:eastAsia="zh-CN"/>
                    </w:rPr>
                    <w:t>自吸油泵</w:t>
                  </w:r>
                </w:p>
              </w:tc>
              <w:tc>
                <w:tcPr>
                  <w:tcW w:w="2206" w:type="dxa"/>
                  <w:tcBorders>
                    <w:top w:val="single" w:color="auto" w:sz="4" w:space="0"/>
                    <w:bottom w:val="single" w:color="000000" w:sz="4" w:space="0"/>
                  </w:tcBorders>
                  <w:noWrap w:val="0"/>
                  <w:vAlign w:val="center"/>
                </w:tcPr>
                <w:p>
                  <w:pPr>
                    <w:ind w:left="0" w:firstLine="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eastAsia="zh-CN"/>
                    </w:rPr>
                    <w:t>0.55Kw</w:t>
                  </w:r>
                </w:p>
              </w:tc>
              <w:tc>
                <w:tcPr>
                  <w:tcW w:w="969" w:type="dxa"/>
                  <w:tcBorders>
                    <w:top w:val="single" w:color="auto" w:sz="4" w:space="0"/>
                    <w:bottom w:val="single" w:color="000000" w:sz="4" w:space="0"/>
                  </w:tcBorders>
                  <w:noWrap w:val="0"/>
                  <w:vAlign w:val="center"/>
                </w:tcPr>
                <w:p>
                  <w:pPr>
                    <w:ind w:left="0" w:firstLine="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eastAsia="zh-CN"/>
                    </w:rPr>
                    <w:t>一台</w:t>
                  </w:r>
                </w:p>
              </w:tc>
              <w:tc>
                <w:tcPr>
                  <w:tcW w:w="1434" w:type="dxa"/>
                  <w:tcBorders>
                    <w:top w:val="single" w:color="auto" w:sz="4" w:space="0"/>
                    <w:bottom w:val="single" w:color="000000" w:sz="4" w:space="0"/>
                  </w:tcBorders>
                  <w:noWrap w:val="0"/>
                  <w:vAlign w:val="center"/>
                </w:tcPr>
                <w:p>
                  <w:pPr>
                    <w:ind w:left="0" w:firstLine="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13" w:type="dxa"/>
                  <w:noWrap w:val="0"/>
                  <w:vAlign w:val="center"/>
                </w:tcPr>
                <w:p>
                  <w:pPr>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球磨工序</w:t>
                  </w:r>
                </w:p>
              </w:tc>
              <w:tc>
                <w:tcPr>
                  <w:tcW w:w="2410" w:type="dxa"/>
                  <w:tcBorders>
                    <w:top w:val="single" w:color="000000" w:sz="4" w:space="0"/>
                    <w:bottom w:val="single" w:color="000000" w:sz="4" w:space="0"/>
                  </w:tcBorders>
                  <w:noWrap w:val="0"/>
                  <w:vAlign w:val="center"/>
                </w:tcPr>
                <w:p>
                  <w:pPr>
                    <w:ind w:left="0" w:firstLine="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球磨机</w:t>
                  </w:r>
                </w:p>
              </w:tc>
              <w:tc>
                <w:tcPr>
                  <w:tcW w:w="2206" w:type="dxa"/>
                  <w:tcBorders>
                    <w:top w:val="single" w:color="000000" w:sz="4" w:space="0"/>
                    <w:bottom w:val="single" w:color="000000" w:sz="4" w:space="0"/>
                  </w:tcBorders>
                  <w:noWrap w:val="0"/>
                  <w:vAlign w:val="center"/>
                </w:tcPr>
                <w:p>
                  <w:pPr>
                    <w:ind w:left="0" w:firstLine="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w:t>
                  </w:r>
                </w:p>
              </w:tc>
              <w:tc>
                <w:tcPr>
                  <w:tcW w:w="969" w:type="dxa"/>
                  <w:tcBorders>
                    <w:top w:val="single" w:color="000000" w:sz="4" w:space="0"/>
                    <w:bottom w:val="single" w:color="000000" w:sz="4" w:space="0"/>
                  </w:tcBorders>
                  <w:noWrap w:val="0"/>
                  <w:vAlign w:val="center"/>
                </w:tcPr>
                <w:p>
                  <w:pPr>
                    <w:ind w:left="0" w:leftChars="0" w:firstLine="0" w:firstLineChars="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sz w:val="21"/>
                      <w:szCs w:val="21"/>
                      <w:u w:val="single"/>
                      <w:lang w:eastAsia="zh-CN"/>
                    </w:rPr>
                    <w:t>一台</w:t>
                  </w:r>
                </w:p>
              </w:tc>
              <w:tc>
                <w:tcPr>
                  <w:tcW w:w="1434" w:type="dxa"/>
                  <w:tcBorders>
                    <w:top w:val="single" w:color="000000" w:sz="4" w:space="0"/>
                    <w:bottom w:val="single" w:color="000000" w:sz="4" w:space="0"/>
                  </w:tcBorders>
                  <w:noWrap w:val="0"/>
                  <w:vAlign w:val="center"/>
                </w:tcPr>
                <w:p>
                  <w:pPr>
                    <w:ind w:left="0" w:leftChars="0" w:firstLine="0" w:firstLineChars="0"/>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eastAsia="宋体" w:cs="Times New Roman"/>
                      <w:b/>
                      <w:bCs/>
                      <w:color w:val="auto"/>
                      <w:sz w:val="21"/>
                      <w:szCs w:val="21"/>
                      <w:u w:val="single"/>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13" w:type="dxa"/>
                  <w:vMerge w:val="restart"/>
                  <w:noWrap w:val="0"/>
                  <w:vAlign w:val="center"/>
                </w:tcPr>
                <w:p>
                  <w:pPr>
                    <w:jc w:val="center"/>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本次改建项目</w:t>
                  </w:r>
                </w:p>
              </w:tc>
              <w:tc>
                <w:tcPr>
                  <w:tcW w:w="2410" w:type="dxa"/>
                  <w:tcBorders>
                    <w:top w:val="single" w:color="000000" w:sz="4" w:space="0"/>
                    <w:bottom w:val="single" w:color="auto" w:sz="4" w:space="0"/>
                  </w:tcBorders>
                  <w:noWrap w:val="0"/>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中退炉</w:t>
                  </w:r>
                </w:p>
              </w:tc>
              <w:tc>
                <w:tcPr>
                  <w:tcW w:w="2206" w:type="dxa"/>
                  <w:tcBorders>
                    <w:top w:val="single" w:color="000000" w:sz="4" w:space="0"/>
                    <w:bottom w:val="single" w:color="auto" w:sz="4" w:space="0"/>
                  </w:tcBorders>
                  <w:noWrap w:val="0"/>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20T</w:t>
                  </w:r>
                </w:p>
              </w:tc>
              <w:tc>
                <w:tcPr>
                  <w:tcW w:w="969" w:type="dxa"/>
                  <w:tcBorders>
                    <w:top w:val="single" w:color="000000" w:sz="4" w:space="0"/>
                    <w:bottom w:val="single" w:color="auto" w:sz="4" w:space="0"/>
                  </w:tcBorders>
                  <w:noWrap w:val="0"/>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1台</w:t>
                  </w:r>
                </w:p>
              </w:tc>
              <w:tc>
                <w:tcPr>
                  <w:tcW w:w="1434" w:type="dxa"/>
                  <w:tcBorders>
                    <w:top w:val="single" w:color="000000" w:sz="4" w:space="0"/>
                    <w:bottom w:val="single" w:color="auto" w:sz="4" w:space="0"/>
                  </w:tcBorders>
                  <w:noWrap w:val="0"/>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13" w:type="dxa"/>
                  <w:vMerge w:val="continue"/>
                </w:tcPr>
                <w:p>
                  <w:pPr>
                    <w:jc w:val="center"/>
                    <w:rPr>
                      <w:rFonts w:hint="default" w:ascii="Times New Roman" w:hAnsi="Times New Roman" w:cs="Times New Roman"/>
                      <w:b/>
                      <w:bCs/>
                      <w:color w:val="auto"/>
                      <w:sz w:val="21"/>
                      <w:szCs w:val="21"/>
                      <w:u w:val="single"/>
                      <w:lang w:eastAsia="zh-CN"/>
                    </w:rPr>
                  </w:pP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铸造机</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30T</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1套</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13" w:type="dxa"/>
                  <w:vMerge w:val="continue"/>
                </w:tcPr>
                <w:p>
                  <w:pPr>
                    <w:jc w:val="center"/>
                    <w:rPr>
                      <w:rFonts w:hint="default" w:ascii="Times New Roman" w:hAnsi="Times New Roman" w:cs="Times New Roman"/>
                      <w:b/>
                      <w:bCs/>
                      <w:color w:val="auto"/>
                      <w:sz w:val="21"/>
                      <w:szCs w:val="21"/>
                      <w:u w:val="single"/>
                      <w:lang w:eastAsia="zh-CN"/>
                    </w:rPr>
                  </w:pP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倾动炉</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20T</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1台</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13" w:type="dxa"/>
                  <w:vMerge w:val="continue"/>
                </w:tcPr>
                <w:p>
                  <w:pPr>
                    <w:jc w:val="center"/>
                    <w:rPr>
                      <w:rFonts w:hint="default" w:ascii="Times New Roman" w:hAnsi="Times New Roman" w:cs="Times New Roman"/>
                      <w:b/>
                      <w:bCs/>
                      <w:color w:val="auto"/>
                      <w:sz w:val="21"/>
                      <w:szCs w:val="21"/>
                      <w:u w:val="single"/>
                      <w:lang w:eastAsia="zh-CN"/>
                    </w:rPr>
                  </w:pP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均热炉</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90T</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1套</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13" w:type="dxa"/>
                  <w:vMerge w:val="continue"/>
                </w:tcPr>
                <w:p>
                  <w:pPr>
                    <w:jc w:val="center"/>
                    <w:rPr>
                      <w:rFonts w:hint="default" w:ascii="Times New Roman" w:hAnsi="Times New Roman" w:cs="Times New Roman"/>
                      <w:b/>
                      <w:bCs/>
                      <w:color w:val="auto"/>
                      <w:sz w:val="21"/>
                      <w:szCs w:val="21"/>
                      <w:u w:val="single"/>
                      <w:lang w:eastAsia="zh-CN"/>
                    </w:rPr>
                  </w:pP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复卷机</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500mm</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1台</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13" w:type="dxa"/>
                  <w:vMerge w:val="continue"/>
                </w:tcPr>
                <w:p>
                  <w:pPr>
                    <w:jc w:val="center"/>
                    <w:rPr>
                      <w:rFonts w:hint="default" w:ascii="Times New Roman" w:hAnsi="Times New Roman" w:cs="Times New Roman"/>
                      <w:b/>
                      <w:bCs/>
                      <w:color w:val="auto"/>
                      <w:sz w:val="21"/>
                      <w:szCs w:val="21"/>
                      <w:u w:val="single"/>
                      <w:lang w:eastAsia="zh-CN"/>
                    </w:rPr>
                  </w:pP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冷轧机板型系统</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1套</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13" w:type="dxa"/>
                  <w:vMerge w:val="continue"/>
                </w:tcPr>
                <w:p>
                  <w:pPr>
                    <w:jc w:val="center"/>
                    <w:rPr>
                      <w:rFonts w:hint="default" w:ascii="Times New Roman" w:hAnsi="Times New Roman" w:cs="Times New Roman"/>
                      <w:b/>
                      <w:bCs/>
                      <w:color w:val="auto"/>
                      <w:sz w:val="21"/>
                      <w:szCs w:val="21"/>
                      <w:u w:val="single"/>
                      <w:lang w:eastAsia="zh-CN"/>
                    </w:rPr>
                  </w:pP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箔轧机</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800mm</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1台</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13" w:type="dxa"/>
                  <w:vMerge w:val="continue"/>
                </w:tcPr>
                <w:p>
                  <w:pPr>
                    <w:jc w:val="center"/>
                    <w:rPr>
                      <w:rFonts w:hint="default" w:ascii="Times New Roman" w:hAnsi="Times New Roman" w:cs="Times New Roman"/>
                      <w:b/>
                      <w:bCs/>
                      <w:color w:val="auto"/>
                      <w:sz w:val="21"/>
                      <w:szCs w:val="21"/>
                      <w:u w:val="single"/>
                      <w:lang w:eastAsia="zh-CN"/>
                    </w:rPr>
                  </w:pP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进口磨床</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1台</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13" w:type="dxa"/>
                  <w:vMerge w:val="continue"/>
                </w:tcPr>
                <w:p>
                  <w:pPr>
                    <w:jc w:val="center"/>
                    <w:rPr>
                      <w:rFonts w:hint="default" w:ascii="Times New Roman" w:hAnsi="Times New Roman" w:cs="Times New Roman"/>
                      <w:b/>
                      <w:bCs/>
                      <w:color w:val="auto"/>
                      <w:sz w:val="21"/>
                      <w:szCs w:val="21"/>
                      <w:u w:val="single"/>
                      <w:lang w:eastAsia="zh-CN"/>
                    </w:rPr>
                  </w:pP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清洗机</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650mm</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1台</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cs="Times New Roman"/>
                      <w:b/>
                      <w:bCs/>
                      <w:color w:val="auto"/>
                      <w:sz w:val="21"/>
                      <w:szCs w:val="21"/>
                      <w:u w:val="single"/>
                      <w:vertAlign w:val="baseline"/>
                      <w:lang w:val="en-US"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13" w:type="dxa"/>
                  <w:vMerge w:val="continue"/>
                </w:tcPr>
                <w:p>
                  <w:pPr>
                    <w:jc w:val="center"/>
                    <w:rPr>
                      <w:rFonts w:hint="default" w:ascii="Times New Roman" w:hAnsi="Times New Roman" w:cs="Times New Roman"/>
                      <w:b/>
                      <w:bCs/>
                      <w:color w:val="auto"/>
                      <w:sz w:val="21"/>
                      <w:szCs w:val="21"/>
                      <w:u w:val="single"/>
                      <w:lang w:eastAsia="zh-CN"/>
                    </w:rPr>
                  </w:pP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大数据信息平台建设系统</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eastAsia="宋体" w:cs="Times New Roman"/>
                      <w:b/>
                      <w:bCs/>
                      <w:color w:val="auto"/>
                      <w:sz w:val="21"/>
                      <w:szCs w:val="21"/>
                      <w:u w:val="single"/>
                      <w:vertAlign w:val="baseline"/>
                      <w:lang w:val="en-US" w:eastAsia="zh-CN"/>
                    </w:rPr>
                    <w:t>1套</w:t>
                  </w:r>
                </w:p>
              </w:tc>
              <w:tc>
                <w:tcPr>
                  <w:tcW w:w="0" w:type="auto"/>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eastAsia" w:ascii="Times New Roman" w:hAnsi="Times New Roman" w:cs="Times New Roman"/>
                      <w:b/>
                      <w:bCs/>
                      <w:color w:val="auto"/>
                      <w:sz w:val="21"/>
                      <w:szCs w:val="21"/>
                      <w:u w:val="single"/>
                      <w:vertAlign w:val="baseline"/>
                      <w:lang w:val="en-US" w:eastAsia="zh-CN"/>
                    </w:rPr>
                    <w:t>新增</w:t>
                  </w:r>
                </w:p>
              </w:tc>
            </w:tr>
          </w:tbl>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（4）</w:t>
            </w:r>
            <w:r>
              <w:rPr>
                <w:rFonts w:hint="default" w:ascii="Times New Roman" w:hAnsi="Times New Roman" w:cs="Times New Roman"/>
                <w:color w:val="auto"/>
                <w:sz w:val="24"/>
                <w:szCs w:val="24"/>
                <w:vertAlign w:val="baseline"/>
                <w:lang w:val="en-US" w:eastAsia="zh-CN"/>
              </w:rPr>
              <w:t>本项目</w:t>
            </w:r>
            <w:r>
              <w:rPr>
                <w:rFonts w:hint="default" w:ascii="Times New Roman" w:hAnsi="Times New Roman" w:eastAsia="宋体" w:cs="Times New Roman"/>
                <w:color w:val="auto"/>
                <w:sz w:val="24"/>
                <w:szCs w:val="24"/>
                <w:vertAlign w:val="baseline"/>
                <w:lang w:val="en-US" w:eastAsia="zh-CN"/>
              </w:rPr>
              <w:t>原辅材料及能源消耗</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本次改建项目</w:t>
            </w:r>
            <w:r>
              <w:rPr>
                <w:rFonts w:hint="default" w:ascii="Times New Roman" w:hAnsi="Times New Roman" w:cs="Times New Roman"/>
                <w:color w:val="auto"/>
                <w:sz w:val="24"/>
                <w:szCs w:val="24"/>
              </w:rPr>
              <w:t>要原辅材料</w:t>
            </w:r>
            <w:r>
              <w:rPr>
                <w:rFonts w:hint="default" w:ascii="Times New Roman" w:hAnsi="Times New Roman" w:cs="Times New Roman"/>
                <w:color w:val="auto"/>
                <w:sz w:val="24"/>
                <w:szCs w:val="24"/>
                <w:lang w:eastAsia="zh-CN"/>
              </w:rPr>
              <w:t>及能源消耗</w:t>
            </w:r>
            <w:r>
              <w:rPr>
                <w:rFonts w:hint="default" w:ascii="Times New Roman" w:hAnsi="Times New Roman" w:cs="Times New Roman"/>
                <w:color w:val="auto"/>
                <w:sz w:val="24"/>
                <w:szCs w:val="24"/>
              </w:rPr>
              <w:t>见下表。</w:t>
            </w:r>
          </w:p>
          <w:p>
            <w:pPr>
              <w:pStyle w:val="2"/>
              <w:bidi w:val="0"/>
              <w:spacing w:line="24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改建项目</w:t>
            </w:r>
            <w:r>
              <w:rPr>
                <w:rFonts w:hint="default" w:ascii="Times New Roman" w:hAnsi="Times New Roman" w:cs="Times New Roman"/>
                <w:color w:val="auto"/>
                <w:sz w:val="24"/>
                <w:szCs w:val="24"/>
                <w:lang w:val="en-US" w:eastAsia="zh-CN"/>
              </w:rPr>
              <w:t>主要原辅材料及能源消耗一览表</w:t>
            </w:r>
          </w:p>
          <w:tbl>
            <w:tblPr>
              <w:tblStyle w:val="27"/>
              <w:tblpPr w:leftFromText="180" w:rightFromText="180" w:vertAnchor="text" w:horzAnchor="margin" w:tblpXSpec="center" w:tblpY="84"/>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82"/>
              <w:gridCol w:w="765"/>
              <w:gridCol w:w="920"/>
              <w:gridCol w:w="1603"/>
              <w:gridCol w:w="1249"/>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9"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序号</w:t>
                  </w:r>
                </w:p>
              </w:tc>
              <w:tc>
                <w:tcPr>
                  <w:tcW w:w="689"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名称</w:t>
                  </w:r>
                </w:p>
              </w:tc>
              <w:tc>
                <w:tcPr>
                  <w:tcW w:w="461"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单位</w:t>
                  </w:r>
                </w:p>
              </w:tc>
              <w:tc>
                <w:tcPr>
                  <w:tcW w:w="587"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eastAsia" w:ascii="Times New Roman" w:hAnsi="Times New Roman" w:cs="Times New Roman"/>
                      <w:b/>
                      <w:bCs/>
                      <w:color w:val="auto"/>
                      <w:sz w:val="21"/>
                      <w:szCs w:val="21"/>
                      <w:u w:val="single"/>
                      <w:lang w:val="en-US" w:eastAsia="zh-CN"/>
                    </w:rPr>
                    <w:t>改建</w:t>
                  </w:r>
                  <w:r>
                    <w:rPr>
                      <w:rFonts w:hint="default" w:ascii="Times New Roman" w:hAnsi="Times New Roman" w:cs="Times New Roman"/>
                      <w:b/>
                      <w:bCs/>
                      <w:color w:val="auto"/>
                      <w:sz w:val="21"/>
                      <w:szCs w:val="21"/>
                      <w:u w:val="single"/>
                      <w:lang w:eastAsia="zh-CN"/>
                    </w:rPr>
                    <w:t>前</w:t>
                  </w:r>
                  <w:r>
                    <w:rPr>
                      <w:rFonts w:hint="default" w:ascii="Times New Roman" w:hAnsi="Times New Roman" w:cs="Times New Roman"/>
                      <w:b/>
                      <w:bCs/>
                      <w:color w:val="auto"/>
                      <w:sz w:val="21"/>
                      <w:szCs w:val="21"/>
                      <w:u w:val="single"/>
                    </w:rPr>
                    <w:t>年耗量</w:t>
                  </w:r>
                </w:p>
              </w:tc>
              <w:tc>
                <w:tcPr>
                  <w:tcW w:w="1019" w:type="pct"/>
                  <w:noWrap w:val="0"/>
                  <w:vAlign w:val="center"/>
                </w:tcPr>
                <w:p>
                  <w:pPr>
                    <w:spacing w:line="240" w:lineRule="auto"/>
                    <w:jc w:val="center"/>
                    <w:rPr>
                      <w:rFonts w:hint="default" w:ascii="Times New Roman" w:hAnsi="Times New Roman" w:eastAsia="宋体" w:cs="Times New Roman"/>
                      <w:b/>
                      <w:bCs/>
                      <w:color w:val="auto"/>
                      <w:sz w:val="21"/>
                      <w:szCs w:val="21"/>
                      <w:u w:val="single"/>
                      <w:lang w:eastAsia="zh-CN"/>
                    </w:rPr>
                  </w:pPr>
                  <w:r>
                    <w:rPr>
                      <w:rFonts w:hint="eastAsia" w:ascii="Times New Roman" w:hAnsi="Times New Roman" w:cs="Times New Roman"/>
                      <w:b/>
                      <w:bCs/>
                      <w:color w:val="auto"/>
                      <w:sz w:val="21"/>
                      <w:szCs w:val="21"/>
                      <w:u w:val="single"/>
                      <w:lang w:val="en-US" w:eastAsia="zh-CN"/>
                    </w:rPr>
                    <w:t>改建后</w:t>
                  </w:r>
                  <w:r>
                    <w:rPr>
                      <w:rFonts w:hint="default" w:ascii="Times New Roman" w:hAnsi="Times New Roman" w:cs="Times New Roman"/>
                      <w:b/>
                      <w:bCs/>
                      <w:color w:val="auto"/>
                      <w:sz w:val="21"/>
                      <w:szCs w:val="21"/>
                      <w:u w:val="single"/>
                      <w:lang w:eastAsia="zh-CN"/>
                    </w:rPr>
                    <w:t>年耗量</w:t>
                  </w:r>
                </w:p>
              </w:tc>
              <w:tc>
                <w:tcPr>
                  <w:tcW w:w="794" w:type="pct"/>
                  <w:noWrap w:val="0"/>
                  <w:vAlign w:val="center"/>
                </w:tcPr>
                <w:p>
                  <w:pPr>
                    <w:spacing w:line="240" w:lineRule="auto"/>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改建前后变化情况</w:t>
                  </w:r>
                </w:p>
              </w:tc>
              <w:tc>
                <w:tcPr>
                  <w:tcW w:w="1178"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69"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1</w:t>
                  </w:r>
                </w:p>
              </w:tc>
              <w:tc>
                <w:tcPr>
                  <w:tcW w:w="689" w:type="pct"/>
                  <w:noWrap w:val="0"/>
                  <w:vAlign w:val="center"/>
                </w:tcPr>
                <w:p>
                  <w:pPr>
                    <w:spacing w:line="240" w:lineRule="auto"/>
                    <w:jc w:val="center"/>
                    <w:rPr>
                      <w:rFonts w:hint="default" w:ascii="Times New Roman" w:hAnsi="Times New Roman"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精铝锭</w:t>
                  </w:r>
                </w:p>
              </w:tc>
              <w:tc>
                <w:tcPr>
                  <w:tcW w:w="461"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t/a</w:t>
                  </w:r>
                </w:p>
              </w:tc>
              <w:tc>
                <w:tcPr>
                  <w:tcW w:w="587"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32000</w:t>
                  </w:r>
                </w:p>
              </w:tc>
              <w:tc>
                <w:tcPr>
                  <w:tcW w:w="1019" w:type="pct"/>
                  <w:noWrap w:val="0"/>
                  <w:vAlign w:val="center"/>
                </w:tcPr>
                <w:p>
                  <w:pPr>
                    <w:spacing w:line="240" w:lineRule="auto"/>
                    <w:jc w:val="center"/>
                    <w:rPr>
                      <w:rFonts w:hint="eastAsia" w:ascii="Times New Roman" w:hAnsi="Times New Roman" w:cs="Times New Roman"/>
                      <w:b/>
                      <w:bCs/>
                      <w:color w:val="auto"/>
                      <w:sz w:val="21"/>
                      <w:szCs w:val="21"/>
                      <w:u w:val="single"/>
                      <w:lang w:eastAsia="zh-CN"/>
                    </w:rPr>
                  </w:pPr>
                  <w:r>
                    <w:rPr>
                      <w:rFonts w:hint="default" w:ascii="Times New Roman" w:hAnsi="Times New Roman" w:cs="Times New Roman"/>
                      <w:b/>
                      <w:bCs/>
                      <w:color w:val="auto"/>
                      <w:sz w:val="21"/>
                      <w:szCs w:val="21"/>
                      <w:u w:val="single"/>
                    </w:rPr>
                    <w:t>32000</w:t>
                  </w:r>
                  <w:r>
                    <w:rPr>
                      <w:rFonts w:hint="eastAsia" w:ascii="Times New Roman" w:hAnsi="Times New Roman" w:cs="Times New Roman"/>
                      <w:b/>
                      <w:bCs/>
                      <w:color w:val="auto"/>
                      <w:sz w:val="21"/>
                      <w:szCs w:val="21"/>
                      <w:u w:val="single"/>
                      <w:lang w:eastAsia="zh-CN"/>
                    </w:rPr>
                    <w:t>（</w:t>
                  </w:r>
                  <w:r>
                    <w:rPr>
                      <w:rFonts w:hint="eastAsia" w:ascii="Times New Roman" w:hAnsi="Times New Roman" w:cs="Times New Roman"/>
                      <w:b/>
                      <w:bCs/>
                      <w:color w:val="auto"/>
                      <w:sz w:val="21"/>
                      <w:szCs w:val="21"/>
                      <w:u w:val="single"/>
                      <w:lang w:val="en-US" w:eastAsia="zh-CN"/>
                    </w:rPr>
                    <w:t>本次改建消耗占约10000</w:t>
                  </w:r>
                  <w:r>
                    <w:rPr>
                      <w:rFonts w:hint="eastAsia" w:ascii="Times New Roman" w:hAnsi="Times New Roman" w:cs="Times New Roman"/>
                      <w:b/>
                      <w:bCs/>
                      <w:color w:val="auto"/>
                      <w:sz w:val="21"/>
                      <w:szCs w:val="21"/>
                      <w:u w:val="single"/>
                      <w:lang w:eastAsia="zh-CN"/>
                    </w:rPr>
                    <w:t>）</w:t>
                  </w:r>
                </w:p>
              </w:tc>
              <w:tc>
                <w:tcPr>
                  <w:tcW w:w="794" w:type="pct"/>
                  <w:noWrap w:val="0"/>
                  <w:vAlign w:val="center"/>
                </w:tcPr>
                <w:p>
                  <w:pPr>
                    <w:spacing w:line="240" w:lineRule="auto"/>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+0</w:t>
                  </w:r>
                </w:p>
              </w:tc>
              <w:tc>
                <w:tcPr>
                  <w:tcW w:w="1178" w:type="pct"/>
                  <w:noWrap w:val="0"/>
                  <w:vAlign w:val="center"/>
                </w:tcPr>
                <w:p>
                  <w:pPr>
                    <w:spacing w:line="240" w:lineRule="auto"/>
                    <w:jc w:val="center"/>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rPr>
                    <w:t>外购</w:t>
                  </w:r>
                  <w:r>
                    <w:rPr>
                      <w:rFonts w:hint="default" w:ascii="Times New Roman" w:hAnsi="Times New Roman" w:cs="Times New Roman"/>
                      <w:b/>
                      <w:bCs/>
                      <w:color w:val="auto"/>
                      <w:sz w:val="21"/>
                      <w:szCs w:val="21"/>
                      <w:u w:val="single"/>
                      <w:lang w:eastAsia="zh-CN"/>
                    </w:rPr>
                    <w:t>，成分铝不小于</w:t>
                  </w:r>
                  <w:r>
                    <w:rPr>
                      <w:rFonts w:hint="default" w:ascii="Times New Roman" w:hAnsi="Times New Roman" w:cs="Times New Roman"/>
                      <w:b/>
                      <w:bCs/>
                      <w:color w:val="auto"/>
                      <w:sz w:val="21"/>
                      <w:szCs w:val="21"/>
                      <w:u w:val="single"/>
                      <w:lang w:val="en-US" w:eastAsia="zh-CN"/>
                    </w:rPr>
                    <w:t>99.996%，Fe、Si、Cu等均小于0.001%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69"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2</w:t>
                  </w:r>
                </w:p>
              </w:tc>
              <w:tc>
                <w:tcPr>
                  <w:tcW w:w="689" w:type="pct"/>
                  <w:noWrap w:val="0"/>
                  <w:vAlign w:val="center"/>
                </w:tcPr>
                <w:p>
                  <w:pPr>
                    <w:spacing w:line="240" w:lineRule="auto"/>
                    <w:jc w:val="center"/>
                    <w:rPr>
                      <w:rFonts w:hint="default" w:ascii="Times New Roman" w:hAnsi="Times New Roman"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轧制油（矿物油）</w:t>
                  </w:r>
                </w:p>
              </w:tc>
              <w:tc>
                <w:tcPr>
                  <w:tcW w:w="461"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t/a</w:t>
                  </w:r>
                </w:p>
              </w:tc>
              <w:tc>
                <w:tcPr>
                  <w:tcW w:w="587" w:type="pct"/>
                  <w:noWrap w:val="0"/>
                  <w:vAlign w:val="center"/>
                </w:tcPr>
                <w:p>
                  <w:pPr>
                    <w:spacing w:line="240" w:lineRule="auto"/>
                    <w:jc w:val="center"/>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405</w:t>
                  </w:r>
                </w:p>
              </w:tc>
              <w:tc>
                <w:tcPr>
                  <w:tcW w:w="1019" w:type="pct"/>
                  <w:noWrap w:val="0"/>
                  <w:vAlign w:val="center"/>
                </w:tcPr>
                <w:p>
                  <w:pPr>
                    <w:spacing w:line="240" w:lineRule="auto"/>
                    <w:jc w:val="center"/>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455</w:t>
                  </w:r>
                </w:p>
              </w:tc>
              <w:tc>
                <w:tcPr>
                  <w:tcW w:w="794" w:type="pct"/>
                  <w:noWrap w:val="0"/>
                  <w:vAlign w:val="center"/>
                </w:tcPr>
                <w:p>
                  <w:pPr>
                    <w:spacing w:line="240" w:lineRule="auto"/>
                    <w:jc w:val="center"/>
                    <w:rPr>
                      <w:rFonts w:hint="default" w:ascii="Times New Roman" w:hAnsi="Times New Roman" w:cs="Times New Roman"/>
                      <w:b/>
                      <w:bCs/>
                      <w:color w:val="auto"/>
                      <w:sz w:val="21"/>
                      <w:szCs w:val="21"/>
                      <w:u w:val="single"/>
                      <w:lang w:val="en-US"/>
                    </w:rPr>
                  </w:pPr>
                  <w:r>
                    <w:rPr>
                      <w:rFonts w:hint="eastAsia" w:ascii="Times New Roman" w:hAnsi="Times New Roman" w:cs="Times New Roman"/>
                      <w:b/>
                      <w:bCs/>
                      <w:color w:val="auto"/>
                      <w:sz w:val="21"/>
                      <w:szCs w:val="21"/>
                      <w:u w:val="single"/>
                      <w:lang w:val="en-US" w:eastAsia="zh-CN"/>
                    </w:rPr>
                    <w:t>+50</w:t>
                  </w:r>
                </w:p>
              </w:tc>
              <w:tc>
                <w:tcPr>
                  <w:tcW w:w="1178"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69"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3</w:t>
                  </w:r>
                </w:p>
              </w:tc>
              <w:tc>
                <w:tcPr>
                  <w:tcW w:w="689" w:type="pct"/>
                  <w:noWrap w:val="0"/>
                  <w:vAlign w:val="center"/>
                </w:tcPr>
                <w:p>
                  <w:pPr>
                    <w:spacing w:line="240" w:lineRule="auto"/>
                    <w:jc w:val="center"/>
                    <w:rPr>
                      <w:rFonts w:hint="default" w:ascii="Times New Roman" w:hAnsi="Times New Roman"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过滤介质（硅藻土）</w:t>
                  </w:r>
                </w:p>
              </w:tc>
              <w:tc>
                <w:tcPr>
                  <w:tcW w:w="461"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t/a</w:t>
                  </w:r>
                </w:p>
              </w:tc>
              <w:tc>
                <w:tcPr>
                  <w:tcW w:w="587"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180</w:t>
                  </w:r>
                </w:p>
              </w:tc>
              <w:tc>
                <w:tcPr>
                  <w:tcW w:w="1019" w:type="pct"/>
                  <w:noWrap w:val="0"/>
                  <w:vAlign w:val="center"/>
                </w:tcPr>
                <w:p>
                  <w:pPr>
                    <w:spacing w:line="240" w:lineRule="auto"/>
                    <w:jc w:val="center"/>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200</w:t>
                  </w:r>
                </w:p>
              </w:tc>
              <w:tc>
                <w:tcPr>
                  <w:tcW w:w="794" w:type="pct"/>
                  <w:noWrap w:val="0"/>
                  <w:vAlign w:val="center"/>
                </w:tcPr>
                <w:p>
                  <w:pPr>
                    <w:spacing w:line="240" w:lineRule="auto"/>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+20</w:t>
                  </w:r>
                </w:p>
              </w:tc>
              <w:tc>
                <w:tcPr>
                  <w:tcW w:w="1178"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69"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4</w:t>
                  </w:r>
                </w:p>
              </w:tc>
              <w:tc>
                <w:tcPr>
                  <w:tcW w:w="689" w:type="pct"/>
                  <w:noWrap w:val="0"/>
                  <w:vAlign w:val="center"/>
                </w:tcPr>
                <w:p>
                  <w:pPr>
                    <w:spacing w:line="240" w:lineRule="auto"/>
                    <w:jc w:val="center"/>
                    <w:rPr>
                      <w:rFonts w:hint="default" w:ascii="Times New Roman" w:hAnsi="Times New Roman" w:eastAsia="宋体" w:cs="Times New Roman"/>
                      <w:b/>
                      <w:bCs/>
                      <w:color w:val="auto"/>
                      <w:sz w:val="21"/>
                      <w:szCs w:val="21"/>
                      <w:highlight w:val="none"/>
                      <w:u w:val="single"/>
                      <w:lang w:eastAsia="zh-CN"/>
                    </w:rPr>
                  </w:pPr>
                  <w:r>
                    <w:rPr>
                      <w:rFonts w:hint="default" w:ascii="Times New Roman" w:hAnsi="Times New Roman" w:eastAsia="宋体" w:cs="Times New Roman"/>
                      <w:b/>
                      <w:bCs/>
                      <w:color w:val="auto"/>
                      <w:sz w:val="21"/>
                      <w:szCs w:val="21"/>
                      <w:highlight w:val="none"/>
                      <w:u w:val="single"/>
                      <w:lang w:eastAsia="zh-CN"/>
                    </w:rPr>
                    <w:t>清洗油</w:t>
                  </w:r>
                </w:p>
              </w:tc>
              <w:tc>
                <w:tcPr>
                  <w:tcW w:w="461"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t/a</w:t>
                  </w:r>
                </w:p>
              </w:tc>
              <w:tc>
                <w:tcPr>
                  <w:tcW w:w="587" w:type="pct"/>
                  <w:noWrap w:val="0"/>
                  <w:vAlign w:val="center"/>
                </w:tcPr>
                <w:p>
                  <w:pPr>
                    <w:spacing w:line="240" w:lineRule="auto"/>
                    <w:jc w:val="center"/>
                    <w:rPr>
                      <w:rFonts w:hint="default" w:ascii="Times New Roman" w:hAnsi="Times New Roman" w:eastAsia="宋体" w:cs="Times New Roman"/>
                      <w:b/>
                      <w:bCs/>
                      <w:color w:val="auto"/>
                      <w:sz w:val="21"/>
                      <w:szCs w:val="21"/>
                      <w:highlight w:val="none"/>
                      <w:u w:val="single"/>
                      <w:lang w:val="en-US" w:eastAsia="zh-CN"/>
                    </w:rPr>
                  </w:pPr>
                  <w:r>
                    <w:rPr>
                      <w:rFonts w:hint="eastAsia" w:ascii="Times New Roman" w:hAnsi="Times New Roman" w:cs="Times New Roman"/>
                      <w:b/>
                      <w:bCs/>
                      <w:color w:val="auto"/>
                      <w:sz w:val="21"/>
                      <w:szCs w:val="21"/>
                      <w:highlight w:val="none"/>
                      <w:u w:val="single"/>
                      <w:lang w:val="en-US" w:eastAsia="zh-CN"/>
                    </w:rPr>
                    <w:t>210</w:t>
                  </w:r>
                </w:p>
              </w:tc>
              <w:tc>
                <w:tcPr>
                  <w:tcW w:w="1019" w:type="pct"/>
                  <w:noWrap w:val="0"/>
                  <w:vAlign w:val="center"/>
                </w:tcPr>
                <w:p>
                  <w:pPr>
                    <w:spacing w:line="240" w:lineRule="auto"/>
                    <w:jc w:val="center"/>
                    <w:rPr>
                      <w:rFonts w:hint="default" w:ascii="Times New Roman" w:hAnsi="Times New Roman" w:eastAsia="宋体" w:cs="Times New Roman"/>
                      <w:b/>
                      <w:bCs/>
                      <w:color w:val="auto"/>
                      <w:sz w:val="21"/>
                      <w:szCs w:val="21"/>
                      <w:highlight w:val="none"/>
                      <w:u w:val="single"/>
                      <w:lang w:val="en-US" w:eastAsia="zh-CN"/>
                    </w:rPr>
                  </w:pPr>
                  <w:r>
                    <w:rPr>
                      <w:rFonts w:hint="eastAsia" w:ascii="Times New Roman" w:hAnsi="Times New Roman" w:cs="Times New Roman"/>
                      <w:b/>
                      <w:bCs/>
                      <w:color w:val="auto"/>
                      <w:sz w:val="21"/>
                      <w:szCs w:val="21"/>
                      <w:highlight w:val="none"/>
                      <w:u w:val="single"/>
                      <w:lang w:val="en-US" w:eastAsia="zh-CN"/>
                    </w:rPr>
                    <w:t>240</w:t>
                  </w:r>
                </w:p>
              </w:tc>
              <w:tc>
                <w:tcPr>
                  <w:tcW w:w="794" w:type="pct"/>
                  <w:noWrap w:val="0"/>
                  <w:vAlign w:val="center"/>
                </w:tcPr>
                <w:p>
                  <w:pPr>
                    <w:spacing w:line="240" w:lineRule="auto"/>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+30</w:t>
                  </w:r>
                </w:p>
              </w:tc>
              <w:tc>
                <w:tcPr>
                  <w:tcW w:w="1178"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69" w:type="pct"/>
                  <w:noWrap w:val="0"/>
                  <w:vAlign w:val="center"/>
                </w:tcPr>
                <w:p>
                  <w:pPr>
                    <w:spacing w:line="240" w:lineRule="auto"/>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5</w:t>
                  </w:r>
                </w:p>
              </w:tc>
              <w:tc>
                <w:tcPr>
                  <w:tcW w:w="689" w:type="pct"/>
                  <w:noWrap w:val="0"/>
                  <w:vAlign w:val="center"/>
                </w:tcPr>
                <w:p>
                  <w:pPr>
                    <w:spacing w:line="240" w:lineRule="auto"/>
                    <w:jc w:val="center"/>
                    <w:rPr>
                      <w:rFonts w:hint="default" w:ascii="Times New Roman" w:hAnsi="Times New Roman" w:eastAsia="宋体" w:cs="Times New Roman"/>
                      <w:b/>
                      <w:bCs/>
                      <w:color w:val="auto"/>
                      <w:sz w:val="21"/>
                      <w:szCs w:val="21"/>
                      <w:highlight w:val="none"/>
                      <w:u w:val="single"/>
                      <w:lang w:eastAsia="zh-CN"/>
                    </w:rPr>
                  </w:pPr>
                  <w:r>
                    <w:rPr>
                      <w:rFonts w:hint="default" w:ascii="Times New Roman" w:hAnsi="Times New Roman" w:cs="Times New Roman"/>
                      <w:b/>
                      <w:bCs/>
                      <w:color w:val="auto"/>
                      <w:sz w:val="21"/>
                      <w:szCs w:val="21"/>
                      <w:highlight w:val="none"/>
                      <w:u w:val="single"/>
                      <w:lang w:eastAsia="zh-CN"/>
                    </w:rPr>
                    <w:t>氢氧化钠</w:t>
                  </w:r>
                </w:p>
              </w:tc>
              <w:tc>
                <w:tcPr>
                  <w:tcW w:w="461" w:type="pct"/>
                  <w:noWrap w:val="0"/>
                  <w:vAlign w:val="center"/>
                </w:tcPr>
                <w:p>
                  <w:pPr>
                    <w:spacing w:line="240" w:lineRule="auto"/>
                    <w:jc w:val="center"/>
                    <w:rPr>
                      <w:rFonts w:hint="default"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t/a</w:t>
                  </w:r>
                </w:p>
              </w:tc>
              <w:tc>
                <w:tcPr>
                  <w:tcW w:w="587" w:type="pct"/>
                  <w:noWrap w:val="0"/>
                  <w:vAlign w:val="center"/>
                </w:tcPr>
                <w:p>
                  <w:pPr>
                    <w:spacing w:line="240" w:lineRule="auto"/>
                    <w:jc w:val="center"/>
                    <w:rPr>
                      <w:rFonts w:hint="default" w:ascii="Times New Roman" w:hAnsi="Times New Roman" w:eastAsia="宋体" w:cs="Times New Roman"/>
                      <w:b/>
                      <w:bCs/>
                      <w:color w:val="auto"/>
                      <w:sz w:val="21"/>
                      <w:szCs w:val="21"/>
                      <w:highlight w:val="none"/>
                      <w:u w:val="single"/>
                      <w:lang w:val="en-US" w:eastAsia="zh-CN"/>
                    </w:rPr>
                  </w:pPr>
                  <w:r>
                    <w:rPr>
                      <w:rFonts w:hint="eastAsia" w:ascii="Times New Roman" w:hAnsi="Times New Roman" w:cs="Times New Roman"/>
                      <w:b/>
                      <w:bCs/>
                      <w:color w:val="auto"/>
                      <w:sz w:val="21"/>
                      <w:szCs w:val="21"/>
                      <w:highlight w:val="none"/>
                      <w:u w:val="single"/>
                      <w:lang w:val="en-US" w:eastAsia="zh-CN"/>
                    </w:rPr>
                    <w:t>9.75</w:t>
                  </w:r>
                </w:p>
              </w:tc>
              <w:tc>
                <w:tcPr>
                  <w:tcW w:w="1019" w:type="pct"/>
                  <w:noWrap w:val="0"/>
                  <w:vAlign w:val="center"/>
                </w:tcPr>
                <w:p>
                  <w:pPr>
                    <w:spacing w:line="240" w:lineRule="auto"/>
                    <w:jc w:val="center"/>
                    <w:rPr>
                      <w:rFonts w:hint="default" w:ascii="Times New Roman" w:hAnsi="Times New Roman" w:cs="Times New Roman"/>
                      <w:b/>
                      <w:bCs/>
                      <w:color w:val="auto"/>
                      <w:sz w:val="21"/>
                      <w:szCs w:val="21"/>
                      <w:highlight w:val="none"/>
                      <w:u w:val="single"/>
                      <w:lang w:val="en-US" w:eastAsia="zh-CN"/>
                    </w:rPr>
                  </w:pPr>
                  <w:r>
                    <w:rPr>
                      <w:rFonts w:hint="eastAsia" w:ascii="Times New Roman" w:hAnsi="Times New Roman" w:cs="Times New Roman"/>
                      <w:b/>
                      <w:bCs/>
                      <w:color w:val="auto"/>
                      <w:sz w:val="21"/>
                      <w:szCs w:val="21"/>
                      <w:highlight w:val="none"/>
                      <w:u w:val="single"/>
                      <w:lang w:val="en-US" w:eastAsia="zh-CN"/>
                    </w:rPr>
                    <w:t>9.75</w:t>
                  </w:r>
                </w:p>
              </w:tc>
              <w:tc>
                <w:tcPr>
                  <w:tcW w:w="794" w:type="pct"/>
                  <w:noWrap w:val="0"/>
                  <w:vAlign w:val="center"/>
                </w:tcPr>
                <w:p>
                  <w:pPr>
                    <w:spacing w:line="240" w:lineRule="auto"/>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+0</w:t>
                  </w:r>
                </w:p>
              </w:tc>
              <w:tc>
                <w:tcPr>
                  <w:tcW w:w="1178" w:type="pct"/>
                  <w:noWrap w:val="0"/>
                  <w:vAlign w:val="center"/>
                </w:tcPr>
                <w:p>
                  <w:pPr>
                    <w:spacing w:line="240" w:lineRule="auto"/>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cs="Times New Roman"/>
                      <w:b/>
                      <w:bCs/>
                      <w:color w:val="auto"/>
                      <w:sz w:val="21"/>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69" w:type="pct"/>
                  <w:noWrap w:val="0"/>
                  <w:vAlign w:val="center"/>
                </w:tcPr>
                <w:p>
                  <w:pPr>
                    <w:spacing w:line="240" w:lineRule="auto"/>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cs="Times New Roman"/>
                      <w:b/>
                      <w:bCs/>
                      <w:color w:val="auto"/>
                      <w:sz w:val="21"/>
                      <w:szCs w:val="21"/>
                      <w:u w:val="single"/>
                      <w:lang w:val="en-US" w:eastAsia="zh-CN"/>
                    </w:rPr>
                    <w:t>7</w:t>
                  </w:r>
                </w:p>
              </w:tc>
              <w:tc>
                <w:tcPr>
                  <w:tcW w:w="689"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水</w:t>
                  </w:r>
                </w:p>
              </w:tc>
              <w:tc>
                <w:tcPr>
                  <w:tcW w:w="461" w:type="pct"/>
                  <w:noWrap w:val="0"/>
                  <w:vAlign w:val="center"/>
                </w:tcPr>
                <w:p>
                  <w:pPr>
                    <w:spacing w:line="240" w:lineRule="auto"/>
                    <w:jc w:val="center"/>
                    <w:rPr>
                      <w:rFonts w:hint="default" w:ascii="Times New Roman" w:hAnsi="Times New Roman" w:cs="Times New Roman"/>
                      <w:b/>
                      <w:bCs/>
                      <w:color w:val="auto"/>
                      <w:sz w:val="21"/>
                      <w:szCs w:val="21"/>
                      <w:highlight w:val="yellow"/>
                      <w:u w:val="single"/>
                    </w:rPr>
                  </w:pPr>
                  <w:r>
                    <w:rPr>
                      <w:rFonts w:hint="default" w:ascii="Times New Roman" w:hAnsi="Times New Roman" w:cs="Times New Roman"/>
                      <w:b/>
                      <w:bCs/>
                      <w:color w:val="auto"/>
                      <w:sz w:val="21"/>
                      <w:szCs w:val="21"/>
                      <w:highlight w:val="none"/>
                      <w:u w:val="single"/>
                    </w:rPr>
                    <w:t>t/a</w:t>
                  </w:r>
                </w:p>
              </w:tc>
              <w:tc>
                <w:tcPr>
                  <w:tcW w:w="587" w:type="pct"/>
                  <w:noWrap w:val="0"/>
                  <w:vAlign w:val="center"/>
                </w:tcPr>
                <w:p>
                  <w:pPr>
                    <w:spacing w:line="240" w:lineRule="auto"/>
                    <w:jc w:val="center"/>
                    <w:rPr>
                      <w:rFonts w:hint="default" w:ascii="Times New Roman" w:hAnsi="Times New Roman" w:eastAsia="宋体" w:cs="Times New Roman"/>
                      <w:b/>
                      <w:bCs/>
                      <w:color w:val="auto"/>
                      <w:sz w:val="21"/>
                      <w:szCs w:val="21"/>
                      <w:highlight w:val="none"/>
                      <w:u w:val="single"/>
                      <w:lang w:val="en-US" w:eastAsia="zh-CN"/>
                    </w:rPr>
                  </w:pPr>
                  <w:r>
                    <w:rPr>
                      <w:rFonts w:hint="eastAsia" w:ascii="Times New Roman" w:hAnsi="Times New Roman" w:cs="Times New Roman"/>
                      <w:b/>
                      <w:bCs/>
                      <w:color w:val="auto"/>
                      <w:sz w:val="21"/>
                      <w:szCs w:val="21"/>
                      <w:highlight w:val="none"/>
                      <w:u w:val="single"/>
                      <w:lang w:val="en-US" w:eastAsia="zh-CN"/>
                    </w:rPr>
                    <w:t>520000</w:t>
                  </w:r>
                </w:p>
              </w:tc>
              <w:tc>
                <w:tcPr>
                  <w:tcW w:w="1019" w:type="pct"/>
                  <w:noWrap w:val="0"/>
                  <w:vAlign w:val="center"/>
                </w:tcPr>
                <w:p>
                  <w:pPr>
                    <w:spacing w:line="240" w:lineRule="auto"/>
                    <w:jc w:val="center"/>
                    <w:rPr>
                      <w:rFonts w:hint="default" w:ascii="Times New Roman" w:hAnsi="Times New Roman" w:cs="Times New Roman"/>
                      <w:b/>
                      <w:bCs/>
                      <w:color w:val="auto"/>
                      <w:sz w:val="21"/>
                      <w:szCs w:val="21"/>
                      <w:highlight w:val="none"/>
                      <w:u w:val="single"/>
                      <w:lang w:val="en-US"/>
                    </w:rPr>
                  </w:pPr>
                  <w:r>
                    <w:rPr>
                      <w:rFonts w:hint="eastAsia" w:ascii="Times New Roman" w:hAnsi="Times New Roman" w:cs="Times New Roman"/>
                      <w:b/>
                      <w:bCs/>
                      <w:color w:val="auto"/>
                      <w:sz w:val="21"/>
                      <w:szCs w:val="21"/>
                      <w:highlight w:val="none"/>
                      <w:u w:val="single"/>
                      <w:lang w:val="en-US" w:eastAsia="zh-CN"/>
                    </w:rPr>
                    <w:t>520000</w:t>
                  </w:r>
                </w:p>
              </w:tc>
              <w:tc>
                <w:tcPr>
                  <w:tcW w:w="794" w:type="pct"/>
                  <w:noWrap w:val="0"/>
                  <w:vAlign w:val="center"/>
                </w:tcPr>
                <w:p>
                  <w:pPr>
                    <w:spacing w:line="240" w:lineRule="auto"/>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+0</w:t>
                  </w:r>
                </w:p>
              </w:tc>
              <w:tc>
                <w:tcPr>
                  <w:tcW w:w="1178" w:type="pct"/>
                  <w:noWrap w:val="0"/>
                  <w:vAlign w:val="center"/>
                </w:tcPr>
                <w:p>
                  <w:pPr>
                    <w:spacing w:line="240" w:lineRule="auto"/>
                    <w:jc w:val="center"/>
                    <w:rPr>
                      <w:rFonts w:hint="default" w:ascii="Times New Roman" w:hAnsi="Times New Roman" w:cs="Times New Roman"/>
                      <w:b/>
                      <w:bCs/>
                      <w:color w:val="auto"/>
                      <w:sz w:val="21"/>
                      <w:szCs w:val="21"/>
                      <w:u w:val="single"/>
                      <w:lang w:val="zh-CN"/>
                    </w:rPr>
                  </w:pPr>
                  <w:r>
                    <w:rPr>
                      <w:rFonts w:hint="default" w:ascii="Times New Roman" w:hAnsi="Times New Roman" w:cs="Times New Roman"/>
                      <w:b/>
                      <w:bCs/>
                      <w:color w:val="auto"/>
                      <w:sz w:val="21"/>
                      <w:szCs w:val="21"/>
                      <w:u w:val="single"/>
                      <w:lang w:val="zh-CN"/>
                    </w:rPr>
                    <w:t>来自厂区自备水井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69" w:type="pct"/>
                  <w:noWrap w:val="0"/>
                  <w:vAlign w:val="center"/>
                </w:tcPr>
                <w:p>
                  <w:pPr>
                    <w:spacing w:line="240" w:lineRule="auto"/>
                    <w:jc w:val="center"/>
                    <w:rPr>
                      <w:rFonts w:hint="default" w:ascii="Times New Roman" w:hAnsi="Times New Roman" w:eastAsia="宋体" w:cs="Times New Roman"/>
                      <w:b/>
                      <w:bCs/>
                      <w:color w:val="auto"/>
                      <w:sz w:val="21"/>
                      <w:szCs w:val="21"/>
                      <w:u w:val="single"/>
                      <w:lang w:eastAsia="zh-CN"/>
                    </w:rPr>
                  </w:pPr>
                  <w:r>
                    <w:rPr>
                      <w:rFonts w:hint="default" w:ascii="Times New Roman" w:hAnsi="Times New Roman" w:cs="Times New Roman"/>
                      <w:b/>
                      <w:bCs/>
                      <w:color w:val="auto"/>
                      <w:sz w:val="21"/>
                      <w:szCs w:val="21"/>
                      <w:u w:val="single"/>
                      <w:lang w:val="en-US" w:eastAsia="zh-CN"/>
                    </w:rPr>
                    <w:t>8</w:t>
                  </w:r>
                </w:p>
              </w:tc>
              <w:tc>
                <w:tcPr>
                  <w:tcW w:w="689"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电</w:t>
                  </w:r>
                </w:p>
              </w:tc>
              <w:tc>
                <w:tcPr>
                  <w:tcW w:w="461"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kwh/a</w:t>
                  </w:r>
                </w:p>
              </w:tc>
              <w:tc>
                <w:tcPr>
                  <w:tcW w:w="587" w:type="pct"/>
                  <w:noWrap w:val="0"/>
                  <w:vAlign w:val="center"/>
                </w:tcPr>
                <w:p>
                  <w:pPr>
                    <w:spacing w:line="240" w:lineRule="auto"/>
                    <w:jc w:val="center"/>
                    <w:rPr>
                      <w:rFonts w:hint="default" w:ascii="Times New Roman" w:hAnsi="Times New Roman" w:eastAsia="宋体" w:cs="Times New Roman"/>
                      <w:b/>
                      <w:bCs/>
                      <w:color w:val="auto"/>
                      <w:sz w:val="21"/>
                      <w:szCs w:val="21"/>
                      <w:highlight w:val="none"/>
                      <w:u w:val="single"/>
                      <w:lang w:eastAsia="zh-CN"/>
                    </w:rPr>
                  </w:pPr>
                  <w:r>
                    <w:rPr>
                      <w:rFonts w:hint="eastAsia" w:ascii="Times New Roman" w:hAnsi="Times New Roman" w:cs="Times New Roman"/>
                      <w:b/>
                      <w:bCs/>
                      <w:color w:val="auto"/>
                      <w:sz w:val="21"/>
                      <w:szCs w:val="21"/>
                      <w:highlight w:val="none"/>
                      <w:u w:val="single"/>
                      <w:lang w:val="en-US" w:eastAsia="zh-CN"/>
                    </w:rPr>
                    <w:t>5739</w:t>
                  </w:r>
                  <w:r>
                    <w:rPr>
                      <w:rFonts w:hint="default" w:ascii="Times New Roman" w:hAnsi="Times New Roman" w:cs="Times New Roman"/>
                      <w:b/>
                      <w:bCs/>
                      <w:color w:val="auto"/>
                      <w:sz w:val="21"/>
                      <w:szCs w:val="21"/>
                      <w:highlight w:val="none"/>
                      <w:u w:val="single"/>
                      <w:lang w:eastAsia="zh-CN"/>
                    </w:rPr>
                    <w:t>万</w:t>
                  </w:r>
                </w:p>
              </w:tc>
              <w:tc>
                <w:tcPr>
                  <w:tcW w:w="1019" w:type="pct"/>
                  <w:noWrap w:val="0"/>
                  <w:vAlign w:val="center"/>
                </w:tcPr>
                <w:p>
                  <w:pPr>
                    <w:spacing w:line="240" w:lineRule="auto"/>
                    <w:jc w:val="center"/>
                    <w:rPr>
                      <w:rFonts w:hint="default" w:ascii="Times New Roman" w:hAnsi="Times New Roman" w:cs="Times New Roman"/>
                      <w:b/>
                      <w:bCs/>
                      <w:color w:val="auto"/>
                      <w:sz w:val="21"/>
                      <w:szCs w:val="21"/>
                      <w:highlight w:val="none"/>
                      <w:u w:val="single"/>
                      <w:lang w:val="zh-CN"/>
                    </w:rPr>
                  </w:pPr>
                  <w:r>
                    <w:rPr>
                      <w:rFonts w:hint="eastAsia" w:ascii="Times New Roman" w:hAnsi="Times New Roman" w:cs="Times New Roman"/>
                      <w:b/>
                      <w:bCs/>
                      <w:color w:val="auto"/>
                      <w:sz w:val="21"/>
                      <w:szCs w:val="21"/>
                      <w:highlight w:val="none"/>
                      <w:u w:val="single"/>
                      <w:lang w:val="en-US" w:eastAsia="zh-CN"/>
                    </w:rPr>
                    <w:t>6739</w:t>
                  </w:r>
                  <w:r>
                    <w:rPr>
                      <w:rFonts w:hint="default" w:ascii="Times New Roman" w:hAnsi="Times New Roman" w:cs="Times New Roman"/>
                      <w:b/>
                      <w:bCs/>
                      <w:color w:val="auto"/>
                      <w:sz w:val="21"/>
                      <w:szCs w:val="21"/>
                      <w:highlight w:val="none"/>
                      <w:u w:val="single"/>
                      <w:lang w:eastAsia="zh-CN"/>
                    </w:rPr>
                    <w:t>万</w:t>
                  </w:r>
                </w:p>
              </w:tc>
              <w:tc>
                <w:tcPr>
                  <w:tcW w:w="794" w:type="pct"/>
                  <w:noWrap w:val="0"/>
                  <w:vAlign w:val="center"/>
                </w:tcPr>
                <w:p>
                  <w:pPr>
                    <w:spacing w:line="240" w:lineRule="auto"/>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+1000万</w:t>
                  </w:r>
                </w:p>
              </w:tc>
              <w:tc>
                <w:tcPr>
                  <w:tcW w:w="1178" w:type="pct"/>
                  <w:noWrap w:val="0"/>
                  <w:vAlign w:val="center"/>
                </w:tcPr>
                <w:p>
                  <w:pPr>
                    <w:spacing w:line="240" w:lineRule="auto"/>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lang w:val="zh-CN"/>
                    </w:rPr>
                    <w:t>由产业集聚区电网统一供给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69" w:type="pct"/>
                  <w:noWrap w:val="0"/>
                  <w:vAlign w:val="center"/>
                </w:tcPr>
                <w:p>
                  <w:pPr>
                    <w:spacing w:line="240" w:lineRule="auto"/>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9</w:t>
                  </w:r>
                </w:p>
              </w:tc>
              <w:tc>
                <w:tcPr>
                  <w:tcW w:w="689" w:type="pct"/>
                  <w:noWrap w:val="0"/>
                  <w:vAlign w:val="center"/>
                </w:tcPr>
                <w:p>
                  <w:pPr>
                    <w:spacing w:line="240" w:lineRule="auto"/>
                    <w:jc w:val="center"/>
                    <w:rPr>
                      <w:rFonts w:hint="default" w:ascii="Times New Roman" w:hAnsi="Times New Roman" w:eastAsia="宋体" w:cs="Times New Roman"/>
                      <w:b/>
                      <w:bCs/>
                      <w:color w:val="auto"/>
                      <w:sz w:val="21"/>
                      <w:szCs w:val="21"/>
                      <w:highlight w:val="none"/>
                      <w:u w:val="single"/>
                      <w:lang w:eastAsia="zh-CN"/>
                    </w:rPr>
                  </w:pPr>
                  <w:r>
                    <w:rPr>
                      <w:rFonts w:hint="default" w:ascii="Times New Roman" w:hAnsi="Times New Roman" w:eastAsia="宋体" w:cs="Times New Roman"/>
                      <w:b/>
                      <w:bCs/>
                      <w:color w:val="auto"/>
                      <w:sz w:val="21"/>
                      <w:szCs w:val="21"/>
                      <w:highlight w:val="none"/>
                      <w:u w:val="single"/>
                      <w:lang w:eastAsia="zh-CN"/>
                    </w:rPr>
                    <w:t>天然气</w:t>
                  </w:r>
                </w:p>
              </w:tc>
              <w:tc>
                <w:tcPr>
                  <w:tcW w:w="461" w:type="pct"/>
                  <w:noWrap w:val="0"/>
                  <w:vAlign w:val="center"/>
                </w:tcPr>
                <w:p>
                  <w:pPr>
                    <w:spacing w:line="240" w:lineRule="auto"/>
                    <w:jc w:val="center"/>
                    <w:rPr>
                      <w:rFonts w:hint="default" w:ascii="Times New Roman" w:hAnsi="Times New Roman" w:eastAsia="宋体" w:cs="Times New Roman"/>
                      <w:b/>
                      <w:bCs/>
                      <w:color w:val="auto"/>
                      <w:sz w:val="21"/>
                      <w:szCs w:val="21"/>
                      <w:highlight w:val="none"/>
                      <w:u w:val="single"/>
                      <w:lang w:eastAsia="zh-CN"/>
                    </w:rPr>
                  </w:pPr>
                  <w:r>
                    <w:rPr>
                      <w:rFonts w:hint="default" w:ascii="Times New Roman" w:hAnsi="Times New Roman" w:eastAsia="宋体" w:cs="Times New Roman"/>
                      <w:b/>
                      <w:bCs/>
                      <w:color w:val="auto"/>
                      <w:sz w:val="21"/>
                      <w:szCs w:val="21"/>
                      <w:highlight w:val="none"/>
                      <w:u w:val="single"/>
                      <w:lang w:eastAsia="zh-CN"/>
                    </w:rPr>
                    <w:t>m3/a</w:t>
                  </w:r>
                </w:p>
              </w:tc>
              <w:tc>
                <w:tcPr>
                  <w:tcW w:w="587" w:type="pct"/>
                  <w:noWrap w:val="0"/>
                  <w:vAlign w:val="center"/>
                </w:tcPr>
                <w:p>
                  <w:pPr>
                    <w:spacing w:line="240" w:lineRule="auto"/>
                    <w:jc w:val="center"/>
                    <w:rPr>
                      <w:rFonts w:hint="default" w:ascii="Times New Roman" w:hAnsi="Times New Roman" w:eastAsia="宋体" w:cs="Times New Roman"/>
                      <w:b/>
                      <w:bCs/>
                      <w:color w:val="auto"/>
                      <w:sz w:val="21"/>
                      <w:szCs w:val="21"/>
                      <w:highlight w:val="none"/>
                      <w:u w:val="single"/>
                      <w:lang w:eastAsia="zh-CN"/>
                    </w:rPr>
                  </w:pPr>
                  <w:r>
                    <w:rPr>
                      <w:rFonts w:hint="eastAsia" w:ascii="Times New Roman" w:hAnsi="Times New Roman" w:cs="Times New Roman"/>
                      <w:b/>
                      <w:bCs/>
                      <w:color w:val="auto"/>
                      <w:sz w:val="21"/>
                      <w:szCs w:val="21"/>
                      <w:highlight w:val="none"/>
                      <w:u w:val="single"/>
                      <w:lang w:val="en-US" w:eastAsia="zh-CN"/>
                    </w:rPr>
                    <w:t>280</w:t>
                  </w:r>
                  <w:r>
                    <w:rPr>
                      <w:rFonts w:hint="default" w:ascii="Times New Roman" w:hAnsi="Times New Roman" w:eastAsia="宋体" w:cs="Times New Roman"/>
                      <w:b/>
                      <w:bCs/>
                      <w:color w:val="auto"/>
                      <w:sz w:val="21"/>
                      <w:szCs w:val="21"/>
                      <w:highlight w:val="none"/>
                      <w:u w:val="single"/>
                      <w:lang w:eastAsia="zh-CN"/>
                    </w:rPr>
                    <w:t>万</w:t>
                  </w:r>
                </w:p>
              </w:tc>
              <w:tc>
                <w:tcPr>
                  <w:tcW w:w="1019" w:type="pct"/>
                  <w:noWrap w:val="0"/>
                  <w:vAlign w:val="center"/>
                </w:tcPr>
                <w:p>
                  <w:pPr>
                    <w:spacing w:line="240" w:lineRule="auto"/>
                    <w:jc w:val="center"/>
                    <w:rPr>
                      <w:rFonts w:hint="default" w:ascii="Times New Roman" w:hAnsi="Times New Roman" w:eastAsia="宋体" w:cs="Times New Roman"/>
                      <w:b/>
                      <w:bCs/>
                      <w:color w:val="auto"/>
                      <w:sz w:val="21"/>
                      <w:szCs w:val="21"/>
                      <w:highlight w:val="none"/>
                      <w:u w:val="single"/>
                      <w:lang w:eastAsia="zh-CN"/>
                    </w:rPr>
                  </w:pPr>
                  <w:r>
                    <w:rPr>
                      <w:rFonts w:hint="eastAsia" w:ascii="Times New Roman" w:hAnsi="Times New Roman" w:cs="Times New Roman"/>
                      <w:b/>
                      <w:bCs/>
                      <w:color w:val="auto"/>
                      <w:sz w:val="21"/>
                      <w:szCs w:val="21"/>
                      <w:highlight w:val="none"/>
                      <w:u w:val="single"/>
                      <w:lang w:val="en-US" w:eastAsia="zh-CN"/>
                    </w:rPr>
                    <w:t>330</w:t>
                  </w:r>
                  <w:r>
                    <w:rPr>
                      <w:rFonts w:hint="default" w:ascii="Times New Roman" w:hAnsi="Times New Roman" w:eastAsia="宋体" w:cs="Times New Roman"/>
                      <w:b/>
                      <w:bCs/>
                      <w:color w:val="auto"/>
                      <w:sz w:val="21"/>
                      <w:szCs w:val="21"/>
                      <w:highlight w:val="none"/>
                      <w:u w:val="single"/>
                      <w:lang w:eastAsia="zh-CN"/>
                    </w:rPr>
                    <w:t>万</w:t>
                  </w:r>
                </w:p>
              </w:tc>
              <w:tc>
                <w:tcPr>
                  <w:tcW w:w="794" w:type="pct"/>
                  <w:noWrap w:val="0"/>
                  <w:vAlign w:val="center"/>
                </w:tcPr>
                <w:p>
                  <w:pPr>
                    <w:spacing w:line="240" w:lineRule="auto"/>
                    <w:jc w:val="center"/>
                    <w:rPr>
                      <w:rFonts w:hint="default" w:ascii="Times New Roman" w:hAnsi="Times New Roman" w:eastAsia="宋体" w:cs="Times New Roman"/>
                      <w:b/>
                      <w:bCs/>
                      <w:color w:val="auto"/>
                      <w:sz w:val="21"/>
                      <w:szCs w:val="21"/>
                      <w:highlight w:val="none"/>
                      <w:u w:val="single"/>
                      <w:lang w:val="en-US" w:eastAsia="zh-CN"/>
                    </w:rPr>
                  </w:pPr>
                  <w:r>
                    <w:rPr>
                      <w:rFonts w:hint="eastAsia" w:ascii="Times New Roman" w:hAnsi="Times New Roman" w:cs="Times New Roman"/>
                      <w:b/>
                      <w:bCs/>
                      <w:color w:val="auto"/>
                      <w:sz w:val="21"/>
                      <w:szCs w:val="21"/>
                      <w:highlight w:val="none"/>
                      <w:u w:val="single"/>
                      <w:lang w:val="en-US" w:eastAsia="zh-CN"/>
                    </w:rPr>
                    <w:t>+50万</w:t>
                  </w:r>
                </w:p>
              </w:tc>
              <w:tc>
                <w:tcPr>
                  <w:tcW w:w="1178" w:type="pct"/>
                  <w:noWrap w:val="0"/>
                  <w:vAlign w:val="center"/>
                </w:tcPr>
                <w:p>
                  <w:pPr>
                    <w:spacing w:line="240" w:lineRule="auto"/>
                    <w:jc w:val="center"/>
                    <w:rPr>
                      <w:rFonts w:hint="default" w:ascii="Times New Roman" w:hAnsi="Times New Roman" w:eastAsia="宋体" w:cs="Times New Roman"/>
                      <w:b/>
                      <w:bCs/>
                      <w:color w:val="auto"/>
                      <w:sz w:val="21"/>
                      <w:szCs w:val="21"/>
                      <w:highlight w:val="none"/>
                      <w:u w:val="single"/>
                      <w:lang w:eastAsia="zh-CN"/>
                    </w:rPr>
                  </w:pPr>
                  <w:r>
                    <w:rPr>
                      <w:rFonts w:hint="default" w:ascii="Times New Roman" w:hAnsi="Times New Roman" w:eastAsia="宋体" w:cs="Times New Roman"/>
                      <w:b/>
                      <w:bCs/>
                      <w:color w:val="auto"/>
                      <w:sz w:val="21"/>
                      <w:szCs w:val="21"/>
                      <w:highlight w:val="none"/>
                      <w:u w:val="single"/>
                      <w:lang w:eastAsia="zh-CN"/>
                    </w:rPr>
                    <w:t>由</w:t>
                  </w:r>
                  <w:r>
                    <w:rPr>
                      <w:rFonts w:hint="default" w:ascii="Times New Roman" w:hAnsi="Times New Roman" w:eastAsia="宋体" w:cs="Times New Roman"/>
                      <w:b/>
                      <w:bCs/>
                      <w:color w:val="auto"/>
                      <w:sz w:val="21"/>
                      <w:szCs w:val="21"/>
                      <w:highlight w:val="none"/>
                      <w:u w:val="single"/>
                      <w:lang w:val="zh-CN" w:eastAsia="zh-CN"/>
                    </w:rPr>
                    <w:t>产业集聚区天然气管网统一供给</w:t>
                  </w:r>
                </w:p>
              </w:tc>
            </w:tr>
          </w:tbl>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原辅材料理化性质：1、轧制油：乳化型高皂化值轧制油。具有良好的润滑性，冷却性和退火清净性。可用于大中型冷轧机组的工艺润滑，特别适用于可塑轧机和冷连轧机组，轧制从2.00mm轧到0.15mm厚的各种规格的带钢；2、硅藻土：硅藻土的化学成分主要是SiO</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vertAlign w:val="baseline"/>
                <w:lang w:val="en-US" w:eastAsia="zh-CN"/>
              </w:rPr>
              <w:t>，含有少量的Al</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vertAlign w:val="baseline"/>
                <w:lang w:val="en-US" w:eastAsia="zh-CN"/>
              </w:rPr>
              <w:t>O</w:t>
            </w:r>
            <w:r>
              <w:rPr>
                <w:rFonts w:hint="default" w:ascii="Times New Roman" w:hAnsi="Times New Roman" w:cs="Times New Roman"/>
                <w:color w:val="auto"/>
                <w:sz w:val="24"/>
                <w:szCs w:val="24"/>
                <w:vertAlign w:val="subscript"/>
                <w:lang w:val="en-US" w:eastAsia="zh-CN"/>
              </w:rPr>
              <w:t>3</w:t>
            </w:r>
            <w:r>
              <w:rPr>
                <w:rFonts w:hint="default" w:ascii="Times New Roman" w:hAnsi="Times New Roman" w:cs="Times New Roman"/>
                <w:color w:val="auto"/>
                <w:sz w:val="24"/>
                <w:szCs w:val="24"/>
                <w:vertAlign w:val="baseline"/>
                <w:lang w:val="en-US" w:eastAsia="zh-CN"/>
              </w:rPr>
              <w:t>、Fe</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vertAlign w:val="baseline"/>
                <w:lang w:val="en-US" w:eastAsia="zh-CN"/>
              </w:rPr>
              <w:t>O</w:t>
            </w:r>
            <w:r>
              <w:rPr>
                <w:rFonts w:hint="default" w:ascii="Times New Roman" w:hAnsi="Times New Roman" w:cs="Times New Roman"/>
                <w:color w:val="auto"/>
                <w:sz w:val="24"/>
                <w:szCs w:val="24"/>
                <w:vertAlign w:val="subscript"/>
                <w:lang w:val="en-US" w:eastAsia="zh-CN"/>
              </w:rPr>
              <w:t>3</w:t>
            </w:r>
            <w:r>
              <w:rPr>
                <w:rFonts w:hint="default" w:ascii="Times New Roman" w:hAnsi="Times New Roman" w:cs="Times New Roman"/>
                <w:color w:val="auto"/>
                <w:sz w:val="24"/>
                <w:szCs w:val="24"/>
                <w:vertAlign w:val="baseline"/>
                <w:lang w:val="en-US" w:eastAsia="zh-CN"/>
              </w:rPr>
              <w:t>、CaO、MgO等和有机质。有细腻、松散、质轻、多孔、吸水性和渗透性强的性质，不含重金属。3、清洗油：清洗油以清洗精油为溶剂，具有强力清洁之功效。</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（5）劳动定员</w:t>
            </w:r>
          </w:p>
          <w:p>
            <w:pPr>
              <w:spacing w:line="360" w:lineRule="auto"/>
              <w:ind w:firstLine="465"/>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现有工程劳动定员</w:t>
            </w:r>
            <w:r>
              <w:rPr>
                <w:rFonts w:hint="eastAsia" w:ascii="Times New Roman" w:hAnsi="Times New Roman" w:cs="Times New Roman"/>
                <w:color w:val="auto"/>
                <w:sz w:val="24"/>
                <w:szCs w:val="24"/>
                <w:lang w:val="en-US" w:eastAsia="zh-CN"/>
              </w:rPr>
              <w:t>630</w:t>
            </w:r>
            <w:r>
              <w:rPr>
                <w:rFonts w:hint="default" w:ascii="Times New Roman" w:hAnsi="Times New Roman" w:cs="Times New Roman"/>
                <w:color w:val="auto"/>
                <w:sz w:val="24"/>
                <w:szCs w:val="24"/>
                <w:lang w:val="en-US" w:eastAsia="zh-CN"/>
              </w:rPr>
              <w:t>人，本次</w:t>
            </w:r>
            <w:r>
              <w:rPr>
                <w:rFonts w:hint="eastAsia" w:ascii="Times New Roman" w:hAnsi="Times New Roman" w:cs="Times New Roman"/>
                <w:color w:val="auto"/>
                <w:sz w:val="24"/>
                <w:szCs w:val="24"/>
                <w:lang w:val="en-US" w:eastAsia="zh-CN"/>
              </w:rPr>
              <w:t>改建项目不</w:t>
            </w:r>
            <w:r>
              <w:rPr>
                <w:rFonts w:hint="default" w:ascii="Times New Roman" w:hAnsi="Times New Roman" w:cs="Times New Roman"/>
                <w:color w:val="auto"/>
                <w:sz w:val="24"/>
                <w:szCs w:val="24"/>
              </w:rPr>
              <w:t>新增劳动定员，</w:t>
            </w:r>
            <w:r>
              <w:rPr>
                <w:rFonts w:hint="eastAsia" w:ascii="Times New Roman" w:hAnsi="Times New Roman" w:cs="Times New Roman"/>
                <w:color w:val="auto"/>
                <w:sz w:val="24"/>
                <w:szCs w:val="24"/>
                <w:lang w:val="en-US" w:eastAsia="zh-CN"/>
              </w:rPr>
              <w:t>从现有员工中调配</w:t>
            </w:r>
            <w:r>
              <w:rPr>
                <w:rFonts w:hint="default" w:ascii="Times New Roman" w:hAnsi="Times New Roman" w:cs="Times New Roman"/>
                <w:color w:val="auto"/>
                <w:kern w:val="0"/>
                <w:sz w:val="24"/>
                <w:szCs w:val="24"/>
              </w:rPr>
              <w:t>。</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（6）公用工程及辅助设施</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①供电</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本项目用电由产业集聚区电网统一供给，可满足项目生产生活用电需求。</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②给排水</w:t>
            </w:r>
          </w:p>
          <w:p>
            <w:pPr>
              <w:spacing w:line="360" w:lineRule="auto"/>
              <w:ind w:firstLine="480" w:firstLineChars="200"/>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lang w:val="zh-CN"/>
              </w:rPr>
              <w:t>给水：本项目用水来自厂区自备水井，可满足项目用水需求。</w:t>
            </w:r>
          </w:p>
          <w:p>
            <w:pPr>
              <w:spacing w:line="360" w:lineRule="auto"/>
              <w:ind w:firstLine="480" w:firstLineChars="200"/>
              <w:rPr>
                <w:rFonts w:hint="eastAsia" w:ascii="Times New Roman" w:hAnsi="Times New Roman"/>
                <w:color w:val="auto"/>
                <w:sz w:val="24"/>
                <w:szCs w:val="24"/>
                <w:lang w:val="en-US" w:eastAsia="zh-CN"/>
              </w:rPr>
            </w:pPr>
            <w:r>
              <w:rPr>
                <w:rFonts w:hint="default" w:ascii="Times New Roman" w:hAnsi="Times New Roman" w:cs="Times New Roman"/>
                <w:color w:val="auto"/>
                <w:sz w:val="24"/>
                <w:szCs w:val="24"/>
                <w:lang w:val="zh-CN"/>
              </w:rPr>
              <w:t>排水：</w:t>
            </w:r>
            <w:r>
              <w:rPr>
                <w:rFonts w:hint="default" w:ascii="Times New Roman" w:hAnsi="Times New Roman" w:cs="Times New Roman"/>
                <w:color w:val="auto"/>
                <w:sz w:val="24"/>
                <w:szCs w:val="24"/>
              </w:rPr>
              <w:t>雨污分流，雨水排入雨水管网</w:t>
            </w:r>
            <w:r>
              <w:rPr>
                <w:rFonts w:hint="default" w:ascii="Times New Roman" w:hAnsi="Times New Roman" w:cs="Times New Roman"/>
                <w:color w:val="auto"/>
                <w:sz w:val="24"/>
                <w:szCs w:val="24"/>
                <w:highlight w:val="none"/>
              </w:rPr>
              <w:t>。</w:t>
            </w:r>
            <w:r>
              <w:rPr>
                <w:rFonts w:hint="eastAsia" w:ascii="Times New Roman" w:hAnsi="Times New Roman"/>
                <w:color w:val="auto"/>
                <w:sz w:val="24"/>
                <w:szCs w:val="24"/>
                <w:lang w:val="en-US" w:eastAsia="zh-CN"/>
              </w:rPr>
              <w:t>项目产生的废水经厂区污水处理站处理，</w:t>
            </w:r>
            <w:r>
              <w:rPr>
                <w:rFonts w:hint="default" w:ascii="Times New Roman" w:hAnsi="Times New Roman" w:eastAsia="宋体" w:cs="Times New Roman"/>
                <w:b w:val="0"/>
                <w:bCs w:val="0"/>
                <w:color w:val="auto"/>
                <w:sz w:val="24"/>
                <w:szCs w:val="24"/>
                <w:u w:val="none"/>
                <w:lang w:val="en-US" w:eastAsia="zh-CN"/>
              </w:rPr>
              <w:t>满足《城镇污水处理厂污染物排放标准》（GB18918-2002）及2006年修改单中表1一级A标准限值要求</w:t>
            </w:r>
            <w:r>
              <w:rPr>
                <w:rFonts w:hint="eastAsia" w:ascii="Times New Roman" w:hAnsi="Times New Roman" w:eastAsia="宋体" w:cs="Times New Roman"/>
                <w:b w:val="0"/>
                <w:bCs w:val="0"/>
                <w:color w:val="auto"/>
                <w:sz w:val="24"/>
                <w:szCs w:val="24"/>
                <w:u w:val="none"/>
                <w:lang w:val="en-US" w:eastAsia="zh-CN"/>
              </w:rPr>
              <w:t>后</w:t>
            </w:r>
            <w:r>
              <w:rPr>
                <w:rFonts w:hint="eastAsia" w:ascii="Times New Roman" w:hAnsi="Times New Roman"/>
                <w:color w:val="auto"/>
                <w:sz w:val="24"/>
                <w:szCs w:val="24"/>
                <w:lang w:val="en-US" w:eastAsia="zh-CN"/>
              </w:rPr>
              <w:t>排入沱河。</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（7）总平面布置</w:t>
            </w:r>
          </w:p>
          <w:p>
            <w:pPr>
              <w:spacing w:line="360" w:lineRule="auto"/>
              <w:ind w:firstLine="480" w:firstLineChars="200"/>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highlight w:val="none"/>
                <w:lang w:val="zh-CN"/>
              </w:rPr>
              <w:t>本项目位于</w:t>
            </w:r>
            <w:r>
              <w:rPr>
                <w:rFonts w:hint="eastAsia" w:ascii="Times New Roman" w:hAnsi="Times New Roman" w:cs="Times New Roman"/>
                <w:color w:val="auto"/>
                <w:sz w:val="24"/>
                <w:szCs w:val="24"/>
                <w:highlight w:val="none"/>
                <w:lang w:val="zh-CN"/>
              </w:rPr>
              <w:t>永城市经济技术开发区科源大道南段</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lang w:val="zh-CN"/>
              </w:rPr>
              <w:t>本次</w:t>
            </w:r>
            <w:r>
              <w:rPr>
                <w:rFonts w:hint="eastAsia" w:ascii="Times New Roman" w:hAnsi="Times New Roman" w:eastAsia="宋体" w:cs="Times New Roman"/>
                <w:color w:val="auto"/>
                <w:sz w:val="24"/>
                <w:szCs w:val="24"/>
                <w:lang w:val="en-US" w:eastAsia="zh-CN"/>
              </w:rPr>
              <w:t>改建</w:t>
            </w:r>
            <w:r>
              <w:rPr>
                <w:rFonts w:hint="default" w:ascii="Times New Roman" w:hAnsi="Times New Roman" w:eastAsia="宋体" w:cs="Times New Roman"/>
                <w:color w:val="auto"/>
                <w:sz w:val="24"/>
                <w:szCs w:val="24"/>
                <w:lang w:val="zh-CN"/>
              </w:rPr>
              <w:t>项目对生产线设备进行</w:t>
            </w:r>
            <w:r>
              <w:rPr>
                <w:rFonts w:hint="default" w:ascii="Times New Roman" w:hAnsi="Times New Roman" w:eastAsia="宋体" w:cs="Times New Roman"/>
                <w:color w:val="auto"/>
                <w:sz w:val="24"/>
                <w:szCs w:val="24"/>
                <w:lang w:val="zh-CN" w:eastAsia="zh-CN"/>
              </w:rPr>
              <w:t>更新改造</w:t>
            </w:r>
            <w:r>
              <w:rPr>
                <w:rFonts w:hint="default" w:ascii="Times New Roman" w:hAnsi="Times New Roman" w:eastAsia="宋体" w:cs="Times New Roman"/>
                <w:color w:val="auto"/>
                <w:sz w:val="24"/>
                <w:szCs w:val="24"/>
                <w:lang w:val="zh-CN"/>
              </w:rPr>
              <w:t>，不新增用地，</w:t>
            </w:r>
            <w:r>
              <w:rPr>
                <w:rFonts w:hint="eastAsia" w:ascii="Times New Roman" w:hAnsi="Times New Roman" w:eastAsia="宋体" w:cs="Times New Roman"/>
                <w:color w:val="auto"/>
                <w:sz w:val="24"/>
                <w:szCs w:val="24"/>
                <w:lang w:val="en-US" w:eastAsia="zh-CN"/>
              </w:rPr>
              <w:t>现有生产车间</w:t>
            </w:r>
            <w:r>
              <w:rPr>
                <w:rFonts w:hint="default" w:ascii="Times New Roman" w:hAnsi="Times New Roman" w:eastAsia="宋体" w:cs="Times New Roman"/>
                <w:color w:val="auto"/>
                <w:sz w:val="24"/>
                <w:szCs w:val="24"/>
                <w:lang w:val="zh-CN"/>
              </w:rPr>
              <w:t>在满足生产及运输的条件下，节约土地，力求布置紧凑，提高场地利用系数。厂区及厂房布置设计符合设计规范，交通方便，布置合理，能够满足项目生产要求和相关环保要求。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tcPr>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工</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艺</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流</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程</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和</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产</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排</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污</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环</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节</w:t>
            </w:r>
          </w:p>
        </w:tc>
        <w:tc>
          <w:tcPr>
            <w:tcW w:w="8134"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施工期</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cs="Times New Roman"/>
                <w:color w:val="auto"/>
                <w:sz w:val="24"/>
                <w:szCs w:val="24"/>
              </w:rPr>
            </w:pPr>
            <w:r>
              <w:rPr>
                <w:rFonts w:ascii="Times New Roman" w:hAnsi="Times New Roman" w:cs="Times New Roman"/>
                <w:color w:val="auto"/>
                <w:sz w:val="24"/>
                <w:szCs w:val="24"/>
              </w:rPr>
              <w:t>本项目为</w:t>
            </w:r>
            <w:r>
              <w:rPr>
                <w:rFonts w:hint="eastAsia" w:ascii="Times New Roman" w:hAnsi="Times New Roman" w:cs="Times New Roman"/>
                <w:color w:val="auto"/>
                <w:sz w:val="24"/>
                <w:szCs w:val="24"/>
                <w:lang w:val="en-US" w:eastAsia="zh-CN"/>
              </w:rPr>
              <w:t>改建</w:t>
            </w:r>
            <w:r>
              <w:rPr>
                <w:rFonts w:ascii="Times New Roman" w:hAnsi="Times New Roman" w:cs="Times New Roman"/>
                <w:color w:val="auto"/>
                <w:sz w:val="24"/>
                <w:szCs w:val="24"/>
              </w:rPr>
              <w:t>项目，项目利用现有工程已有厂房，</w:t>
            </w:r>
            <w:r>
              <w:rPr>
                <w:rFonts w:hint="default" w:ascii="Times New Roman" w:hAnsi="Times New Roman" w:cs="Times New Roman"/>
                <w:color w:val="auto"/>
                <w:sz w:val="24"/>
                <w:szCs w:val="24"/>
              </w:rPr>
              <w:t>仅对部分设备进行安装调试，</w:t>
            </w:r>
            <w:r>
              <w:rPr>
                <w:rFonts w:ascii="Times New Roman" w:hAnsi="Times New Roman" w:cs="Times New Roman"/>
                <w:color w:val="auto"/>
                <w:sz w:val="24"/>
                <w:szCs w:val="24"/>
              </w:rPr>
              <w:t>故本次评价不再针对施工期进行评价。</w:t>
            </w:r>
          </w:p>
          <w:p>
            <w:pPr>
              <w:pStyle w:val="26"/>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营运期</w:t>
            </w:r>
            <w:r>
              <w:rPr>
                <w:rFonts w:hint="default" w:ascii="Times New Roman" w:hAnsi="Times New Roman" w:cs="Times New Roman"/>
                <w:b/>
                <w:bCs/>
                <w:color w:val="auto"/>
                <w:sz w:val="24"/>
                <w:szCs w:val="24"/>
                <w:vertAlign w:val="baseline"/>
                <w:lang w:val="en-US" w:eastAsia="zh-CN"/>
              </w:rPr>
              <w:t>电子铝箔</w:t>
            </w:r>
            <w:r>
              <w:rPr>
                <w:rFonts w:hint="default" w:ascii="Times New Roman" w:hAnsi="Times New Roman" w:eastAsia="宋体" w:cs="Times New Roman"/>
                <w:b/>
                <w:bCs/>
                <w:color w:val="auto"/>
                <w:sz w:val="24"/>
                <w:szCs w:val="24"/>
                <w:vertAlign w:val="baseline"/>
                <w:lang w:val="en-US" w:eastAsia="zh-CN"/>
              </w:rPr>
              <w:t>工艺流程及产污环节</w:t>
            </w:r>
            <w:r>
              <w:rPr>
                <w:rFonts w:hint="default" w:ascii="Times New Roman" w:hAnsi="Times New Roman" w:cs="Times New Roman"/>
                <w:b/>
                <w:bCs/>
                <w:color w:val="auto"/>
                <w:sz w:val="24"/>
                <w:szCs w:val="24"/>
                <w:vertAlign w:val="baseline"/>
                <w:lang w:val="en-US" w:eastAsia="zh-CN"/>
              </w:rPr>
              <w:t>：</w:t>
            </w:r>
          </w:p>
          <w:p>
            <w:pPr>
              <w:pStyle w:val="26"/>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jc w:val="center"/>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color w:val="auto"/>
              </w:rPr>
              <w:drawing>
                <wp:inline distT="0" distB="0" distL="114300" distR="114300">
                  <wp:extent cx="3668395" cy="6072505"/>
                  <wp:effectExtent l="0" t="0" r="8255"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stretch>
                            <a:fillRect/>
                          </a:stretch>
                        </pic:blipFill>
                        <pic:spPr>
                          <a:xfrm>
                            <a:off x="0" y="0"/>
                            <a:ext cx="3668395" cy="6072505"/>
                          </a:xfrm>
                          <a:prstGeom prst="rect">
                            <a:avLst/>
                          </a:prstGeom>
                          <a:noFill/>
                          <a:ln>
                            <a:noFill/>
                          </a:ln>
                        </pic:spPr>
                      </pic:pic>
                    </a:graphicData>
                  </a:graphic>
                </wp:inline>
              </w:drawing>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图2-</w:t>
            </w:r>
            <w:r>
              <w:rPr>
                <w:rFonts w:hint="eastAsia" w:ascii="Times New Roman" w:hAnsi="Times New Roman" w:cs="Times New Roman"/>
                <w:b/>
                <w:bCs/>
                <w:color w:val="auto"/>
                <w:sz w:val="24"/>
                <w:szCs w:val="24"/>
                <w:vertAlign w:val="baseline"/>
                <w:lang w:val="en-US" w:eastAsia="zh-CN"/>
              </w:rPr>
              <w:t>2</w:t>
            </w:r>
            <w:r>
              <w:rPr>
                <w:rFonts w:hint="default" w:ascii="Times New Roman" w:hAnsi="Times New Roman" w:cs="Times New Roman"/>
                <w:b/>
                <w:bCs/>
                <w:color w:val="auto"/>
                <w:sz w:val="24"/>
                <w:szCs w:val="24"/>
                <w:vertAlign w:val="baseline"/>
                <w:lang w:val="en-US" w:eastAsia="zh-CN"/>
              </w:rPr>
              <w:t xml:space="preserve"> 本项目电子铝箔生产工艺流程及产污环节图</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cs="Times New Roman"/>
                <w:b/>
                <w:bCs/>
                <w:color w:val="auto"/>
                <w:sz w:val="24"/>
                <w:szCs w:val="24"/>
                <w:highlight w:val="none"/>
                <w:u w:val="single"/>
                <w:lang w:val="en-US" w:eastAsia="zh-CN"/>
              </w:rPr>
            </w:pPr>
            <w:r>
              <w:rPr>
                <w:rFonts w:hint="eastAsia" w:ascii="Times New Roman" w:hAnsi="Times New Roman" w:cs="Times New Roman"/>
                <w:b/>
                <w:bCs/>
                <w:color w:val="auto"/>
                <w:sz w:val="24"/>
                <w:szCs w:val="24"/>
                <w:highlight w:val="none"/>
                <w:u w:val="single"/>
                <w:lang w:val="en-US" w:eastAsia="zh-CN"/>
              </w:rPr>
              <w:t>本次改建项目主体生产工艺不发生变化，主要新增铝箔轧机、铝箔清洗机、精密铝箔复卷机、真空退火炉等，改善设备关键技术指标并配套建设数据采集系统。引进或自主设计生产装备和工艺设备，提高生产装备的自动化、智能化水平，实现生产过程的自动化和信息化；增加倾动炉、中退炉、均热炉等提升原料配方和合金元素控制精准度、生产过程测量精准度，实现质量进一步提升。通过引进或自主设计并制造技术装备，提高电子铝箔的产品质量和性能，包括提高其力学性能、导电性能、耐腐蚀性能等，以满足高端电子产品对铝箔的更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主要流程如下：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1、板锭：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在倾动炉内加入精铝锭，进行点火熔化，倾动炉采用天然气为燃料进行加热，熔化成铝液。熔化完成后，采用搅拌器对铝液进行调温、搅拌。铝液成分调整完后，铝液进行铸造，完成板锭的生产。</w:t>
            </w:r>
            <w:r>
              <w:rPr>
                <w:rFonts w:hint="default" w:ascii="Times New Roman" w:hAnsi="Times New Roman" w:eastAsia="宋体" w:cs="Times New Roman"/>
                <w:color w:val="auto"/>
                <w:sz w:val="24"/>
                <w:szCs w:val="24"/>
                <w:lang w:eastAsia="zh-CN"/>
              </w:rPr>
              <w:t>该工序中</w:t>
            </w:r>
            <w:r>
              <w:rPr>
                <w:rFonts w:hint="default" w:ascii="Times New Roman" w:hAnsi="Times New Roman" w:cs="Times New Roman"/>
                <w:color w:val="auto"/>
                <w:sz w:val="24"/>
                <w:szCs w:val="24"/>
                <w:lang w:eastAsia="zh-CN"/>
              </w:rPr>
              <w:t>产污环节为倾动炉</w:t>
            </w:r>
            <w:r>
              <w:rPr>
                <w:rFonts w:hint="default" w:ascii="Times New Roman" w:hAnsi="Times New Roman" w:eastAsia="宋体" w:cs="Times New Roman"/>
                <w:color w:val="auto"/>
                <w:sz w:val="24"/>
                <w:szCs w:val="24"/>
                <w:lang w:eastAsia="zh-CN"/>
              </w:rPr>
              <w:t>废气、噪声</w:t>
            </w:r>
            <w:r>
              <w:rPr>
                <w:rFonts w:hint="default" w:ascii="Times New Roman" w:hAnsi="Times New Roman" w:cs="Times New Roman"/>
                <w:color w:val="auto"/>
                <w:sz w:val="24"/>
                <w:szCs w:val="24"/>
                <w:lang w:eastAsia="zh-CN"/>
              </w:rPr>
              <w:t>、炉渣</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板锭铣面：</w:t>
            </w:r>
            <w:r>
              <w:rPr>
                <w:rFonts w:hint="default" w:ascii="Times New Roman" w:hAnsi="Times New Roman" w:eastAsia="宋体" w:cs="Times New Roman"/>
                <w:color w:val="auto"/>
                <w:sz w:val="24"/>
                <w:szCs w:val="24"/>
              </w:rPr>
              <w:t>经过锯切的板锭在铣面机上铣面</w:t>
            </w:r>
            <w:r>
              <w:rPr>
                <w:rFonts w:hint="default" w:ascii="Times New Roman" w:hAnsi="Times New Roman" w:eastAsia="宋体" w:cs="Times New Roman"/>
                <w:color w:val="auto"/>
                <w:sz w:val="24"/>
                <w:szCs w:val="24"/>
                <w:lang w:eastAsia="zh-CN"/>
              </w:rPr>
              <w:t>。该工序</w:t>
            </w:r>
            <w:r>
              <w:rPr>
                <w:rFonts w:hint="default" w:ascii="Times New Roman" w:hAnsi="Times New Roman" w:cs="Times New Roman"/>
                <w:color w:val="auto"/>
                <w:sz w:val="24"/>
                <w:szCs w:val="24"/>
                <w:lang w:eastAsia="zh-CN"/>
              </w:rPr>
              <w:t>产污环节为噪声、</w:t>
            </w:r>
            <w:r>
              <w:rPr>
                <w:rFonts w:hint="default" w:ascii="Times New Roman" w:hAnsi="Times New Roman" w:eastAsia="宋体" w:cs="Times New Roman"/>
                <w:color w:val="auto"/>
                <w:sz w:val="24"/>
                <w:szCs w:val="24"/>
                <w:lang w:eastAsia="zh-CN"/>
              </w:rPr>
              <w:t>固废。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板锭均热：</w:t>
            </w:r>
            <w:r>
              <w:rPr>
                <w:rFonts w:hint="default" w:ascii="Times New Roman" w:hAnsi="Times New Roman" w:eastAsia="宋体" w:cs="Times New Roman"/>
                <w:color w:val="auto"/>
                <w:sz w:val="24"/>
                <w:szCs w:val="24"/>
              </w:rPr>
              <w:t>进入加热炉内均热（采用电加热），达到热轧温度后出炉</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轧制：板顶均热后</w:t>
            </w:r>
            <w:r>
              <w:rPr>
                <w:rFonts w:hint="default" w:ascii="Times New Roman" w:hAnsi="Times New Roman" w:eastAsia="宋体" w:cs="Times New Roman"/>
                <w:color w:val="auto"/>
                <w:sz w:val="24"/>
                <w:szCs w:val="24"/>
              </w:rPr>
              <w:t>至热轧机进行多</w:t>
            </w:r>
            <w:r>
              <w:rPr>
                <w:rFonts w:hint="default" w:ascii="Times New Roman" w:hAnsi="Times New Roman" w:eastAsia="宋体" w:cs="Times New Roman"/>
                <w:color w:val="auto"/>
                <w:sz w:val="24"/>
                <w:szCs w:val="24"/>
                <w:lang w:eastAsia="zh-CN"/>
              </w:rPr>
              <w:t>道</w:t>
            </w:r>
            <w:r>
              <w:rPr>
                <w:rFonts w:hint="default" w:ascii="Times New Roman" w:hAnsi="Times New Roman" w:eastAsia="宋体" w:cs="Times New Roman"/>
                <w:color w:val="auto"/>
                <w:sz w:val="24"/>
                <w:szCs w:val="24"/>
              </w:rPr>
              <w:t>次可逆轧制，轧制过程中根据工艺要求进行剪头去尾，</w:t>
            </w:r>
            <w:r>
              <w:rPr>
                <w:rFonts w:hint="default" w:ascii="Times New Roman" w:hAnsi="Times New Roman" w:eastAsia="宋体" w:cs="Times New Roman"/>
                <w:color w:val="auto"/>
                <w:sz w:val="24"/>
                <w:szCs w:val="24"/>
                <w:lang w:eastAsia="zh-CN"/>
              </w:rPr>
              <w:t>轧制</w:t>
            </w:r>
            <w:r>
              <w:rPr>
                <w:rFonts w:hint="default" w:ascii="Times New Roman" w:hAnsi="Times New Roman" w:eastAsia="宋体" w:cs="Times New Roman"/>
                <w:color w:val="auto"/>
                <w:sz w:val="24"/>
                <w:szCs w:val="24"/>
              </w:rPr>
              <w:t>工艺要求的厚度时进行卷取，再进行多个道次热轧即得到热轧卷坯。热轧卷坯进入冷轧轧制结束后，</w:t>
            </w:r>
            <w:r>
              <w:rPr>
                <w:rFonts w:hint="default" w:ascii="Times New Roman" w:hAnsi="Times New Roman" w:cs="Times New Roman"/>
                <w:color w:val="auto"/>
                <w:sz w:val="24"/>
                <w:szCs w:val="24"/>
                <w:lang w:eastAsia="zh-CN"/>
              </w:rPr>
              <w:t>冷轧结束后增加氢氧化钠溶液清洗工序，使用氢氧化钠溶液在循环水箱中进行</w:t>
            </w:r>
            <w:r>
              <w:rPr>
                <w:rFonts w:hint="default" w:ascii="Times New Roman" w:hAnsi="Times New Roman" w:eastAsia="宋体" w:cs="Times New Roman"/>
                <w:color w:val="auto"/>
                <w:sz w:val="24"/>
                <w:szCs w:val="24"/>
              </w:rPr>
              <w:t>清洗</w:t>
            </w:r>
            <w:r>
              <w:rPr>
                <w:rFonts w:hint="default" w:ascii="Times New Roman" w:hAnsi="Times New Roman" w:cs="Times New Roman"/>
                <w:color w:val="auto"/>
                <w:sz w:val="24"/>
                <w:szCs w:val="24"/>
                <w:lang w:eastAsia="zh-CN"/>
              </w:rPr>
              <w:t>，清洗后</w:t>
            </w:r>
            <w:r>
              <w:rPr>
                <w:rFonts w:hint="default" w:ascii="Times New Roman" w:hAnsi="Times New Roman" w:eastAsia="宋体" w:cs="Times New Roman"/>
                <w:color w:val="auto"/>
                <w:sz w:val="24"/>
                <w:szCs w:val="24"/>
              </w:rPr>
              <w:t>再进入箔轧机轧制，</w:t>
            </w:r>
            <w:r>
              <w:rPr>
                <w:rFonts w:hint="default" w:ascii="Times New Roman" w:hAnsi="Times New Roman" w:cs="Times New Roman"/>
                <w:color w:val="auto"/>
                <w:sz w:val="24"/>
                <w:szCs w:val="24"/>
                <w:lang w:eastAsia="zh-CN"/>
              </w:rPr>
              <w:t>箔轧结束后根据产品需求</w:t>
            </w:r>
            <w:r>
              <w:rPr>
                <w:rFonts w:hint="default" w:ascii="Times New Roman" w:hAnsi="Times New Roman" w:eastAsia="宋体" w:cs="Times New Roman"/>
                <w:color w:val="auto"/>
                <w:sz w:val="24"/>
                <w:szCs w:val="24"/>
                <w:highlight w:val="none"/>
                <w:lang w:eastAsia="zh-CN"/>
              </w:rPr>
              <w:t>采用清洗油进行清洗</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低压箔则直接进入箔轧机轧制</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该工序中</w:t>
            </w:r>
            <w:r>
              <w:rPr>
                <w:rFonts w:hint="default" w:ascii="Times New Roman" w:hAnsi="Times New Roman" w:cs="Times New Roman"/>
                <w:color w:val="auto"/>
                <w:sz w:val="24"/>
                <w:szCs w:val="24"/>
                <w:lang w:eastAsia="zh-CN"/>
              </w:rPr>
              <w:t>轧制过程</w:t>
            </w:r>
            <w:r>
              <w:rPr>
                <w:rFonts w:hint="default" w:ascii="Times New Roman" w:hAnsi="Times New Roman" w:eastAsia="宋体" w:cs="Times New Roman"/>
                <w:color w:val="auto"/>
                <w:sz w:val="24"/>
                <w:szCs w:val="24"/>
                <w:lang w:eastAsia="zh-CN"/>
              </w:rPr>
              <w:t>会产生油雾、废轧制油</w:t>
            </w:r>
            <w:r>
              <w:rPr>
                <w:rFonts w:hint="default" w:ascii="Times New Roman" w:hAnsi="Times New Roman" w:cs="Times New Roman"/>
                <w:color w:val="auto"/>
                <w:sz w:val="24"/>
                <w:szCs w:val="24"/>
                <w:lang w:eastAsia="zh-CN"/>
              </w:rPr>
              <w:t>、清洗废水、废乳液、废清洗油</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箔轧结束后，高压箔卷进入清洗工序，</w:t>
            </w:r>
            <w:r>
              <w:rPr>
                <w:rFonts w:hint="default" w:ascii="Times New Roman" w:hAnsi="Times New Roman" w:cs="Times New Roman"/>
                <w:color w:val="auto"/>
                <w:sz w:val="24"/>
                <w:szCs w:val="24"/>
                <w:lang w:eastAsia="zh-CN"/>
              </w:rPr>
              <w:t>清洗后采用蒸汽烘干，</w:t>
            </w:r>
            <w:r>
              <w:rPr>
                <w:rFonts w:hint="default" w:ascii="Times New Roman" w:hAnsi="Times New Roman" w:eastAsia="宋体" w:cs="Times New Roman"/>
                <w:color w:val="auto"/>
                <w:sz w:val="24"/>
                <w:szCs w:val="24"/>
              </w:rPr>
              <w:t>然后根据下游客户需求进行一次中间退火操作，去除轧制产生的应力</w:t>
            </w:r>
            <w:r>
              <w:rPr>
                <w:rFonts w:hint="default" w:ascii="Times New Roman" w:hAnsi="Times New Roman" w:cs="Times New Roman"/>
                <w:color w:val="auto"/>
                <w:sz w:val="24"/>
                <w:szCs w:val="24"/>
                <w:lang w:eastAsia="zh-CN"/>
              </w:rPr>
              <w:t>后再</w:t>
            </w:r>
            <w:r>
              <w:rPr>
                <w:rFonts w:hint="default" w:ascii="Times New Roman" w:hAnsi="Times New Roman" w:eastAsia="宋体" w:cs="Times New Roman"/>
                <w:color w:val="auto"/>
                <w:sz w:val="24"/>
                <w:szCs w:val="24"/>
              </w:rPr>
              <w:t>进行剪切及成品退火等工序，最后经过复卷检查，进行包装入库。</w:t>
            </w:r>
            <w:r>
              <w:rPr>
                <w:rFonts w:hint="default" w:ascii="Times New Roman" w:hAnsi="Times New Roman" w:eastAsia="宋体" w:cs="Times New Roman"/>
                <w:color w:val="auto"/>
                <w:sz w:val="24"/>
                <w:szCs w:val="24"/>
                <w:lang w:eastAsia="zh-CN"/>
              </w:rPr>
              <w:t>该工序中</w:t>
            </w:r>
            <w:r>
              <w:rPr>
                <w:rFonts w:hint="default" w:ascii="Times New Roman" w:hAnsi="Times New Roman" w:cs="Times New Roman"/>
                <w:color w:val="auto"/>
                <w:sz w:val="24"/>
                <w:szCs w:val="24"/>
                <w:lang w:eastAsia="zh-CN"/>
              </w:rPr>
              <w:t>轧制过程</w:t>
            </w:r>
            <w:r>
              <w:rPr>
                <w:rFonts w:hint="default" w:ascii="Times New Roman" w:hAnsi="Times New Roman" w:eastAsia="宋体" w:cs="Times New Roman"/>
                <w:color w:val="auto"/>
                <w:sz w:val="24"/>
                <w:szCs w:val="24"/>
                <w:lang w:eastAsia="zh-CN"/>
              </w:rPr>
              <w:t>会产生油雾</w:t>
            </w:r>
            <w:r>
              <w:rPr>
                <w:rFonts w:hint="default" w:ascii="Times New Roman" w:hAnsi="Times New Roman" w:cs="Times New Roman"/>
                <w:color w:val="auto"/>
                <w:sz w:val="24"/>
                <w:szCs w:val="24"/>
                <w:lang w:eastAsia="zh-CN"/>
              </w:rPr>
              <w:t>、废轧制油、废清洗油</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低压箔卷箔轧结束后，直接进入拉矫工序，然后根据下游客户需求进行剪切，剪切后直接进行包装入库。</w:t>
            </w:r>
          </w:p>
          <w:p>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产污环节：</w:t>
            </w:r>
          </w:p>
          <w:p>
            <w:pPr>
              <w:pStyle w:val="26"/>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运营期主要污染工序见下表：</w:t>
            </w:r>
          </w:p>
          <w:p>
            <w:pPr>
              <w:pStyle w:val="2"/>
              <w:bidi w:val="0"/>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lang w:eastAsia="zh-CN"/>
              </w:rPr>
              <w:t>本次</w:t>
            </w:r>
            <w:r>
              <w:rPr>
                <w:rFonts w:hint="eastAsia" w:ascii="Times New Roman" w:hAnsi="Times New Roman" w:cs="Times New Roman"/>
                <w:color w:val="auto"/>
                <w:sz w:val="24"/>
                <w:szCs w:val="24"/>
                <w:highlight w:val="none"/>
                <w:lang w:eastAsia="zh-CN"/>
              </w:rPr>
              <w:t>改建</w:t>
            </w:r>
            <w:r>
              <w:rPr>
                <w:rFonts w:hint="default" w:ascii="Times New Roman" w:hAnsi="Times New Roman" w:cs="Times New Roman"/>
                <w:color w:val="auto"/>
                <w:sz w:val="24"/>
                <w:szCs w:val="24"/>
                <w:highlight w:val="none"/>
                <w:lang w:eastAsia="zh-CN"/>
              </w:rPr>
              <w:t>项目</w:t>
            </w:r>
            <w:r>
              <w:rPr>
                <w:rFonts w:hint="default" w:ascii="Times New Roman" w:hAnsi="Times New Roman" w:cs="Times New Roman"/>
                <w:color w:val="auto"/>
                <w:sz w:val="24"/>
                <w:szCs w:val="24"/>
                <w:highlight w:val="none"/>
              </w:rPr>
              <w:t>营运期主要污染工序</w:t>
            </w:r>
          </w:p>
          <w:tbl>
            <w:tblPr>
              <w:tblStyle w:val="28"/>
              <w:tblW w:w="7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906"/>
              <w:gridCol w:w="2391"/>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spacing w:line="240"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污染因素</w:t>
                  </w:r>
                </w:p>
              </w:tc>
              <w:tc>
                <w:tcPr>
                  <w:tcW w:w="1906" w:type="dxa"/>
                  <w:vAlign w:val="center"/>
                </w:tcPr>
                <w:p>
                  <w:pPr>
                    <w:spacing w:line="240" w:lineRule="auto"/>
                    <w:jc w:val="center"/>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rPr>
                    <w:t>产污环节</w:t>
                  </w:r>
                </w:p>
              </w:tc>
              <w:tc>
                <w:tcPr>
                  <w:tcW w:w="2391" w:type="dxa"/>
                  <w:vAlign w:val="center"/>
                </w:tcPr>
                <w:p>
                  <w:pPr>
                    <w:spacing w:line="240" w:lineRule="auto"/>
                    <w:jc w:val="center"/>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主要污染物</w:t>
                  </w:r>
                </w:p>
              </w:tc>
              <w:tc>
                <w:tcPr>
                  <w:tcW w:w="2850" w:type="dxa"/>
                  <w:vAlign w:val="center"/>
                </w:tcPr>
                <w:p>
                  <w:pPr>
                    <w:spacing w:line="240"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lang w:eastAsia="zh-CN"/>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69" w:type="dxa"/>
                  <w:vMerge w:val="restart"/>
                  <w:vAlign w:val="center"/>
                </w:tcPr>
                <w:p>
                  <w:pPr>
                    <w:spacing w:line="240" w:lineRule="auto"/>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废气</w:t>
                  </w:r>
                </w:p>
              </w:tc>
              <w:tc>
                <w:tcPr>
                  <w:tcW w:w="1906" w:type="dxa"/>
                  <w:tcBorders>
                    <w:bottom w:val="single" w:color="auto" w:sz="4" w:space="0"/>
                  </w:tcBorders>
                  <w:vAlign w:val="center"/>
                </w:tcPr>
                <w:p>
                  <w:pPr>
                    <w:spacing w:line="240" w:lineRule="auto"/>
                    <w:ind w:firstLine="0" w:firstLineChars="0"/>
                    <w:jc w:val="center"/>
                    <w:rPr>
                      <w:rFonts w:hint="default" w:ascii="Times New Roman" w:hAnsi="Times New Roman" w:cs="Times New Roman"/>
                      <w:b w:val="0"/>
                      <w:bCs/>
                      <w:color w:val="auto"/>
                      <w:sz w:val="21"/>
                      <w:szCs w:val="21"/>
                      <w:u w:val="none"/>
                      <w:lang w:val="en-US"/>
                    </w:rPr>
                  </w:pPr>
                  <w:r>
                    <w:rPr>
                      <w:rFonts w:hint="default" w:ascii="Times New Roman" w:hAnsi="Times New Roman" w:cs="Times New Roman"/>
                      <w:b w:val="0"/>
                      <w:bCs w:val="0"/>
                      <w:color w:val="auto"/>
                      <w:sz w:val="21"/>
                      <w:szCs w:val="21"/>
                      <w:highlight w:val="none"/>
                      <w:u w:val="none"/>
                      <w:lang w:eastAsia="zh-CN"/>
                    </w:rPr>
                    <w:t>倾动炉废气</w:t>
                  </w:r>
                </w:p>
              </w:tc>
              <w:tc>
                <w:tcPr>
                  <w:tcW w:w="2391" w:type="dxa"/>
                  <w:tcBorders>
                    <w:bottom w:val="single" w:color="auto" w:sz="4" w:space="0"/>
                  </w:tcBorders>
                  <w:vAlign w:val="center"/>
                </w:tcPr>
                <w:p>
                  <w:pPr>
                    <w:spacing w:line="240" w:lineRule="auto"/>
                    <w:ind w:firstLine="0" w:firstLineChars="0"/>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eastAsia="zh-CN"/>
                    </w:rPr>
                    <w:t>颗粒物、氮氧化物、二氧化硫、铅及其化合物</w:t>
                  </w:r>
                </w:p>
              </w:tc>
              <w:tc>
                <w:tcPr>
                  <w:tcW w:w="2850" w:type="dxa"/>
                  <w:tcBorders>
                    <w:bottom w:val="single" w:color="auto" w:sz="4" w:space="0"/>
                  </w:tcBorders>
                  <w:vAlign w:val="center"/>
                </w:tcPr>
                <w:p>
                  <w:pPr>
                    <w:spacing w:line="240" w:lineRule="auto"/>
                    <w:ind w:firstLine="0" w:firstLineChars="0"/>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val="en-US" w:eastAsia="zh-CN"/>
                    </w:rPr>
                    <w:t>袋式除尘器处理后由20m高排气筒排放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669" w:type="dxa"/>
                  <w:vMerge w:val="continue"/>
                  <w:vAlign w:val="center"/>
                </w:tcPr>
                <w:p>
                  <w:pPr>
                    <w:spacing w:line="240" w:lineRule="auto"/>
                    <w:jc w:val="center"/>
                    <w:rPr>
                      <w:rFonts w:hint="default" w:ascii="Times New Roman" w:hAnsi="Times New Roman" w:cs="Times New Roman"/>
                      <w:b w:val="0"/>
                      <w:bCs/>
                      <w:color w:val="auto"/>
                      <w:sz w:val="21"/>
                      <w:szCs w:val="21"/>
                      <w:u w:val="none"/>
                    </w:rPr>
                  </w:pPr>
                </w:p>
              </w:tc>
              <w:tc>
                <w:tcPr>
                  <w:tcW w:w="1906" w:type="dxa"/>
                  <w:tcBorders>
                    <w:bottom w:val="single" w:color="000000" w:sz="4" w:space="0"/>
                  </w:tcBorders>
                  <w:vAlign w:val="center"/>
                </w:tcPr>
                <w:p>
                  <w:pPr>
                    <w:spacing w:line="240" w:lineRule="auto"/>
                    <w:ind w:firstLine="0" w:firstLineChars="0"/>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eastAsia="zh-CN"/>
                    </w:rPr>
                    <w:t>轧制（箔轧）过程产生的废气</w:t>
                  </w:r>
                </w:p>
              </w:tc>
              <w:tc>
                <w:tcPr>
                  <w:tcW w:w="2391" w:type="dxa"/>
                  <w:tcBorders>
                    <w:bottom w:val="single" w:color="000000" w:sz="4" w:space="0"/>
                  </w:tcBorders>
                  <w:vAlign w:val="center"/>
                </w:tcPr>
                <w:p>
                  <w:pPr>
                    <w:spacing w:line="240" w:lineRule="auto"/>
                    <w:ind w:firstLine="0" w:firstLineChars="0"/>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eastAsia="zh-CN"/>
                    </w:rPr>
                    <w:t>非甲烷总烃</w:t>
                  </w:r>
                </w:p>
              </w:tc>
              <w:tc>
                <w:tcPr>
                  <w:tcW w:w="2850" w:type="dxa"/>
                  <w:tcBorders>
                    <w:bottom w:val="single" w:color="000000" w:sz="4" w:space="0"/>
                  </w:tcBorders>
                  <w:vAlign w:val="center"/>
                </w:tcPr>
                <w:p>
                  <w:pPr>
                    <w:spacing w:line="240" w:lineRule="auto"/>
                    <w:ind w:firstLine="0" w:firstLineChars="0"/>
                    <w:jc w:val="center"/>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油雾净化装置</w:t>
                  </w:r>
                  <w:r>
                    <w:rPr>
                      <w:rFonts w:hint="eastAsia" w:ascii="Times New Roman" w:hAnsi="Times New Roman" w:cs="Times New Roman"/>
                      <w:b w:val="0"/>
                      <w:bCs w:val="0"/>
                      <w:color w:val="auto"/>
                      <w:sz w:val="21"/>
                      <w:szCs w:val="21"/>
                      <w:highlight w:val="none"/>
                      <w:u w:val="none"/>
                      <w:lang w:val="en-US" w:eastAsia="zh-CN"/>
                    </w:rPr>
                    <w:t>+20m高排气筒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69" w:type="dxa"/>
                  <w:vAlign w:val="center"/>
                </w:tcPr>
                <w:p>
                  <w:pPr>
                    <w:spacing w:line="240"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废水</w:t>
                  </w:r>
                </w:p>
              </w:tc>
              <w:tc>
                <w:tcPr>
                  <w:tcW w:w="7147" w:type="dxa"/>
                  <w:gridSpan w:val="3"/>
                  <w:vAlign w:val="center"/>
                </w:tcPr>
                <w:p>
                  <w:pPr>
                    <w:spacing w:line="240" w:lineRule="auto"/>
                    <w:ind w:firstLine="0" w:firstLineChars="0"/>
                    <w:jc w:val="center"/>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rPr>
                    <w:t>本次</w:t>
                  </w:r>
                  <w:r>
                    <w:rPr>
                      <w:rFonts w:hint="eastAsia" w:ascii="Times New Roman" w:hAnsi="Times New Roman" w:cs="Times New Roman"/>
                      <w:color w:val="auto"/>
                      <w:sz w:val="21"/>
                      <w:szCs w:val="21"/>
                      <w:highlight w:val="none"/>
                      <w:lang w:eastAsia="zh-CN"/>
                    </w:rPr>
                    <w:t>改建</w:t>
                  </w:r>
                  <w:r>
                    <w:rPr>
                      <w:rFonts w:hint="default" w:ascii="Times New Roman" w:hAnsi="Times New Roman" w:cs="Times New Roman"/>
                      <w:color w:val="auto"/>
                      <w:sz w:val="21"/>
                      <w:szCs w:val="21"/>
                      <w:highlight w:val="none"/>
                    </w:rPr>
                    <w:t>项目</w:t>
                  </w:r>
                  <w:r>
                    <w:rPr>
                      <w:rFonts w:hint="eastAsia" w:ascii="Times New Roman" w:hAnsi="Times New Roman" w:cs="Times New Roman"/>
                      <w:color w:val="auto"/>
                      <w:sz w:val="21"/>
                      <w:szCs w:val="21"/>
                      <w:highlight w:val="none"/>
                      <w:lang w:val="en-US" w:eastAsia="zh-CN"/>
                    </w:rPr>
                    <w:t>不新增污水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 w:type="dxa"/>
                  <w:vAlign w:val="center"/>
                </w:tcPr>
                <w:p>
                  <w:pPr>
                    <w:spacing w:line="240"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固废</w:t>
                  </w:r>
                </w:p>
              </w:tc>
              <w:tc>
                <w:tcPr>
                  <w:tcW w:w="7147" w:type="dxa"/>
                  <w:gridSpan w:val="3"/>
                  <w:vAlign w:val="center"/>
                </w:tcPr>
                <w:p>
                  <w:pPr>
                    <w:spacing w:line="240" w:lineRule="auto"/>
                    <w:ind w:firstLine="0" w:firstLineChars="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固废主要为除尘器收尘、</w:t>
                  </w:r>
                  <w:r>
                    <w:rPr>
                      <w:rFonts w:hint="eastAsia" w:ascii="Times New Roman" w:hAnsi="Times New Roman" w:cs="Times New Roman"/>
                      <w:color w:val="auto"/>
                      <w:sz w:val="21"/>
                      <w:szCs w:val="21"/>
                      <w:highlight w:val="none"/>
                      <w:lang w:eastAsia="zh-CN"/>
                    </w:rPr>
                    <w:t>废轧制油及沾染物、废硅藻土、</w:t>
                  </w:r>
                  <w:r>
                    <w:rPr>
                      <w:rFonts w:hint="eastAsia" w:ascii="Times New Roman" w:hAnsi="Times New Roman" w:cs="Times New Roman"/>
                      <w:color w:val="auto"/>
                      <w:sz w:val="21"/>
                      <w:szCs w:val="21"/>
                      <w:highlight w:val="none"/>
                      <w:lang w:val="en-US" w:eastAsia="zh-CN"/>
                    </w:rPr>
                    <w:t>油雾净化器废油脂</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eastAsia="zh-CN"/>
                    </w:rPr>
                    <w:t>除尘器收尘、</w:t>
                  </w:r>
                  <w:r>
                    <w:rPr>
                      <w:rFonts w:hint="eastAsia" w:ascii="Times New Roman" w:hAnsi="Times New Roman" w:cs="Times New Roman"/>
                      <w:color w:val="auto"/>
                      <w:sz w:val="21"/>
                      <w:szCs w:val="21"/>
                      <w:highlight w:val="none"/>
                      <w:lang w:val="en-US" w:eastAsia="zh-CN"/>
                    </w:rPr>
                    <w:t>废</w:t>
                  </w:r>
                  <w:r>
                    <w:rPr>
                      <w:rFonts w:hint="default" w:ascii="Times New Roman" w:hAnsi="Times New Roman" w:cs="Times New Roman"/>
                      <w:color w:val="auto"/>
                      <w:sz w:val="21"/>
                      <w:szCs w:val="21"/>
                      <w:highlight w:val="none"/>
                      <w:lang w:eastAsia="zh-CN"/>
                    </w:rPr>
                    <w:t>硅藻土、废轧制油</w:t>
                  </w:r>
                  <w:r>
                    <w:rPr>
                      <w:rFonts w:hint="eastAsia" w:ascii="Times New Roman" w:hAnsi="Times New Roman" w:cs="Times New Roman"/>
                      <w:color w:val="auto"/>
                      <w:sz w:val="21"/>
                      <w:szCs w:val="21"/>
                      <w:highlight w:val="none"/>
                      <w:lang w:eastAsia="zh-CN"/>
                    </w:rPr>
                    <w:t>、油雾净化器产生的废油脂</w:t>
                  </w:r>
                  <w:r>
                    <w:rPr>
                      <w:rFonts w:hint="default" w:ascii="Times New Roman" w:hAnsi="Times New Roman" w:cs="Times New Roman"/>
                      <w:color w:val="auto"/>
                      <w:sz w:val="21"/>
                      <w:szCs w:val="21"/>
                      <w:highlight w:val="none"/>
                      <w:lang w:eastAsia="zh-CN"/>
                    </w:rPr>
                    <w:t>分别交由相应资质单位处理</w:t>
                  </w: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spacing w:line="240"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噪声</w:t>
                  </w:r>
                </w:p>
              </w:tc>
              <w:tc>
                <w:tcPr>
                  <w:tcW w:w="7147" w:type="dxa"/>
                  <w:gridSpan w:val="3"/>
                  <w:vAlign w:val="center"/>
                </w:tcPr>
                <w:p>
                  <w:pPr>
                    <w:spacing w:line="240" w:lineRule="auto"/>
                    <w:jc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主要噪声源为生产设备</w:t>
                  </w:r>
                </w:p>
              </w:tc>
            </w:tr>
          </w:tbl>
          <w:p>
            <w:pPr>
              <w:pStyle w:val="18"/>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tcPr>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与</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项</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目</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有</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关</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的</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原</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有</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环</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境</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污</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染</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问</w:t>
            </w:r>
          </w:p>
          <w:p>
            <w:pPr>
              <w:pStyle w:val="18"/>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题</w:t>
            </w:r>
          </w:p>
        </w:tc>
        <w:tc>
          <w:tcPr>
            <w:tcW w:w="8134" w:type="dxa"/>
          </w:tcPr>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河南科源电子铝箔有限公司</w:t>
            </w:r>
            <w:r>
              <w:rPr>
                <w:rFonts w:hint="default" w:ascii="Times New Roman" w:hAnsi="Times New Roman" w:cs="Times New Roman"/>
                <w:color w:val="auto"/>
                <w:sz w:val="24"/>
                <w:szCs w:val="24"/>
                <w:lang w:val="en-US" w:eastAsia="zh-CN"/>
              </w:rPr>
              <w:t>由商丘金汇铝电有限责任公司及河南神火铝电有限责任公司改制而来。原河南神火铝电有限责任公司于2008年3月进行了年产3万吨电子铝箔项目</w:t>
            </w:r>
            <w:r>
              <w:rPr>
                <w:rFonts w:hint="default" w:ascii="Times New Roman" w:hAnsi="Times New Roman" w:cs="Times New Roman"/>
                <w:color w:val="auto"/>
                <w:sz w:val="24"/>
                <w:szCs w:val="24"/>
                <w:lang w:eastAsia="zh-CN"/>
              </w:rPr>
              <w:t>（</w:t>
            </w:r>
            <w:r>
              <w:rPr>
                <w:rFonts w:hint="default" w:ascii="Times New Roman" w:hAnsi="Times New Roman" w:cs="Times New Roman"/>
                <w:b w:val="0"/>
                <w:bCs w:val="0"/>
                <w:color w:val="auto"/>
                <w:sz w:val="24"/>
                <w:szCs w:val="24"/>
                <w:u w:val="none"/>
                <w:lang w:eastAsia="zh-CN"/>
              </w:rPr>
              <w:t>批复文号为商环审〔</w:t>
            </w:r>
            <w:r>
              <w:rPr>
                <w:rFonts w:hint="default" w:ascii="Times New Roman" w:hAnsi="Times New Roman" w:cs="Times New Roman"/>
                <w:b w:val="0"/>
                <w:bCs w:val="0"/>
                <w:color w:val="auto"/>
                <w:sz w:val="24"/>
                <w:szCs w:val="24"/>
                <w:u w:val="none"/>
                <w:lang w:val="en-US" w:eastAsia="zh-CN"/>
              </w:rPr>
              <w:t>2008</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224号</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；原商丘金汇铝电有限责任公司于2009年1月进行了年产3万吨电子铝箔坯料加工项目</w:t>
            </w:r>
            <w:r>
              <w:rPr>
                <w:rFonts w:hint="default" w:ascii="Times New Roman" w:hAnsi="Times New Roman" w:cs="Times New Roman"/>
                <w:color w:val="auto"/>
                <w:sz w:val="24"/>
                <w:szCs w:val="24"/>
                <w:lang w:eastAsia="zh-CN"/>
              </w:rPr>
              <w:t>（</w:t>
            </w:r>
            <w:r>
              <w:rPr>
                <w:rFonts w:hint="default" w:ascii="Times New Roman" w:hAnsi="Times New Roman" w:cs="Times New Roman"/>
                <w:b w:val="0"/>
                <w:bCs w:val="0"/>
                <w:color w:val="auto"/>
                <w:sz w:val="24"/>
                <w:szCs w:val="24"/>
                <w:u w:val="none"/>
                <w:lang w:eastAsia="zh-CN"/>
              </w:rPr>
              <w:t>批复文号为商环审〔</w:t>
            </w:r>
            <w:r>
              <w:rPr>
                <w:rFonts w:hint="default" w:ascii="Times New Roman" w:hAnsi="Times New Roman" w:cs="Times New Roman"/>
                <w:b w:val="0"/>
                <w:bCs w:val="0"/>
                <w:color w:val="auto"/>
                <w:sz w:val="24"/>
                <w:szCs w:val="24"/>
                <w:u w:val="none"/>
                <w:lang w:val="en-US" w:eastAsia="zh-CN"/>
              </w:rPr>
              <w:t>2009</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019号</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铝液作为原料，进行精铝的生产</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之后铸造成电子铝箔的坯料板锭</w:t>
            </w:r>
            <w:r>
              <w:rPr>
                <w:rFonts w:hint="default" w:ascii="Times New Roman" w:hAnsi="Times New Roman" w:cs="Times New Roman"/>
                <w:color w:val="auto"/>
                <w:sz w:val="24"/>
                <w:szCs w:val="24"/>
                <w:lang w:val="en-US" w:eastAsia="zh-CN"/>
              </w:rPr>
              <w:t>为3万吨电子铝箔提供原材料</w:t>
            </w:r>
            <w:r>
              <w:rPr>
                <w:rFonts w:hint="eastAsia" w:ascii="Times New Roman" w:hAnsi="Times New Roman" w:cs="Times New Roman"/>
                <w:color w:val="auto"/>
                <w:sz w:val="24"/>
                <w:szCs w:val="24"/>
                <w:lang w:val="en-US" w:eastAsia="zh-CN"/>
              </w:rPr>
              <w:t>，后续进行了相应的技改项目，具体如下。</w:t>
            </w:r>
          </w:p>
          <w:p>
            <w:pPr>
              <w:pStyle w:val="26"/>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1、现有工程履行环境影响评价、验收及排污许可情况。</w:t>
            </w:r>
          </w:p>
          <w:p>
            <w:pPr>
              <w:pStyle w:val="2"/>
              <w:spacing w:line="360" w:lineRule="auto"/>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sz w:val="24"/>
                <w:szCs w:val="24"/>
                <w:lang w:eastAsia="zh-CN"/>
              </w:rPr>
              <w:t>现有工程环保手续情况一览表</w:t>
            </w:r>
          </w:p>
          <w:tbl>
            <w:tblPr>
              <w:tblStyle w:val="27"/>
              <w:tblW w:w="4996" w:type="pct"/>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13" w:type="dxa"/>
                <w:left w:w="57" w:type="dxa"/>
                <w:bottom w:w="113" w:type="dxa"/>
                <w:right w:w="57" w:type="dxa"/>
              </w:tblCellMar>
            </w:tblPr>
            <w:tblGrid>
              <w:gridCol w:w="364"/>
              <w:gridCol w:w="2467"/>
              <w:gridCol w:w="786"/>
              <w:gridCol w:w="1273"/>
              <w:gridCol w:w="767"/>
              <w:gridCol w:w="1124"/>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284" w:hRule="atLeast"/>
              </w:trPr>
              <w:tc>
                <w:tcPr>
                  <w:tcW w:w="230"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rPr>
                    <w:t>序号</w:t>
                  </w:r>
                </w:p>
              </w:tc>
              <w:tc>
                <w:tcPr>
                  <w:tcW w:w="1560"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rPr>
                    <w:t>工程名称</w:t>
                  </w:r>
                </w:p>
              </w:tc>
              <w:tc>
                <w:tcPr>
                  <w:tcW w:w="497"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rPr>
                    <w:t>环评批复时间</w:t>
                  </w:r>
                </w:p>
              </w:tc>
              <w:tc>
                <w:tcPr>
                  <w:tcW w:w="805"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rPr>
                    <w:t>环评批文</w:t>
                  </w:r>
                </w:p>
              </w:tc>
              <w:tc>
                <w:tcPr>
                  <w:tcW w:w="485"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rPr>
                    <w:t>环保验收时间</w:t>
                  </w:r>
                </w:p>
              </w:tc>
              <w:tc>
                <w:tcPr>
                  <w:tcW w:w="711" w:type="pct"/>
                  <w:tcBorders>
                    <w:tl2br w:val="nil"/>
                    <w:tr2bl w:val="nil"/>
                  </w:tcBorders>
                  <w:vAlign w:val="center"/>
                </w:tcPr>
                <w:p>
                  <w:pPr>
                    <w:pStyle w:val="63"/>
                    <w:rPr>
                      <w:rFonts w:hint="eastAsia" w:ascii="Times New Roman" w:hAnsi="Times New Roman" w:eastAsia="宋体" w:cs="Times New Roman"/>
                      <w:b w:val="0"/>
                      <w:bCs w:val="0"/>
                      <w:highlight w:val="none"/>
                      <w:u w:val="none"/>
                      <w:lang w:val="en-US" w:eastAsia="zh-CN"/>
                    </w:rPr>
                  </w:pPr>
                  <w:r>
                    <w:rPr>
                      <w:rFonts w:hint="default" w:ascii="Times New Roman" w:hAnsi="Times New Roman" w:cs="Times New Roman"/>
                      <w:b w:val="0"/>
                      <w:bCs w:val="0"/>
                      <w:highlight w:val="none"/>
                      <w:u w:val="none"/>
                    </w:rPr>
                    <w:t>验收</w:t>
                  </w:r>
                  <w:r>
                    <w:rPr>
                      <w:rFonts w:hint="eastAsia" w:cs="Times New Roman"/>
                      <w:b w:val="0"/>
                      <w:bCs w:val="0"/>
                      <w:highlight w:val="none"/>
                      <w:u w:val="none"/>
                      <w:lang w:val="en-US" w:eastAsia="zh-CN"/>
                    </w:rPr>
                    <w:t>文件</w:t>
                  </w:r>
                </w:p>
              </w:tc>
              <w:tc>
                <w:tcPr>
                  <w:tcW w:w="709" w:type="pct"/>
                  <w:tcBorders>
                    <w:tl2br w:val="nil"/>
                    <w:tr2bl w:val="nil"/>
                  </w:tcBorders>
                  <w:vAlign w:val="center"/>
                </w:tcPr>
                <w:p>
                  <w:pPr>
                    <w:pStyle w:val="63"/>
                    <w:rPr>
                      <w:rFonts w:hint="eastAsia" w:ascii="Times New Roman" w:hAnsi="Times New Roman" w:eastAsia="宋体" w:cs="Times New Roman"/>
                      <w:b w:val="0"/>
                      <w:bCs w:val="0"/>
                      <w:highlight w:val="none"/>
                      <w:u w:val="none"/>
                      <w:lang w:val="en-US" w:eastAsia="zh-CN"/>
                    </w:rPr>
                  </w:pPr>
                  <w:r>
                    <w:rPr>
                      <w:rFonts w:hint="eastAsia" w:cs="Times New Roman"/>
                      <w:b w:val="0"/>
                      <w:bCs w:val="0"/>
                      <w:highlight w:val="none"/>
                      <w:u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1207" w:hRule="atLeast"/>
              </w:trPr>
              <w:tc>
                <w:tcPr>
                  <w:tcW w:w="230"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rPr>
                    <w:t>1</w:t>
                  </w:r>
                </w:p>
              </w:tc>
              <w:tc>
                <w:tcPr>
                  <w:tcW w:w="1560" w:type="pct"/>
                  <w:tcBorders>
                    <w:tl2br w:val="nil"/>
                    <w:tr2bl w:val="nil"/>
                  </w:tcBorders>
                  <w:vAlign w:val="center"/>
                </w:tcPr>
                <w:p>
                  <w:pPr>
                    <w:bidi w:val="0"/>
                    <w:jc w:val="center"/>
                    <w:rPr>
                      <w:rFonts w:hint="default" w:ascii="Times New Roman" w:hAnsi="Times New Roman" w:cs="Times New Roman"/>
                      <w:b w:val="0"/>
                      <w:bCs w:val="0"/>
                      <w:highlight w:val="none"/>
                      <w:u w:val="none"/>
                    </w:rPr>
                  </w:pPr>
                  <w:r>
                    <w:rPr>
                      <w:rFonts w:hint="default"/>
                    </w:rPr>
                    <w:t>河南科源电子铝箔有限公司</w:t>
                  </w:r>
                  <w:r>
                    <w:rPr>
                      <w:rFonts w:hint="default"/>
                      <w:lang w:eastAsia="zh-CN"/>
                    </w:rPr>
                    <w:t>（原</w:t>
                  </w:r>
                  <w:r>
                    <w:rPr>
                      <w:rFonts w:hint="default"/>
                      <w:lang w:val="en-US" w:eastAsia="zh-CN"/>
                    </w:rPr>
                    <w:t>河南神火铝电有限责任公司</w:t>
                  </w:r>
                  <w:r>
                    <w:rPr>
                      <w:rFonts w:hint="default"/>
                      <w:lang w:eastAsia="zh-CN"/>
                    </w:rPr>
                    <w:t>）</w:t>
                  </w:r>
                  <w:r>
                    <w:rPr>
                      <w:rFonts w:hint="default"/>
                    </w:rPr>
                    <w:t>年产3万吨电子铝箔项目</w:t>
                  </w:r>
                </w:p>
              </w:tc>
              <w:tc>
                <w:tcPr>
                  <w:tcW w:w="497" w:type="pct"/>
                  <w:tcBorders>
                    <w:tl2br w:val="nil"/>
                    <w:tr2bl w:val="nil"/>
                  </w:tcBorders>
                  <w:vAlign w:val="center"/>
                </w:tcPr>
                <w:p>
                  <w:pPr>
                    <w:pStyle w:val="63"/>
                    <w:rPr>
                      <w:rFonts w:hint="default" w:ascii="Times New Roman" w:hAnsi="Times New Roman" w:cs="Times New Roman"/>
                      <w:b w:val="0"/>
                      <w:bCs w:val="0"/>
                      <w:highlight w:val="none"/>
                      <w:u w:val="none"/>
                      <w:lang w:val="en-US" w:eastAsia="zh-CN"/>
                    </w:rPr>
                  </w:pPr>
                  <w:r>
                    <w:rPr>
                      <w:rFonts w:hint="default" w:ascii="Times New Roman" w:hAnsi="Times New Roman" w:cs="Times New Roman"/>
                      <w:b w:val="0"/>
                      <w:bCs w:val="0"/>
                      <w:highlight w:val="none"/>
                      <w:u w:val="none"/>
                    </w:rPr>
                    <w:t>20</w:t>
                  </w:r>
                  <w:r>
                    <w:rPr>
                      <w:rFonts w:hint="default" w:ascii="Times New Roman" w:hAnsi="Times New Roman" w:cs="Times New Roman"/>
                      <w:b w:val="0"/>
                      <w:bCs w:val="0"/>
                      <w:highlight w:val="none"/>
                      <w:u w:val="none"/>
                      <w:lang w:val="en-US" w:eastAsia="zh-CN"/>
                    </w:rPr>
                    <w:t>08</w:t>
                  </w:r>
                  <w:r>
                    <w:rPr>
                      <w:rFonts w:hint="default" w:ascii="Times New Roman" w:hAnsi="Times New Roman" w:cs="Times New Roman"/>
                      <w:b w:val="0"/>
                      <w:bCs w:val="0"/>
                      <w:highlight w:val="none"/>
                      <w:u w:val="none"/>
                    </w:rPr>
                    <w:t>年</w:t>
                  </w:r>
                  <w:r>
                    <w:rPr>
                      <w:rFonts w:hint="default" w:ascii="Times New Roman" w:hAnsi="Times New Roman" w:cs="Times New Roman"/>
                      <w:b w:val="0"/>
                      <w:bCs w:val="0"/>
                      <w:highlight w:val="none"/>
                      <w:u w:val="none"/>
                      <w:lang w:val="en-US" w:eastAsia="zh-CN"/>
                    </w:rPr>
                    <w:t>6</w:t>
                  </w:r>
                  <w:r>
                    <w:rPr>
                      <w:rFonts w:hint="default" w:ascii="Times New Roman" w:hAnsi="Times New Roman" w:cs="Times New Roman"/>
                      <w:b w:val="0"/>
                      <w:bCs w:val="0"/>
                      <w:highlight w:val="none"/>
                      <w:u w:val="none"/>
                    </w:rPr>
                    <w:t>月</w:t>
                  </w:r>
                  <w:r>
                    <w:rPr>
                      <w:rFonts w:hint="default" w:ascii="Times New Roman" w:hAnsi="Times New Roman" w:cs="Times New Roman"/>
                      <w:b w:val="0"/>
                      <w:bCs w:val="0"/>
                      <w:highlight w:val="none"/>
                      <w:u w:val="none"/>
                      <w:lang w:val="en-US" w:eastAsia="zh-CN"/>
                    </w:rPr>
                    <w:t>3日</w:t>
                  </w:r>
                </w:p>
              </w:tc>
              <w:tc>
                <w:tcPr>
                  <w:tcW w:w="805"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lang w:eastAsia="zh-CN"/>
                    </w:rPr>
                    <w:t>商环审〔</w:t>
                  </w:r>
                  <w:r>
                    <w:rPr>
                      <w:rFonts w:hint="default" w:ascii="Times New Roman" w:hAnsi="Times New Roman" w:cs="Times New Roman"/>
                      <w:b w:val="0"/>
                      <w:bCs w:val="0"/>
                      <w:highlight w:val="none"/>
                      <w:u w:val="none"/>
                      <w:lang w:val="en-US" w:eastAsia="zh-CN"/>
                    </w:rPr>
                    <w:t>2008</w:t>
                  </w:r>
                  <w:r>
                    <w:rPr>
                      <w:rFonts w:hint="default"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lang w:val="en-US" w:eastAsia="zh-CN"/>
                    </w:rPr>
                    <w:t>224号</w:t>
                  </w:r>
                </w:p>
              </w:tc>
              <w:tc>
                <w:tcPr>
                  <w:tcW w:w="485" w:type="pct"/>
                  <w:tcBorders>
                    <w:tl2br w:val="nil"/>
                    <w:tr2bl w:val="nil"/>
                  </w:tcBorders>
                  <w:vAlign w:val="center"/>
                </w:tcPr>
                <w:p>
                  <w:pPr>
                    <w:pStyle w:val="63"/>
                    <w:rPr>
                      <w:rFonts w:hint="default" w:ascii="Times New Roman" w:hAnsi="Times New Roman" w:cs="Times New Roman"/>
                      <w:b w:val="0"/>
                      <w:bCs w:val="0"/>
                      <w:highlight w:val="none"/>
                      <w:u w:val="none"/>
                      <w:lang w:val="en-US" w:eastAsia="zh-CN"/>
                    </w:rPr>
                  </w:pPr>
                  <w:r>
                    <w:rPr>
                      <w:rFonts w:hint="default" w:ascii="Times New Roman" w:hAnsi="Times New Roman" w:cs="Times New Roman"/>
                      <w:b w:val="0"/>
                      <w:bCs w:val="0"/>
                      <w:highlight w:val="none"/>
                      <w:u w:val="none"/>
                      <w:lang w:val="en-US" w:eastAsia="zh-CN"/>
                    </w:rPr>
                    <w:t>2010年12月6日</w:t>
                  </w:r>
                </w:p>
              </w:tc>
              <w:tc>
                <w:tcPr>
                  <w:tcW w:w="711" w:type="pct"/>
                  <w:tcBorders>
                    <w:tl2br w:val="nil"/>
                    <w:tr2bl w:val="nil"/>
                  </w:tcBorders>
                  <w:vAlign w:val="center"/>
                </w:tcPr>
                <w:p>
                  <w:pPr>
                    <w:pStyle w:val="63"/>
                    <w:rPr>
                      <w:rFonts w:hint="default" w:ascii="Times New Roman" w:hAnsi="Times New Roman" w:cs="Times New Roman"/>
                      <w:b w:val="0"/>
                      <w:bCs w:val="0"/>
                      <w:highlight w:val="none"/>
                      <w:u w:val="none"/>
                      <w:lang w:eastAsia="zh-CN"/>
                    </w:rPr>
                  </w:pPr>
                  <w:r>
                    <w:rPr>
                      <w:rFonts w:hint="default" w:ascii="Times New Roman" w:hAnsi="Times New Roman" w:cs="Times New Roman"/>
                      <w:b w:val="0"/>
                      <w:bCs w:val="0"/>
                      <w:highlight w:val="none"/>
                      <w:u w:val="none"/>
                      <w:lang w:val="en-US" w:eastAsia="zh-CN"/>
                    </w:rPr>
                    <w:t>商环验</w:t>
                  </w:r>
                  <w:r>
                    <w:rPr>
                      <w:rFonts w:hint="default"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lang w:val="en-US" w:eastAsia="zh-CN"/>
                    </w:rPr>
                    <w:t>2010</w:t>
                  </w:r>
                  <w:r>
                    <w:rPr>
                      <w:rFonts w:hint="default"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lang w:val="en-US" w:eastAsia="zh-CN"/>
                    </w:rPr>
                    <w:t>26号</w:t>
                  </w:r>
                </w:p>
              </w:tc>
              <w:tc>
                <w:tcPr>
                  <w:tcW w:w="709" w:type="pct"/>
                  <w:tcBorders>
                    <w:tl2br w:val="nil"/>
                    <w:tr2bl w:val="nil"/>
                  </w:tcBorders>
                  <w:vAlign w:val="center"/>
                </w:tcPr>
                <w:p>
                  <w:pPr>
                    <w:pStyle w:val="63"/>
                    <w:jc w:val="center"/>
                    <w:rPr>
                      <w:rFonts w:hint="default" w:ascii="Times New Roman" w:hAnsi="Times New Roman" w:cs="Times New Roman"/>
                      <w:b w:val="0"/>
                      <w:bCs w:val="0"/>
                      <w:highlight w:val="none"/>
                      <w:u w:val="none"/>
                      <w:lang w:val="en-US" w:eastAsia="zh-CN"/>
                    </w:rPr>
                  </w:pPr>
                  <w:r>
                    <w:rPr>
                      <w:rFonts w:hint="eastAsia" w:cs="Times New Roman"/>
                      <w:b w:val="0"/>
                      <w:bCs w:val="0"/>
                      <w:highlight w:val="none"/>
                      <w:u w:val="none"/>
                      <w:lang w:val="en-US" w:eastAsia="zh-CN"/>
                    </w:rPr>
                    <w:t>已建项目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284" w:hRule="atLeast"/>
              </w:trPr>
              <w:tc>
                <w:tcPr>
                  <w:tcW w:w="230"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rPr>
                    <w:t>2</w:t>
                  </w:r>
                </w:p>
              </w:tc>
              <w:tc>
                <w:tcPr>
                  <w:tcW w:w="1560" w:type="pct"/>
                  <w:tcBorders>
                    <w:tl2br w:val="nil"/>
                    <w:tr2bl w:val="nil"/>
                  </w:tcBorders>
                  <w:vAlign w:val="center"/>
                </w:tcPr>
                <w:p>
                  <w:pPr>
                    <w:pStyle w:val="63"/>
                    <w:rPr>
                      <w:rFonts w:hint="default" w:ascii="Times New Roman" w:hAnsi="Times New Roman" w:cs="Times New Roman"/>
                      <w:b w:val="0"/>
                      <w:bCs w:val="0"/>
                      <w:highlight w:val="none"/>
                      <w:u w:val="none"/>
                      <w:lang w:val="en-US"/>
                    </w:rPr>
                  </w:pPr>
                  <w:r>
                    <w:rPr>
                      <w:rFonts w:hint="default" w:ascii="Times New Roman" w:hAnsi="Times New Roman" w:cs="Times New Roman"/>
                      <w:b w:val="0"/>
                      <w:bCs w:val="0"/>
                      <w:highlight w:val="none"/>
                      <w:u w:val="none"/>
                    </w:rPr>
                    <w:t>河南科源电子铝箔有限公司</w:t>
                  </w:r>
                  <w:r>
                    <w:rPr>
                      <w:rFonts w:hint="default"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lang w:val="en-US" w:eastAsia="zh-CN"/>
                    </w:rPr>
                    <w:t>商丘金汇铝电有限责任公司</w:t>
                  </w:r>
                  <w:r>
                    <w:rPr>
                      <w:rFonts w:hint="default"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lang w:val="en-US" w:eastAsia="zh-CN"/>
                    </w:rPr>
                    <w:t>年产3万吨电子铝箔坯料加工项目</w:t>
                  </w:r>
                </w:p>
              </w:tc>
              <w:tc>
                <w:tcPr>
                  <w:tcW w:w="497" w:type="pct"/>
                  <w:tcBorders>
                    <w:tl2br w:val="nil"/>
                    <w:tr2bl w:val="nil"/>
                  </w:tcBorders>
                  <w:vAlign w:val="center"/>
                </w:tcPr>
                <w:p>
                  <w:pPr>
                    <w:pStyle w:val="63"/>
                    <w:rPr>
                      <w:rFonts w:hint="default" w:ascii="Times New Roman" w:hAnsi="Times New Roman" w:cs="Times New Roman"/>
                      <w:b w:val="0"/>
                      <w:bCs w:val="0"/>
                      <w:highlight w:val="none"/>
                      <w:u w:val="none"/>
                      <w:lang w:val="en-US" w:eastAsia="zh-CN"/>
                    </w:rPr>
                  </w:pPr>
                  <w:r>
                    <w:rPr>
                      <w:rFonts w:hint="default" w:ascii="Times New Roman" w:hAnsi="Times New Roman" w:cs="Times New Roman"/>
                      <w:b w:val="0"/>
                      <w:bCs w:val="0"/>
                      <w:highlight w:val="none"/>
                      <w:u w:val="none"/>
                    </w:rPr>
                    <w:t>20</w:t>
                  </w:r>
                  <w:r>
                    <w:rPr>
                      <w:rFonts w:hint="default" w:ascii="Times New Roman" w:hAnsi="Times New Roman" w:cs="Times New Roman"/>
                      <w:b w:val="0"/>
                      <w:bCs w:val="0"/>
                      <w:highlight w:val="none"/>
                      <w:u w:val="none"/>
                      <w:lang w:val="en-US" w:eastAsia="zh-CN"/>
                    </w:rPr>
                    <w:t>09</w:t>
                  </w:r>
                  <w:r>
                    <w:rPr>
                      <w:rFonts w:hint="default" w:ascii="Times New Roman" w:hAnsi="Times New Roman" w:cs="Times New Roman"/>
                      <w:b w:val="0"/>
                      <w:bCs w:val="0"/>
                      <w:highlight w:val="none"/>
                      <w:u w:val="none"/>
                    </w:rPr>
                    <w:t>年0</w:t>
                  </w:r>
                  <w:r>
                    <w:rPr>
                      <w:rFonts w:hint="default" w:ascii="Times New Roman" w:hAnsi="Times New Roman" w:cs="Times New Roman"/>
                      <w:b w:val="0"/>
                      <w:bCs w:val="0"/>
                      <w:highlight w:val="none"/>
                      <w:u w:val="none"/>
                      <w:lang w:val="en-US" w:eastAsia="zh-CN"/>
                    </w:rPr>
                    <w:t>2</w:t>
                  </w:r>
                  <w:r>
                    <w:rPr>
                      <w:rFonts w:hint="default" w:ascii="Times New Roman" w:hAnsi="Times New Roman" w:cs="Times New Roman"/>
                      <w:b w:val="0"/>
                      <w:bCs w:val="0"/>
                      <w:highlight w:val="none"/>
                      <w:u w:val="none"/>
                    </w:rPr>
                    <w:t>月</w:t>
                  </w:r>
                  <w:r>
                    <w:rPr>
                      <w:rFonts w:hint="default" w:ascii="Times New Roman" w:hAnsi="Times New Roman" w:cs="Times New Roman"/>
                      <w:b w:val="0"/>
                      <w:bCs w:val="0"/>
                      <w:highlight w:val="none"/>
                      <w:u w:val="none"/>
                      <w:lang w:val="en-US" w:eastAsia="zh-CN"/>
                    </w:rPr>
                    <w:t>6日</w:t>
                  </w:r>
                </w:p>
              </w:tc>
              <w:tc>
                <w:tcPr>
                  <w:tcW w:w="805"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lang w:eastAsia="zh-CN"/>
                    </w:rPr>
                    <w:t>商环审〔</w:t>
                  </w:r>
                  <w:r>
                    <w:rPr>
                      <w:rFonts w:hint="default" w:ascii="Times New Roman" w:hAnsi="Times New Roman" w:cs="Times New Roman"/>
                      <w:b w:val="0"/>
                      <w:bCs w:val="0"/>
                      <w:highlight w:val="none"/>
                      <w:u w:val="none"/>
                      <w:lang w:val="en-US" w:eastAsia="zh-CN"/>
                    </w:rPr>
                    <w:t>2009</w:t>
                  </w:r>
                  <w:r>
                    <w:rPr>
                      <w:rFonts w:hint="default"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lang w:val="en-US" w:eastAsia="zh-CN"/>
                    </w:rPr>
                    <w:t>019号</w:t>
                  </w:r>
                </w:p>
              </w:tc>
              <w:tc>
                <w:tcPr>
                  <w:tcW w:w="485"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rPr>
                    <w:t>/</w:t>
                  </w:r>
                </w:p>
              </w:tc>
              <w:tc>
                <w:tcPr>
                  <w:tcW w:w="711" w:type="pct"/>
                  <w:tcBorders>
                    <w:tl2br w:val="nil"/>
                    <w:tr2bl w:val="nil"/>
                  </w:tcBorders>
                  <w:vAlign w:val="center"/>
                </w:tcPr>
                <w:p>
                  <w:pPr>
                    <w:pStyle w:val="63"/>
                    <w:rPr>
                      <w:rFonts w:hint="eastAsia" w:cs="Times New Roman"/>
                      <w:b w:val="0"/>
                      <w:bCs w:val="0"/>
                      <w:highlight w:val="none"/>
                      <w:u w:val="none"/>
                      <w:lang w:val="en-US" w:eastAsia="zh-CN"/>
                    </w:rPr>
                  </w:pPr>
                  <w:r>
                    <w:rPr>
                      <w:rFonts w:hint="eastAsia" w:cs="Times New Roman"/>
                      <w:b w:val="0"/>
                      <w:bCs w:val="0"/>
                      <w:highlight w:val="none"/>
                      <w:u w:val="none"/>
                      <w:lang w:val="en-US" w:eastAsia="zh-CN"/>
                    </w:rPr>
                    <w:t>未投产，</w:t>
                  </w:r>
                </w:p>
                <w:p>
                  <w:pPr>
                    <w:pStyle w:val="63"/>
                    <w:rPr>
                      <w:rFonts w:hint="eastAsia" w:cs="Times New Roman"/>
                      <w:b w:val="0"/>
                      <w:bCs w:val="0"/>
                      <w:highlight w:val="none"/>
                      <w:u w:val="none"/>
                      <w:lang w:val="en-US" w:eastAsia="zh-CN"/>
                    </w:rPr>
                  </w:pPr>
                  <w:r>
                    <w:rPr>
                      <w:rFonts w:hint="eastAsia" w:cs="Times New Roman"/>
                      <w:b w:val="0"/>
                      <w:bCs w:val="0"/>
                      <w:highlight w:val="none"/>
                      <w:u w:val="none"/>
                      <w:lang w:val="en-US" w:eastAsia="zh-CN"/>
                    </w:rPr>
                    <w:t>不再建设，</w:t>
                  </w:r>
                </w:p>
                <w:p>
                  <w:pPr>
                    <w:pStyle w:val="63"/>
                    <w:rPr>
                      <w:rFonts w:hint="eastAsia" w:ascii="Times New Roman" w:hAnsi="Times New Roman" w:eastAsia="宋体" w:cs="Times New Roman"/>
                      <w:b w:val="0"/>
                      <w:bCs w:val="0"/>
                      <w:highlight w:val="none"/>
                      <w:u w:val="none"/>
                      <w:lang w:val="en-US" w:eastAsia="zh-CN"/>
                    </w:rPr>
                  </w:pPr>
                  <w:r>
                    <w:rPr>
                      <w:rFonts w:hint="default" w:ascii="Times New Roman" w:hAnsi="Times New Roman" w:cs="Times New Roman"/>
                      <w:b w:val="0"/>
                      <w:bCs w:val="0"/>
                      <w:highlight w:val="none"/>
                      <w:u w:val="none"/>
                      <w:lang w:eastAsia="zh-CN"/>
                    </w:rPr>
                    <w:t>未</w:t>
                  </w:r>
                  <w:r>
                    <w:rPr>
                      <w:rFonts w:hint="default" w:ascii="Times New Roman" w:hAnsi="Times New Roman" w:cs="Times New Roman"/>
                      <w:b w:val="0"/>
                      <w:bCs w:val="0"/>
                      <w:highlight w:val="none"/>
                      <w:u w:val="none"/>
                    </w:rPr>
                    <w:t>验收</w:t>
                  </w:r>
                </w:p>
              </w:tc>
              <w:tc>
                <w:tcPr>
                  <w:tcW w:w="709" w:type="pct"/>
                  <w:tcBorders>
                    <w:tl2br w:val="nil"/>
                    <w:tr2bl w:val="nil"/>
                  </w:tcBorders>
                  <w:vAlign w:val="center"/>
                </w:tcPr>
                <w:p>
                  <w:pPr>
                    <w:pStyle w:val="63"/>
                    <w:jc w:val="center"/>
                    <w:rPr>
                      <w:rFonts w:hint="default" w:ascii="Times New Roman" w:hAnsi="Times New Roman" w:cs="Times New Roman"/>
                      <w:b w:val="0"/>
                      <w:bCs w:val="0"/>
                      <w:highlight w:val="none"/>
                      <w:u w:val="none"/>
                      <w:lang w:eastAsia="zh-CN"/>
                    </w:rPr>
                  </w:pPr>
                  <w:r>
                    <w:rPr>
                      <w:rFonts w:hint="eastAsia" w:cs="Times New Roman"/>
                      <w:b w:val="0"/>
                      <w:bCs w:val="0"/>
                      <w:highlight w:val="none"/>
                      <w:u w:val="none"/>
                      <w:lang w:val="en-US" w:eastAsia="zh-CN"/>
                    </w:rPr>
                    <w:t>不再建设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284" w:hRule="atLeast"/>
              </w:trPr>
              <w:tc>
                <w:tcPr>
                  <w:tcW w:w="230"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rPr>
                    <w:t>3</w:t>
                  </w:r>
                </w:p>
              </w:tc>
              <w:tc>
                <w:tcPr>
                  <w:tcW w:w="1560"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rPr>
                    <w:t>河南科源电子铝箔有限公司1.5万吨产能提质增效技术改造项目</w:t>
                  </w:r>
                </w:p>
              </w:tc>
              <w:tc>
                <w:tcPr>
                  <w:tcW w:w="497"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lang w:val="en-US" w:eastAsia="zh-CN"/>
                    </w:rPr>
                    <w:t>2021年6月11日</w:t>
                  </w:r>
                </w:p>
              </w:tc>
              <w:tc>
                <w:tcPr>
                  <w:tcW w:w="805"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lang w:eastAsia="zh-CN"/>
                    </w:rPr>
                    <w:t>永环审〔</w:t>
                  </w:r>
                  <w:r>
                    <w:rPr>
                      <w:rFonts w:hint="default" w:ascii="Times New Roman" w:hAnsi="Times New Roman" w:cs="Times New Roman"/>
                      <w:b w:val="0"/>
                      <w:bCs w:val="0"/>
                      <w:highlight w:val="none"/>
                      <w:u w:val="none"/>
                      <w:lang w:val="en-US" w:eastAsia="zh-CN"/>
                    </w:rPr>
                    <w:t>2021</w:t>
                  </w:r>
                  <w:r>
                    <w:rPr>
                      <w:rFonts w:hint="default"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lang w:val="en-US" w:eastAsia="zh-CN"/>
                    </w:rPr>
                    <w:t>29号</w:t>
                  </w:r>
                </w:p>
              </w:tc>
              <w:tc>
                <w:tcPr>
                  <w:tcW w:w="485"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rPr>
                    <w:t>/</w:t>
                  </w:r>
                </w:p>
              </w:tc>
              <w:tc>
                <w:tcPr>
                  <w:tcW w:w="711"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eastAsia" w:cs="Times New Roman"/>
                      <w:b w:val="0"/>
                      <w:bCs w:val="0"/>
                      <w:highlight w:val="none"/>
                      <w:u w:val="none"/>
                      <w:lang w:val="en-US" w:eastAsia="zh-CN"/>
                    </w:rPr>
                    <w:t>已</w:t>
                  </w:r>
                  <w:r>
                    <w:rPr>
                      <w:rFonts w:hint="default" w:ascii="Times New Roman" w:hAnsi="Times New Roman" w:cs="Times New Roman"/>
                      <w:b w:val="0"/>
                      <w:bCs w:val="0"/>
                      <w:highlight w:val="none"/>
                      <w:u w:val="none"/>
                    </w:rPr>
                    <w:t>验收</w:t>
                  </w:r>
                </w:p>
              </w:tc>
              <w:tc>
                <w:tcPr>
                  <w:tcW w:w="709" w:type="pct"/>
                  <w:tcBorders>
                    <w:tl2br w:val="nil"/>
                    <w:tr2bl w:val="nil"/>
                  </w:tcBorders>
                  <w:vAlign w:val="center"/>
                </w:tcPr>
                <w:p>
                  <w:pPr>
                    <w:pStyle w:val="63"/>
                    <w:rPr>
                      <w:rFonts w:hint="default" w:ascii="Times New Roman" w:hAnsi="Times New Roman" w:cs="Times New Roman"/>
                      <w:b w:val="0"/>
                      <w:bCs w:val="0"/>
                      <w:highlight w:val="none"/>
                      <w:u w:val="none"/>
                      <w:lang w:eastAsia="zh-CN"/>
                    </w:rPr>
                  </w:pPr>
                  <w:r>
                    <w:rPr>
                      <w:rFonts w:hint="eastAsia" w:cs="Times New Roman"/>
                      <w:b w:val="0"/>
                      <w:bCs w:val="0"/>
                      <w:highlight w:val="none"/>
                      <w:u w:val="none"/>
                      <w:lang w:val="en-US" w:eastAsia="zh-CN"/>
                    </w:rPr>
                    <w:t>已建项目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90" w:hRule="atLeast"/>
              </w:trPr>
              <w:tc>
                <w:tcPr>
                  <w:tcW w:w="230"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rPr>
                    <w:t>4</w:t>
                  </w:r>
                </w:p>
              </w:tc>
              <w:tc>
                <w:tcPr>
                  <w:tcW w:w="1560"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rPr>
                    <w:t>河南科源电子铝箔有限公司</w:t>
                  </w:r>
                  <w:r>
                    <w:rPr>
                      <w:rFonts w:hint="default" w:ascii="Times New Roman" w:hAnsi="Times New Roman" w:cs="Times New Roman"/>
                      <w:b w:val="0"/>
                      <w:bCs w:val="0"/>
                      <w:highlight w:val="none"/>
                      <w:u w:val="none"/>
                      <w:lang w:val="en-US" w:eastAsia="zh-CN"/>
                    </w:rPr>
                    <w:t>3</w:t>
                  </w:r>
                  <w:r>
                    <w:rPr>
                      <w:rFonts w:hint="default" w:ascii="Times New Roman" w:hAnsi="Times New Roman" w:cs="Times New Roman"/>
                      <w:b w:val="0"/>
                      <w:bCs w:val="0"/>
                      <w:highlight w:val="none"/>
                      <w:u w:val="none"/>
                    </w:rPr>
                    <w:t>万吨产能提质增效技术改造项目</w:t>
                  </w:r>
                </w:p>
              </w:tc>
              <w:tc>
                <w:tcPr>
                  <w:tcW w:w="497"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lang w:val="en-US" w:eastAsia="zh-CN"/>
                    </w:rPr>
                    <w:t>2022年3月23日</w:t>
                  </w:r>
                </w:p>
              </w:tc>
              <w:tc>
                <w:tcPr>
                  <w:tcW w:w="805"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lang w:eastAsia="zh-CN"/>
                    </w:rPr>
                    <w:t>永环审〔</w:t>
                  </w:r>
                  <w:r>
                    <w:rPr>
                      <w:rFonts w:hint="default" w:ascii="Times New Roman" w:hAnsi="Times New Roman" w:cs="Times New Roman"/>
                      <w:b w:val="0"/>
                      <w:bCs w:val="0"/>
                      <w:highlight w:val="none"/>
                      <w:u w:val="none"/>
                      <w:lang w:val="en-US" w:eastAsia="zh-CN"/>
                    </w:rPr>
                    <w:t>2022</w:t>
                  </w:r>
                  <w:r>
                    <w:rPr>
                      <w:rFonts w:hint="default" w:ascii="Times New Roman" w:hAnsi="Times New Roman" w:cs="Times New Roman"/>
                      <w:b w:val="0"/>
                      <w:bCs w:val="0"/>
                      <w:highlight w:val="none"/>
                      <w:u w:val="none"/>
                      <w:lang w:eastAsia="zh-CN"/>
                    </w:rPr>
                    <w:t>〕</w:t>
                  </w:r>
                  <w:r>
                    <w:rPr>
                      <w:rFonts w:hint="default" w:ascii="Times New Roman" w:hAnsi="Times New Roman" w:cs="Times New Roman"/>
                      <w:b w:val="0"/>
                      <w:bCs w:val="0"/>
                      <w:highlight w:val="none"/>
                      <w:u w:val="none"/>
                      <w:lang w:val="en-US" w:eastAsia="zh-CN"/>
                    </w:rPr>
                    <w:t>11号</w:t>
                  </w:r>
                </w:p>
              </w:tc>
              <w:tc>
                <w:tcPr>
                  <w:tcW w:w="485"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rPr>
                    <w:t>/</w:t>
                  </w:r>
                </w:p>
              </w:tc>
              <w:tc>
                <w:tcPr>
                  <w:tcW w:w="711"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eastAsia" w:cs="Times New Roman"/>
                      <w:b w:val="0"/>
                      <w:bCs w:val="0"/>
                      <w:highlight w:val="none"/>
                      <w:u w:val="none"/>
                      <w:lang w:val="en-US" w:eastAsia="zh-CN"/>
                    </w:rPr>
                    <w:t>已</w:t>
                  </w:r>
                  <w:r>
                    <w:rPr>
                      <w:rFonts w:hint="default" w:ascii="Times New Roman" w:hAnsi="Times New Roman" w:cs="Times New Roman"/>
                      <w:b w:val="0"/>
                      <w:bCs w:val="0"/>
                      <w:highlight w:val="none"/>
                      <w:u w:val="none"/>
                    </w:rPr>
                    <w:t>验收</w:t>
                  </w:r>
                </w:p>
              </w:tc>
              <w:tc>
                <w:tcPr>
                  <w:tcW w:w="709" w:type="pct"/>
                  <w:tcBorders>
                    <w:tl2br w:val="nil"/>
                    <w:tr2bl w:val="nil"/>
                  </w:tcBorders>
                  <w:vAlign w:val="center"/>
                </w:tcPr>
                <w:p>
                  <w:pPr>
                    <w:pStyle w:val="63"/>
                    <w:rPr>
                      <w:rFonts w:hint="default" w:ascii="Times New Roman" w:hAnsi="Times New Roman" w:cs="Times New Roman"/>
                      <w:b w:val="0"/>
                      <w:bCs w:val="0"/>
                      <w:highlight w:val="none"/>
                      <w:u w:val="none"/>
                      <w:lang w:eastAsia="zh-CN"/>
                    </w:rPr>
                  </w:pPr>
                  <w:r>
                    <w:rPr>
                      <w:rFonts w:hint="eastAsia" w:cs="Times New Roman"/>
                      <w:b w:val="0"/>
                      <w:bCs w:val="0"/>
                      <w:highlight w:val="none"/>
                      <w:u w:val="none"/>
                      <w:lang w:val="en-US" w:eastAsia="zh-CN"/>
                    </w:rPr>
                    <w:t>已建项目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57" w:type="dxa"/>
                  <w:bottom w:w="113" w:type="dxa"/>
                  <w:right w:w="57" w:type="dxa"/>
                </w:tblCellMar>
              </w:tblPrEx>
              <w:trPr>
                <w:trHeight w:val="284" w:hRule="atLeast"/>
              </w:trPr>
              <w:tc>
                <w:tcPr>
                  <w:tcW w:w="230" w:type="pct"/>
                  <w:tcBorders>
                    <w:tl2br w:val="nil"/>
                    <w:tr2bl w:val="nil"/>
                  </w:tcBorders>
                  <w:vAlign w:val="center"/>
                </w:tcPr>
                <w:p>
                  <w:pPr>
                    <w:pStyle w:val="63"/>
                    <w:rPr>
                      <w:rFonts w:hint="default" w:ascii="Times New Roman" w:hAnsi="Times New Roman" w:cs="Times New Roman"/>
                      <w:b w:val="0"/>
                      <w:bCs w:val="0"/>
                      <w:highlight w:val="none"/>
                      <w:u w:val="none"/>
                      <w:lang w:val="en-US" w:eastAsia="zh-CN"/>
                    </w:rPr>
                  </w:pPr>
                  <w:r>
                    <w:rPr>
                      <w:rFonts w:hint="default" w:ascii="Times New Roman" w:hAnsi="Times New Roman" w:cs="Times New Roman"/>
                      <w:b w:val="0"/>
                      <w:bCs w:val="0"/>
                      <w:highlight w:val="none"/>
                      <w:u w:val="none"/>
                      <w:lang w:val="en-US" w:eastAsia="zh-CN"/>
                    </w:rPr>
                    <w:t>5</w:t>
                  </w:r>
                </w:p>
              </w:tc>
              <w:tc>
                <w:tcPr>
                  <w:tcW w:w="1560"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lang w:val="en-US" w:eastAsia="zh-CN"/>
                    </w:rPr>
                    <w:t>河南科源电子铝箔有限公司高性能电子铝箔技术改造项目</w:t>
                  </w:r>
                </w:p>
              </w:tc>
              <w:tc>
                <w:tcPr>
                  <w:tcW w:w="497" w:type="pct"/>
                  <w:tcBorders>
                    <w:tl2br w:val="nil"/>
                    <w:tr2bl w:val="nil"/>
                  </w:tcBorders>
                  <w:vAlign w:val="center"/>
                </w:tcPr>
                <w:p>
                  <w:pPr>
                    <w:pStyle w:val="63"/>
                    <w:rPr>
                      <w:rFonts w:hint="default" w:ascii="Times New Roman" w:hAnsi="Times New Roman" w:cs="Times New Roman"/>
                      <w:b w:val="0"/>
                      <w:bCs w:val="0"/>
                      <w:highlight w:val="none"/>
                      <w:u w:val="none"/>
                      <w:lang w:val="en-US" w:eastAsia="zh-CN"/>
                    </w:rPr>
                  </w:pPr>
                  <w:r>
                    <w:rPr>
                      <w:rFonts w:hint="default" w:ascii="Times New Roman" w:hAnsi="Times New Roman" w:cs="Times New Roman"/>
                      <w:b w:val="0"/>
                      <w:bCs w:val="0"/>
                      <w:highlight w:val="none"/>
                      <w:u w:val="none"/>
                      <w:lang w:val="en-US" w:eastAsia="zh-CN"/>
                    </w:rPr>
                    <w:t>2022年</w:t>
                  </w:r>
                  <w:r>
                    <w:rPr>
                      <w:rFonts w:hint="eastAsia" w:ascii="Times New Roman" w:hAnsi="Times New Roman" w:cs="Times New Roman"/>
                      <w:b w:val="0"/>
                      <w:bCs w:val="0"/>
                      <w:highlight w:val="none"/>
                      <w:u w:val="none"/>
                      <w:lang w:val="en-US" w:eastAsia="zh-CN"/>
                    </w:rPr>
                    <w:t>12</w:t>
                  </w:r>
                  <w:r>
                    <w:rPr>
                      <w:rFonts w:hint="default" w:ascii="Times New Roman" w:hAnsi="Times New Roman" w:cs="Times New Roman"/>
                      <w:b w:val="0"/>
                      <w:bCs w:val="0"/>
                      <w:highlight w:val="none"/>
                      <w:u w:val="none"/>
                      <w:lang w:val="en-US" w:eastAsia="zh-CN"/>
                    </w:rPr>
                    <w:t>月2</w:t>
                  </w:r>
                  <w:r>
                    <w:rPr>
                      <w:rFonts w:hint="eastAsia" w:ascii="Times New Roman" w:hAnsi="Times New Roman" w:cs="Times New Roman"/>
                      <w:b w:val="0"/>
                      <w:bCs w:val="0"/>
                      <w:highlight w:val="none"/>
                      <w:u w:val="none"/>
                      <w:lang w:val="en-US" w:eastAsia="zh-CN"/>
                    </w:rPr>
                    <w:t>9</w:t>
                  </w:r>
                  <w:r>
                    <w:rPr>
                      <w:rFonts w:hint="default" w:ascii="Times New Roman" w:hAnsi="Times New Roman" w:cs="Times New Roman"/>
                      <w:b w:val="0"/>
                      <w:bCs w:val="0"/>
                      <w:highlight w:val="none"/>
                      <w:u w:val="none"/>
                      <w:lang w:val="en-US" w:eastAsia="zh-CN"/>
                    </w:rPr>
                    <w:t>日</w:t>
                  </w:r>
                </w:p>
              </w:tc>
              <w:tc>
                <w:tcPr>
                  <w:tcW w:w="805" w:type="pct"/>
                  <w:tcBorders>
                    <w:tl2br w:val="nil"/>
                    <w:tr2bl w:val="nil"/>
                  </w:tcBorders>
                  <w:vAlign w:val="center"/>
                </w:tcPr>
                <w:p>
                  <w:pPr>
                    <w:pStyle w:val="63"/>
                    <w:rPr>
                      <w:rFonts w:hint="default" w:ascii="Times New Roman" w:hAnsi="Times New Roman" w:cs="Times New Roman"/>
                      <w:b w:val="0"/>
                      <w:bCs w:val="0"/>
                      <w:highlight w:val="none"/>
                      <w:u w:val="none"/>
                      <w:lang w:val="en-US" w:eastAsia="zh-CN"/>
                    </w:rPr>
                  </w:pPr>
                  <w:r>
                    <w:rPr>
                      <w:rFonts w:hint="default" w:ascii="Times New Roman" w:hAnsi="Times New Roman" w:cs="Times New Roman"/>
                      <w:b w:val="0"/>
                      <w:bCs w:val="0"/>
                      <w:highlight w:val="none"/>
                      <w:u w:val="none"/>
                      <w:lang w:eastAsia="zh-CN"/>
                    </w:rPr>
                    <w:t>永环审〔</w:t>
                  </w:r>
                  <w:r>
                    <w:rPr>
                      <w:rFonts w:hint="default" w:ascii="Times New Roman" w:hAnsi="Times New Roman" w:cs="Times New Roman"/>
                      <w:b w:val="0"/>
                      <w:bCs w:val="0"/>
                      <w:highlight w:val="none"/>
                      <w:u w:val="none"/>
                      <w:lang w:val="en-US" w:eastAsia="zh-CN"/>
                    </w:rPr>
                    <w:t>2022</w:t>
                  </w:r>
                  <w:r>
                    <w:rPr>
                      <w:rFonts w:hint="default" w:ascii="Times New Roman" w:hAnsi="Times New Roman" w:cs="Times New Roman"/>
                      <w:b w:val="0"/>
                      <w:bCs w:val="0"/>
                      <w:highlight w:val="none"/>
                      <w:u w:val="none"/>
                      <w:lang w:eastAsia="zh-CN"/>
                    </w:rPr>
                    <w:t>〕</w:t>
                  </w:r>
                  <w:r>
                    <w:rPr>
                      <w:rFonts w:hint="eastAsia" w:cs="Times New Roman"/>
                      <w:b w:val="0"/>
                      <w:bCs w:val="0"/>
                      <w:highlight w:val="none"/>
                      <w:u w:val="none"/>
                      <w:lang w:val="en-US" w:eastAsia="zh-CN"/>
                    </w:rPr>
                    <w:t>5</w:t>
                  </w:r>
                  <w:r>
                    <w:rPr>
                      <w:rFonts w:hint="eastAsia" w:ascii="Times New Roman" w:hAnsi="Times New Roman" w:cs="Times New Roman"/>
                      <w:b w:val="0"/>
                      <w:bCs w:val="0"/>
                      <w:highlight w:val="none"/>
                      <w:u w:val="none"/>
                      <w:lang w:val="en-US" w:eastAsia="zh-CN"/>
                    </w:rPr>
                    <w:t>5</w:t>
                  </w:r>
                  <w:r>
                    <w:rPr>
                      <w:rFonts w:hint="default" w:ascii="Times New Roman" w:hAnsi="Times New Roman" w:cs="Times New Roman"/>
                      <w:b w:val="0"/>
                      <w:bCs w:val="0"/>
                      <w:highlight w:val="none"/>
                      <w:u w:val="none"/>
                      <w:lang w:val="en-US" w:eastAsia="zh-CN"/>
                    </w:rPr>
                    <w:t>号</w:t>
                  </w:r>
                </w:p>
              </w:tc>
              <w:tc>
                <w:tcPr>
                  <w:tcW w:w="485" w:type="pct"/>
                  <w:tcBorders>
                    <w:tl2br w:val="nil"/>
                    <w:tr2bl w:val="nil"/>
                  </w:tcBorders>
                  <w:vAlign w:val="center"/>
                </w:tcPr>
                <w:p>
                  <w:pPr>
                    <w:pStyle w:val="63"/>
                    <w:rPr>
                      <w:rFonts w:hint="default" w:ascii="Times New Roman" w:hAnsi="Times New Roman" w:cs="Times New Roman"/>
                      <w:b w:val="0"/>
                      <w:bCs w:val="0"/>
                      <w:highlight w:val="none"/>
                      <w:u w:val="none"/>
                    </w:rPr>
                  </w:pPr>
                  <w:r>
                    <w:rPr>
                      <w:rFonts w:hint="default" w:ascii="Times New Roman" w:hAnsi="Times New Roman" w:cs="Times New Roman"/>
                      <w:b w:val="0"/>
                      <w:bCs w:val="0"/>
                      <w:highlight w:val="none"/>
                      <w:u w:val="none"/>
                    </w:rPr>
                    <w:t>/</w:t>
                  </w:r>
                </w:p>
              </w:tc>
              <w:tc>
                <w:tcPr>
                  <w:tcW w:w="711" w:type="pct"/>
                  <w:tcBorders>
                    <w:tl2br w:val="nil"/>
                    <w:tr2bl w:val="nil"/>
                  </w:tcBorders>
                  <w:vAlign w:val="center"/>
                </w:tcPr>
                <w:p>
                  <w:pPr>
                    <w:pStyle w:val="63"/>
                    <w:rPr>
                      <w:rFonts w:hint="default" w:ascii="Times New Roman" w:hAnsi="Times New Roman" w:cs="Times New Roman"/>
                      <w:b w:val="0"/>
                      <w:bCs w:val="0"/>
                      <w:highlight w:val="none"/>
                      <w:u w:val="none"/>
                      <w:lang w:eastAsia="zh-CN"/>
                    </w:rPr>
                  </w:pPr>
                  <w:r>
                    <w:rPr>
                      <w:rFonts w:hint="eastAsia" w:cs="Times New Roman"/>
                      <w:b w:val="0"/>
                      <w:bCs w:val="0"/>
                      <w:highlight w:val="none"/>
                      <w:u w:val="none"/>
                      <w:lang w:val="en-US" w:eastAsia="zh-CN"/>
                    </w:rPr>
                    <w:t>已</w:t>
                  </w:r>
                  <w:r>
                    <w:rPr>
                      <w:rFonts w:hint="default" w:ascii="Times New Roman" w:hAnsi="Times New Roman" w:cs="Times New Roman"/>
                      <w:b w:val="0"/>
                      <w:bCs w:val="0"/>
                      <w:highlight w:val="none"/>
                      <w:u w:val="none"/>
                    </w:rPr>
                    <w:t>验收</w:t>
                  </w:r>
                </w:p>
              </w:tc>
              <w:tc>
                <w:tcPr>
                  <w:tcW w:w="709" w:type="pct"/>
                  <w:tcBorders>
                    <w:tl2br w:val="nil"/>
                    <w:tr2bl w:val="nil"/>
                  </w:tcBorders>
                  <w:vAlign w:val="center"/>
                </w:tcPr>
                <w:p>
                  <w:pPr>
                    <w:pStyle w:val="63"/>
                    <w:rPr>
                      <w:rFonts w:hint="eastAsia" w:ascii="Times New Roman" w:hAnsi="Times New Roman" w:cs="Times New Roman"/>
                      <w:b w:val="0"/>
                      <w:bCs w:val="0"/>
                      <w:highlight w:val="none"/>
                      <w:u w:val="none"/>
                      <w:lang w:val="en-US" w:eastAsia="zh-CN"/>
                    </w:rPr>
                  </w:pPr>
                  <w:r>
                    <w:rPr>
                      <w:rFonts w:hint="eastAsia" w:cs="Times New Roman"/>
                      <w:b w:val="0"/>
                      <w:bCs w:val="0"/>
                      <w:highlight w:val="none"/>
                      <w:u w:val="none"/>
                      <w:lang w:val="en-US" w:eastAsia="zh-CN"/>
                    </w:rPr>
                    <w:t>已建项目</w:t>
                  </w:r>
                </w:p>
              </w:tc>
            </w:tr>
          </w:tbl>
          <w:p>
            <w:pPr>
              <w:pStyle w:val="26"/>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排污许可证执行情况：</w:t>
            </w:r>
          </w:p>
          <w:p>
            <w:pPr>
              <w:pStyle w:val="57"/>
              <w:spacing w:line="360" w:lineRule="auto"/>
              <w:ind w:right="-57"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rPr>
              <w:t>公司</w:t>
            </w:r>
            <w:r>
              <w:rPr>
                <w:rFonts w:hint="default" w:ascii="Times New Roman" w:hAnsi="Times New Roman" w:cs="Times New Roman"/>
                <w:color w:val="auto"/>
                <w:sz w:val="24"/>
                <w:highlight w:val="none"/>
              </w:rPr>
              <w:t>于2020年</w:t>
            </w:r>
            <w:r>
              <w:rPr>
                <w:rFonts w:hint="default" w:ascii="Times New Roman" w:hAnsi="Times New Roman" w:cs="Times New Roman"/>
                <w:color w:val="auto"/>
                <w:sz w:val="24"/>
                <w:highlight w:val="none"/>
                <w:lang w:val="en-US" w:eastAsia="zh-CN"/>
              </w:rPr>
              <w:t>7</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rPr>
              <w:t>取得了排污许可</w:t>
            </w:r>
            <w:r>
              <w:rPr>
                <w:rFonts w:hint="default" w:ascii="Times New Roman" w:hAnsi="Times New Roman" w:cs="Times New Roman"/>
                <w:color w:val="auto"/>
                <w:sz w:val="24"/>
                <w:highlight w:val="none"/>
              </w:rPr>
              <w:t>证（证号91411400683165241J001Q）</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目前已延续至2029年4月2日</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排污许可证中污染物排放口位置和数量、污染物排放方式和排放去向与实际相符，公司已建设规范化污染物排放口，并设置标志牌。按照排污许可证规定，生态环境管理要求运行和维护污染防治设施，建立环境管理制度，严格控制污染物排放，各污染物达标排放，满足总量要求。</w:t>
            </w:r>
          </w:p>
          <w:p>
            <w:pPr>
              <w:pStyle w:val="57"/>
              <w:spacing w:line="360" w:lineRule="auto"/>
              <w:ind w:right="-57"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按照排污许可证规定和有关标准规范，建立环境管理台账记录制度，按照排污许可证规定的格式、内容和频次，如实记录主要生产设施、污染防治设施运行情况以及污染物排放浓度、排放量。环境管理台账记录保存期限不得少于</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lang w:val="en-US" w:eastAsia="zh-CN"/>
              </w:rPr>
              <w:t>年。</w:t>
            </w:r>
          </w:p>
          <w:p>
            <w:pPr>
              <w:pStyle w:val="57"/>
              <w:spacing w:line="360" w:lineRule="auto"/>
              <w:ind w:right="-57"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按照排污许可证规定的内容、频次和时间要求，每年向审批部门提交排污许可证执行报告，如实报告污染物排放行为、排放浓度、排放量等。</w:t>
            </w:r>
          </w:p>
          <w:p>
            <w:pPr>
              <w:pStyle w:val="57"/>
              <w:spacing w:line="360" w:lineRule="auto"/>
              <w:ind w:right="-57" w:firstLine="480" w:firstLineChars="200"/>
              <w:jc w:val="left"/>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按照排污许可证规定，如实在全国排污许可证管理信息平台上公开污染物排放信息。配合生态环境主管部门监督检查，并按照要求提供排污许可证、环境管理台账记录、排污许可证执行报告、自行监测数据等相关材料。</w:t>
            </w:r>
          </w:p>
          <w:p>
            <w:pPr>
              <w:pStyle w:val="48"/>
              <w:pageBreakBefore w:val="0"/>
              <w:widowControl w:val="0"/>
              <w:kinsoku/>
              <w:wordWrap/>
              <w:overflowPunct/>
              <w:topLinePunct w:val="0"/>
              <w:autoSpaceDE/>
              <w:autoSpaceDN/>
              <w:bidi w:val="0"/>
              <w:snapToGrid/>
              <w:spacing w:line="360" w:lineRule="auto"/>
              <w:ind w:left="0" w:firstLine="482"/>
              <w:textAlignment w:val="auto"/>
              <w:rPr>
                <w:rFonts w:hint="default" w:ascii="Times New Roman" w:hAnsi="Times New Roman" w:cs="Times New Roman"/>
                <w:b/>
                <w:bCs/>
                <w:color w:val="auto"/>
                <w:sz w:val="24"/>
                <w:szCs w:val="24"/>
                <w:u w:val="none"/>
              </w:rPr>
            </w:pPr>
            <w:r>
              <w:rPr>
                <w:rFonts w:hint="default" w:ascii="Times New Roman" w:hAnsi="Times New Roman" w:cs="Times New Roman"/>
                <w:b/>
                <w:bCs/>
                <w:color w:val="auto"/>
                <w:sz w:val="24"/>
                <w:szCs w:val="24"/>
                <w:u w:val="none"/>
                <w:lang w:val="en-US" w:eastAsia="zh-CN"/>
              </w:rPr>
              <w:t>3</w:t>
            </w:r>
            <w:r>
              <w:rPr>
                <w:rFonts w:hint="default" w:ascii="Times New Roman" w:hAnsi="Times New Roman" w:cs="Times New Roman"/>
                <w:b/>
                <w:bCs/>
                <w:color w:val="auto"/>
                <w:sz w:val="24"/>
                <w:szCs w:val="24"/>
                <w:u w:val="none"/>
              </w:rPr>
              <w:t>、污染物产排情况调查</w:t>
            </w:r>
          </w:p>
          <w:p>
            <w:pPr>
              <w:pStyle w:val="48"/>
              <w:pageBreakBefore w:val="0"/>
              <w:widowControl w:val="0"/>
              <w:kinsoku/>
              <w:wordWrap/>
              <w:overflowPunct/>
              <w:topLinePunct w:val="0"/>
              <w:autoSpaceDE/>
              <w:autoSpaceDN/>
              <w:bidi w:val="0"/>
              <w:snapToGrid/>
              <w:spacing w:line="360" w:lineRule="auto"/>
              <w:ind w:left="0" w:firstLine="480" w:firstLineChars="200"/>
              <w:textAlignment w:val="auto"/>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现有</w:t>
            </w:r>
            <w:r>
              <w:rPr>
                <w:rFonts w:hint="eastAsia" w:ascii="Times New Roman" w:cs="Times New Roman"/>
                <w:b w:val="0"/>
                <w:bCs w:val="0"/>
                <w:color w:val="auto"/>
                <w:sz w:val="24"/>
                <w:szCs w:val="24"/>
                <w:u w:val="none"/>
                <w:lang w:val="en-US" w:eastAsia="zh-CN"/>
              </w:rPr>
              <w:t>已建</w:t>
            </w:r>
            <w:r>
              <w:rPr>
                <w:rFonts w:hint="default" w:ascii="Times New Roman" w:hAnsi="Times New Roman" w:cs="Times New Roman"/>
                <w:b w:val="0"/>
                <w:bCs w:val="0"/>
                <w:color w:val="auto"/>
                <w:sz w:val="24"/>
                <w:szCs w:val="24"/>
                <w:u w:val="none"/>
                <w:lang w:val="en-US" w:eastAsia="zh-CN"/>
              </w:rPr>
              <w:t>工程污染物排放情况引用河南科源电子铝箔有限公司高性能电子铝箔技术改造项目竣工环境保护验收监测</w:t>
            </w:r>
            <w:r>
              <w:rPr>
                <w:rFonts w:hint="eastAsia" w:ascii="Times New Roman" w:cs="Times New Roman"/>
                <w:b w:val="0"/>
                <w:bCs w:val="0"/>
                <w:color w:val="auto"/>
                <w:sz w:val="24"/>
                <w:szCs w:val="24"/>
                <w:u w:val="none"/>
                <w:lang w:val="en-US" w:eastAsia="zh-CN"/>
              </w:rPr>
              <w:t>报告</w:t>
            </w:r>
            <w:r>
              <w:rPr>
                <w:rFonts w:hint="default" w:ascii="Times New Roman" w:hAnsi="Times New Roman" w:cs="Times New Roman"/>
                <w:b w:val="0"/>
                <w:bCs w:val="0"/>
                <w:color w:val="auto"/>
                <w:sz w:val="24"/>
                <w:szCs w:val="24"/>
                <w:u w:val="none"/>
                <w:lang w:val="en-US" w:eastAsia="zh-CN"/>
              </w:rPr>
              <w:t>。</w:t>
            </w:r>
          </w:p>
          <w:p>
            <w:pPr>
              <w:pStyle w:val="2"/>
              <w:pageBreakBefore w:val="0"/>
              <w:widowControl w:val="0"/>
              <w:kinsoku/>
              <w:wordWrap/>
              <w:overflowPunct/>
              <w:topLinePunct w:val="0"/>
              <w:autoSpaceDE/>
              <w:autoSpaceDN/>
              <w:bidi w:val="0"/>
              <w:spacing w:line="360" w:lineRule="auto"/>
              <w:ind w:left="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废水检测结果</w:t>
            </w:r>
            <w:r>
              <w:rPr>
                <w:rFonts w:hint="eastAsia" w:ascii="Times New Roman" w:hAnsi="Times New Roman" w:cs="Times New Roman"/>
                <w:color w:val="auto"/>
                <w:sz w:val="24"/>
                <w:szCs w:val="24"/>
                <w:lang w:val="en-US" w:eastAsia="zh-CN"/>
              </w:rPr>
              <w:t xml:space="preserve">     单位：</w:t>
            </w:r>
            <w:r>
              <w:rPr>
                <w:rFonts w:hint="default" w:ascii="Times New Roman" w:hAnsi="Times New Roman" w:eastAsia="宋体" w:cs="Times New Roman"/>
                <w:color w:val="auto"/>
                <w:sz w:val="24"/>
                <w:szCs w:val="24"/>
                <w:lang w:val="en-US" w:eastAsia="zh-CN"/>
              </w:rPr>
              <w:t>mg/L</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161"/>
              <w:gridCol w:w="739"/>
              <w:gridCol w:w="781"/>
              <w:gridCol w:w="671"/>
              <w:gridCol w:w="822"/>
              <w:gridCol w:w="581"/>
              <w:gridCol w:w="808"/>
              <w:gridCol w:w="876"/>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467" w:type="pct"/>
                  <w:vMerge w:val="restart"/>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检测点位</w:t>
                  </w:r>
                </w:p>
              </w:tc>
              <w:tc>
                <w:tcPr>
                  <w:tcW w:w="527" w:type="pct"/>
                  <w:vMerge w:val="restart"/>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采样时间</w:t>
                  </w:r>
                </w:p>
              </w:tc>
              <w:tc>
                <w:tcPr>
                  <w:tcW w:w="491" w:type="pct"/>
                  <w:vMerge w:val="restart"/>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检测频次</w:t>
                  </w:r>
                </w:p>
              </w:tc>
              <w:tc>
                <w:tcPr>
                  <w:tcW w:w="3513" w:type="pct"/>
                  <w:gridSpan w:val="7"/>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vMerge w:val="continue"/>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p>
              </w:tc>
              <w:tc>
                <w:tcPr>
                  <w:tcW w:w="527" w:type="pct"/>
                  <w:vMerge w:val="continue"/>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p>
              </w:tc>
              <w:tc>
                <w:tcPr>
                  <w:tcW w:w="491" w:type="pct"/>
                  <w:vMerge w:val="continue"/>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p>
              </w:tc>
              <w:tc>
                <w:tcPr>
                  <w:tcW w:w="517" w:type="pct"/>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pH（无量纲）</w:t>
                  </w:r>
                </w:p>
              </w:tc>
              <w:tc>
                <w:tcPr>
                  <w:tcW w:w="447" w:type="pct"/>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COD</w:t>
                  </w:r>
                </w:p>
              </w:tc>
              <w:tc>
                <w:tcPr>
                  <w:tcW w:w="543" w:type="pct"/>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氨氮</w:t>
                  </w:r>
                </w:p>
              </w:tc>
              <w:tc>
                <w:tcPr>
                  <w:tcW w:w="390" w:type="pct"/>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SS</w:t>
                  </w:r>
                </w:p>
              </w:tc>
              <w:tc>
                <w:tcPr>
                  <w:tcW w:w="534" w:type="pct"/>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BOD</w:t>
                  </w:r>
                  <w:r>
                    <w:rPr>
                      <w:rFonts w:hint="eastAsia" w:ascii="Times New Roman" w:hAnsi="Times New Roman" w:eastAsia="宋体" w:cs="Times New Roman"/>
                      <w:b w:val="0"/>
                      <w:bCs w:val="0"/>
                      <w:color w:val="auto"/>
                      <w:sz w:val="21"/>
                      <w:szCs w:val="21"/>
                      <w:u w:val="none"/>
                      <w:vertAlign w:val="subscript"/>
                      <w:lang w:val="en-US" w:eastAsia="zh-CN"/>
                    </w:rPr>
                    <w:t>5</w:t>
                  </w:r>
                </w:p>
              </w:tc>
              <w:tc>
                <w:tcPr>
                  <w:tcW w:w="577" w:type="pct"/>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动植物油</w:t>
                  </w:r>
                </w:p>
              </w:tc>
              <w:tc>
                <w:tcPr>
                  <w:tcW w:w="503" w:type="pct"/>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vMerge w:val="restar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厂区污水总排</w:t>
                  </w:r>
                  <w:r>
                    <w:rPr>
                      <w:rFonts w:hint="default" w:ascii="Times New Roman" w:hAnsi="Times New Roman" w:eastAsia="宋体" w:cs="Times New Roman"/>
                      <w:b w:val="0"/>
                      <w:bCs w:val="0"/>
                      <w:color w:val="auto"/>
                      <w:sz w:val="21"/>
                      <w:szCs w:val="21"/>
                      <w:u w:val="none"/>
                      <w:lang w:val="en-US" w:eastAsia="zh-CN"/>
                    </w:rPr>
                    <w:t>口</w:t>
                  </w:r>
                </w:p>
              </w:tc>
              <w:tc>
                <w:tcPr>
                  <w:tcW w:w="527" w:type="pct"/>
                  <w:vMerge w:val="restar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eastAsia="zh-CN"/>
                    </w:rPr>
                    <w:t>202</w:t>
                  </w:r>
                  <w:r>
                    <w:rPr>
                      <w:rFonts w:hint="default" w:ascii="Times New Roman" w:hAnsi="Times New Roman" w:eastAsia="宋体" w:cs="Times New Roman"/>
                      <w:b w:val="0"/>
                      <w:bCs w:val="0"/>
                      <w:color w:val="auto"/>
                      <w:sz w:val="21"/>
                      <w:szCs w:val="21"/>
                      <w:u w:val="none"/>
                      <w:lang w:val="en-US" w:eastAsia="zh-CN"/>
                    </w:rPr>
                    <w:t>3.02.28</w:t>
                  </w:r>
                </w:p>
              </w:tc>
              <w:tc>
                <w:tcPr>
                  <w:tcW w:w="491"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1</w:t>
                  </w:r>
                </w:p>
              </w:tc>
              <w:tc>
                <w:tcPr>
                  <w:tcW w:w="51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7.75</w:t>
                  </w:r>
                </w:p>
              </w:tc>
              <w:tc>
                <w:tcPr>
                  <w:tcW w:w="44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43</w:t>
                  </w:r>
                </w:p>
              </w:tc>
              <w:tc>
                <w:tcPr>
                  <w:tcW w:w="54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0.815</w:t>
                  </w:r>
                </w:p>
              </w:tc>
              <w:tc>
                <w:tcPr>
                  <w:tcW w:w="390"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6</w:t>
                  </w:r>
                </w:p>
              </w:tc>
              <w:tc>
                <w:tcPr>
                  <w:tcW w:w="534"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7.2</w:t>
                  </w:r>
                </w:p>
              </w:tc>
              <w:tc>
                <w:tcPr>
                  <w:tcW w:w="57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0.62</w:t>
                  </w:r>
                </w:p>
              </w:tc>
              <w:tc>
                <w:tcPr>
                  <w:tcW w:w="50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vMerge w:val="continue"/>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p>
              </w:tc>
              <w:tc>
                <w:tcPr>
                  <w:tcW w:w="527" w:type="pct"/>
                  <w:vMerge w:val="continue"/>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p>
              </w:tc>
              <w:tc>
                <w:tcPr>
                  <w:tcW w:w="491"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2</w:t>
                  </w:r>
                </w:p>
              </w:tc>
              <w:tc>
                <w:tcPr>
                  <w:tcW w:w="51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7.69</w:t>
                  </w:r>
                </w:p>
              </w:tc>
              <w:tc>
                <w:tcPr>
                  <w:tcW w:w="44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42</w:t>
                  </w:r>
                </w:p>
              </w:tc>
              <w:tc>
                <w:tcPr>
                  <w:tcW w:w="54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0.890</w:t>
                  </w:r>
                </w:p>
              </w:tc>
              <w:tc>
                <w:tcPr>
                  <w:tcW w:w="390"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4</w:t>
                  </w:r>
                </w:p>
              </w:tc>
              <w:tc>
                <w:tcPr>
                  <w:tcW w:w="534"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7.8</w:t>
                  </w:r>
                </w:p>
              </w:tc>
              <w:tc>
                <w:tcPr>
                  <w:tcW w:w="57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0.51</w:t>
                  </w:r>
                </w:p>
              </w:tc>
              <w:tc>
                <w:tcPr>
                  <w:tcW w:w="50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vMerge w:val="continue"/>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p>
              </w:tc>
              <w:tc>
                <w:tcPr>
                  <w:tcW w:w="527" w:type="pct"/>
                  <w:vMerge w:val="continue"/>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p>
              </w:tc>
              <w:tc>
                <w:tcPr>
                  <w:tcW w:w="491"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3</w:t>
                  </w:r>
                </w:p>
              </w:tc>
              <w:tc>
                <w:tcPr>
                  <w:tcW w:w="51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7.57</w:t>
                  </w:r>
                </w:p>
              </w:tc>
              <w:tc>
                <w:tcPr>
                  <w:tcW w:w="44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39</w:t>
                  </w:r>
                </w:p>
              </w:tc>
              <w:tc>
                <w:tcPr>
                  <w:tcW w:w="54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0.792</w:t>
                  </w:r>
                </w:p>
              </w:tc>
              <w:tc>
                <w:tcPr>
                  <w:tcW w:w="390"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5</w:t>
                  </w:r>
                </w:p>
              </w:tc>
              <w:tc>
                <w:tcPr>
                  <w:tcW w:w="534"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8.1</w:t>
                  </w:r>
                </w:p>
              </w:tc>
              <w:tc>
                <w:tcPr>
                  <w:tcW w:w="57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0.53</w:t>
                  </w:r>
                </w:p>
              </w:tc>
              <w:tc>
                <w:tcPr>
                  <w:tcW w:w="50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vMerge w:val="continue"/>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p>
              </w:tc>
              <w:tc>
                <w:tcPr>
                  <w:tcW w:w="527" w:type="pct"/>
                  <w:vMerge w:val="continue"/>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p>
              </w:tc>
              <w:tc>
                <w:tcPr>
                  <w:tcW w:w="491"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4</w:t>
                  </w:r>
                </w:p>
              </w:tc>
              <w:tc>
                <w:tcPr>
                  <w:tcW w:w="51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7.63</w:t>
                  </w:r>
                </w:p>
              </w:tc>
              <w:tc>
                <w:tcPr>
                  <w:tcW w:w="44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40</w:t>
                  </w:r>
                </w:p>
              </w:tc>
              <w:tc>
                <w:tcPr>
                  <w:tcW w:w="54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0.732</w:t>
                  </w:r>
                </w:p>
              </w:tc>
              <w:tc>
                <w:tcPr>
                  <w:tcW w:w="390"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5</w:t>
                  </w:r>
                </w:p>
              </w:tc>
              <w:tc>
                <w:tcPr>
                  <w:tcW w:w="534"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7.9</w:t>
                  </w:r>
                </w:p>
              </w:tc>
              <w:tc>
                <w:tcPr>
                  <w:tcW w:w="57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0.60</w:t>
                  </w:r>
                </w:p>
              </w:tc>
              <w:tc>
                <w:tcPr>
                  <w:tcW w:w="50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vMerge w:val="continue"/>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p>
              </w:tc>
              <w:tc>
                <w:tcPr>
                  <w:tcW w:w="527" w:type="pct"/>
                  <w:vMerge w:val="restar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2023.03.01</w:t>
                  </w:r>
                </w:p>
              </w:tc>
              <w:tc>
                <w:tcPr>
                  <w:tcW w:w="491"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1</w:t>
                  </w:r>
                </w:p>
              </w:tc>
              <w:tc>
                <w:tcPr>
                  <w:tcW w:w="51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7.65</w:t>
                  </w:r>
                </w:p>
              </w:tc>
              <w:tc>
                <w:tcPr>
                  <w:tcW w:w="44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41</w:t>
                  </w:r>
                </w:p>
              </w:tc>
              <w:tc>
                <w:tcPr>
                  <w:tcW w:w="54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0.950</w:t>
                  </w:r>
                </w:p>
              </w:tc>
              <w:tc>
                <w:tcPr>
                  <w:tcW w:w="390"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6</w:t>
                  </w:r>
                </w:p>
              </w:tc>
              <w:tc>
                <w:tcPr>
                  <w:tcW w:w="534"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7.5</w:t>
                  </w:r>
                </w:p>
              </w:tc>
              <w:tc>
                <w:tcPr>
                  <w:tcW w:w="57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0.61</w:t>
                  </w:r>
                </w:p>
              </w:tc>
              <w:tc>
                <w:tcPr>
                  <w:tcW w:w="50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vMerge w:val="continue"/>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p>
              </w:tc>
              <w:tc>
                <w:tcPr>
                  <w:tcW w:w="527" w:type="pct"/>
                  <w:vMerge w:val="continue"/>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p>
              </w:tc>
              <w:tc>
                <w:tcPr>
                  <w:tcW w:w="491"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2</w:t>
                  </w:r>
                </w:p>
              </w:tc>
              <w:tc>
                <w:tcPr>
                  <w:tcW w:w="51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7.82</w:t>
                  </w:r>
                </w:p>
              </w:tc>
              <w:tc>
                <w:tcPr>
                  <w:tcW w:w="44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38</w:t>
                  </w:r>
                </w:p>
              </w:tc>
              <w:tc>
                <w:tcPr>
                  <w:tcW w:w="54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0.754</w:t>
                  </w:r>
                </w:p>
              </w:tc>
              <w:tc>
                <w:tcPr>
                  <w:tcW w:w="390"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w:t>
                  </w:r>
                </w:p>
              </w:tc>
              <w:tc>
                <w:tcPr>
                  <w:tcW w:w="534"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7.9</w:t>
                  </w:r>
                </w:p>
              </w:tc>
              <w:tc>
                <w:tcPr>
                  <w:tcW w:w="57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0.58</w:t>
                  </w:r>
                </w:p>
              </w:tc>
              <w:tc>
                <w:tcPr>
                  <w:tcW w:w="50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vMerge w:val="continue"/>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p>
              </w:tc>
              <w:tc>
                <w:tcPr>
                  <w:tcW w:w="527" w:type="pct"/>
                  <w:vMerge w:val="continue"/>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p>
              </w:tc>
              <w:tc>
                <w:tcPr>
                  <w:tcW w:w="491"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3</w:t>
                  </w:r>
                </w:p>
              </w:tc>
              <w:tc>
                <w:tcPr>
                  <w:tcW w:w="51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7.74</w:t>
                  </w:r>
                </w:p>
              </w:tc>
              <w:tc>
                <w:tcPr>
                  <w:tcW w:w="44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37</w:t>
                  </w:r>
                </w:p>
              </w:tc>
              <w:tc>
                <w:tcPr>
                  <w:tcW w:w="54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0.864</w:t>
                  </w:r>
                </w:p>
              </w:tc>
              <w:tc>
                <w:tcPr>
                  <w:tcW w:w="390"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5</w:t>
                  </w:r>
                </w:p>
              </w:tc>
              <w:tc>
                <w:tcPr>
                  <w:tcW w:w="534"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7.0</w:t>
                  </w:r>
                </w:p>
              </w:tc>
              <w:tc>
                <w:tcPr>
                  <w:tcW w:w="57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0.60</w:t>
                  </w:r>
                </w:p>
              </w:tc>
              <w:tc>
                <w:tcPr>
                  <w:tcW w:w="50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67" w:type="pct"/>
                  <w:vMerge w:val="continue"/>
                  <w:noWrap w:val="0"/>
                  <w:vAlign w:val="center"/>
                </w:tcPr>
                <w:p>
                  <w:pPr>
                    <w:pStyle w:val="48"/>
                    <w:adjustRightInd/>
                    <w:snapToGrid/>
                    <w:spacing w:line="360" w:lineRule="exact"/>
                    <w:ind w:firstLine="0" w:firstLineChars="0"/>
                    <w:jc w:val="center"/>
                    <w:rPr>
                      <w:rFonts w:hint="eastAsia" w:ascii="Times New Roman" w:hAnsi="Times New Roman" w:eastAsia="宋体" w:cs="Times New Roman"/>
                      <w:b w:val="0"/>
                      <w:bCs w:val="0"/>
                      <w:color w:val="auto"/>
                      <w:sz w:val="21"/>
                      <w:szCs w:val="21"/>
                      <w:u w:val="none"/>
                      <w:lang w:val="en-US" w:eastAsia="zh-CN"/>
                    </w:rPr>
                  </w:pPr>
                </w:p>
              </w:tc>
              <w:tc>
                <w:tcPr>
                  <w:tcW w:w="527" w:type="pct"/>
                  <w:vMerge w:val="continue"/>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p>
              </w:tc>
              <w:tc>
                <w:tcPr>
                  <w:tcW w:w="491"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4</w:t>
                  </w:r>
                </w:p>
              </w:tc>
              <w:tc>
                <w:tcPr>
                  <w:tcW w:w="51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7.72</w:t>
                  </w:r>
                </w:p>
              </w:tc>
              <w:tc>
                <w:tcPr>
                  <w:tcW w:w="44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35</w:t>
                  </w:r>
                </w:p>
              </w:tc>
              <w:tc>
                <w:tcPr>
                  <w:tcW w:w="54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0.911</w:t>
                  </w:r>
                </w:p>
              </w:tc>
              <w:tc>
                <w:tcPr>
                  <w:tcW w:w="390"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4</w:t>
                  </w:r>
                </w:p>
              </w:tc>
              <w:tc>
                <w:tcPr>
                  <w:tcW w:w="534"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7.3</w:t>
                  </w:r>
                </w:p>
              </w:tc>
              <w:tc>
                <w:tcPr>
                  <w:tcW w:w="577"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0.59</w:t>
                  </w:r>
                </w:p>
              </w:tc>
              <w:tc>
                <w:tcPr>
                  <w:tcW w:w="503" w:type="pct"/>
                  <w:noWrap w:val="0"/>
                  <w:vAlign w:val="center"/>
                </w:tcPr>
                <w:p>
                  <w:pPr>
                    <w:pStyle w:val="48"/>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eastAsia="宋体" w:cs="Times New Roman"/>
                      <w:b w:val="0"/>
                      <w:bCs w:val="0"/>
                      <w:color w:val="auto"/>
                      <w:sz w:val="21"/>
                      <w:szCs w:val="21"/>
                      <w:u w:val="none"/>
                      <w:lang w:val="en-US" w:eastAsia="zh-CN"/>
                    </w:rPr>
                    <w:t>0.36</w:t>
                  </w:r>
                </w:p>
              </w:tc>
            </w:tr>
          </w:tbl>
          <w:p>
            <w:pPr>
              <w:pStyle w:val="18"/>
              <w:widowControl/>
              <w:adjustRightInd/>
              <w:snapToGrid/>
              <w:spacing w:after="0" w:line="360" w:lineRule="auto"/>
              <w:ind w:left="0" w:leftChars="0" w:right="0" w:rightChars="0" w:firstLine="480" w:firstLineChars="200"/>
              <w:jc w:val="both"/>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color w:val="auto"/>
                <w:sz w:val="24"/>
                <w:szCs w:val="24"/>
              </w:rPr>
              <w:t>验收监测期间，项目</w:t>
            </w:r>
            <w:r>
              <w:rPr>
                <w:rFonts w:hint="default" w:ascii="Times New Roman" w:hAnsi="Times New Roman" w:eastAsia="宋体" w:cs="Times New Roman"/>
                <w:color w:val="auto"/>
                <w:sz w:val="24"/>
                <w:szCs w:val="24"/>
                <w:lang w:val="en-US" w:eastAsia="zh-CN"/>
              </w:rPr>
              <w:t>废水排放口</w:t>
            </w:r>
            <w:r>
              <w:rPr>
                <w:rFonts w:hint="eastAsia" w:ascii="Times New Roman" w:hAnsi="Times New Roman" w:cs="Times New Roman"/>
                <w:color w:val="auto"/>
                <w:sz w:val="24"/>
                <w:szCs w:val="24"/>
                <w:lang w:val="en-US" w:eastAsia="zh-CN"/>
              </w:rPr>
              <w:t>各污染物排放浓度</w:t>
            </w:r>
            <w:r>
              <w:rPr>
                <w:rFonts w:hint="default" w:ascii="Times New Roman" w:hAnsi="Times New Roman" w:eastAsia="宋体" w:cs="Times New Roman"/>
                <w:color w:val="auto"/>
                <w:sz w:val="24"/>
                <w:szCs w:val="24"/>
                <w:lang w:val="en-US" w:eastAsia="zh-CN"/>
              </w:rPr>
              <w:t>满足《污水综合排放标准》（GB8978-1996）</w:t>
            </w:r>
            <w:r>
              <w:rPr>
                <w:rFonts w:hint="eastAsia" w:ascii="Times New Roman" w:hAnsi="Times New Roman" w:cs="Times New Roman"/>
                <w:color w:val="auto"/>
                <w:sz w:val="24"/>
                <w:szCs w:val="24"/>
                <w:lang w:val="en-US" w:eastAsia="zh-CN"/>
              </w:rPr>
              <w:t>一</w:t>
            </w:r>
            <w:r>
              <w:rPr>
                <w:rFonts w:hint="default" w:ascii="Times New Roman" w:hAnsi="Times New Roman" w:eastAsia="宋体" w:cs="Times New Roman"/>
                <w:color w:val="auto"/>
                <w:sz w:val="24"/>
                <w:szCs w:val="24"/>
                <w:lang w:val="en-US" w:eastAsia="zh-CN"/>
              </w:rPr>
              <w:t>级标准</w:t>
            </w: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kern w:val="2"/>
                <w:sz w:val="24"/>
                <w:szCs w:val="24"/>
                <w:lang w:val="en-US" w:eastAsia="zh-CN" w:bidi="ar-SA"/>
              </w:rPr>
              <w:t>同时满足《城镇污水处理厂污染物排放标准》（GB18918-2002）及2006年修改单中表1一级A标准限值要求</w:t>
            </w:r>
            <w:r>
              <w:rPr>
                <w:rFonts w:hint="default" w:ascii="Times New Roman" w:hAnsi="Times New Roman" w:eastAsia="宋体" w:cs="Times New Roman"/>
                <w:color w:val="auto"/>
                <w:sz w:val="24"/>
                <w:szCs w:val="24"/>
                <w:vertAlign w:val="baseline"/>
                <w:lang w:val="en-US" w:eastAsia="zh-CN"/>
              </w:rPr>
              <w:t>。</w:t>
            </w:r>
          </w:p>
          <w:p>
            <w:pPr>
              <w:pStyle w:val="2"/>
              <w:bidi w:val="0"/>
              <w:spacing w:line="360" w:lineRule="auto"/>
              <w:jc w:val="center"/>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 xml:space="preserve"> 非甲烷总烃</w:t>
            </w:r>
            <w:r>
              <w:rPr>
                <w:rFonts w:hint="default" w:ascii="Times New Roman" w:hAnsi="Times New Roman" w:cs="Times New Roman"/>
                <w:color w:val="auto"/>
                <w:sz w:val="24"/>
                <w:szCs w:val="24"/>
              </w:rPr>
              <w:t>有组织废气检测结果</w:t>
            </w:r>
          </w:p>
          <w:tbl>
            <w:tblPr>
              <w:tblStyle w:val="2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0"/>
              <w:gridCol w:w="1274"/>
              <w:gridCol w:w="1324"/>
              <w:gridCol w:w="1324"/>
              <w:gridCol w:w="1324"/>
              <w:gridCol w:w="1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eastAsia="zh-CN"/>
                    </w:rPr>
                    <w:t>检测</w:t>
                  </w:r>
                  <w:r>
                    <w:rPr>
                      <w:rFonts w:hint="default" w:ascii="Times New Roman" w:hAnsi="Times New Roman" w:eastAsia="宋体" w:cs="Times New Roman"/>
                      <w:b w:val="0"/>
                      <w:bCs/>
                      <w:color w:val="auto"/>
                      <w:sz w:val="21"/>
                      <w:szCs w:val="21"/>
                    </w:rPr>
                    <w:t>点位</w:t>
                  </w:r>
                </w:p>
              </w:tc>
              <w:tc>
                <w:tcPr>
                  <w:tcW w:w="805"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eastAsia="zh-CN"/>
                    </w:rPr>
                    <w:t>采样</w:t>
                  </w:r>
                  <w:r>
                    <w:rPr>
                      <w:rFonts w:hint="default" w:ascii="Times New Roman" w:hAnsi="Times New Roman" w:eastAsia="宋体" w:cs="Times New Roman"/>
                      <w:b w:val="0"/>
                      <w:bCs/>
                      <w:color w:val="auto"/>
                      <w:sz w:val="21"/>
                      <w:szCs w:val="21"/>
                    </w:rPr>
                    <w:t>日期</w:t>
                  </w:r>
                </w:p>
              </w:tc>
              <w:tc>
                <w:tcPr>
                  <w:tcW w:w="837"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lang w:eastAsia="zh-CN"/>
                    </w:rPr>
                    <w:t>检测</w:t>
                  </w:r>
                  <w:r>
                    <w:rPr>
                      <w:rFonts w:hint="default" w:ascii="Times New Roman" w:hAnsi="Times New Roman" w:eastAsia="宋体" w:cs="Times New Roman"/>
                      <w:b w:val="0"/>
                      <w:bCs/>
                      <w:color w:val="auto"/>
                      <w:sz w:val="21"/>
                      <w:szCs w:val="21"/>
                    </w:rPr>
                    <w:t>频次</w:t>
                  </w:r>
                </w:p>
              </w:tc>
              <w:tc>
                <w:tcPr>
                  <w:tcW w:w="837"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标干风量</w:t>
                  </w:r>
                  <w:r>
                    <w:rPr>
                      <w:rFonts w:hint="default" w:ascii="Times New Roman" w:hAnsi="Times New Roman" w:eastAsia="宋体" w:cs="Times New Roman"/>
                      <w:b w:val="0"/>
                      <w:bCs/>
                      <w:color w:val="auto"/>
                      <w:sz w:val="21"/>
                      <w:szCs w:val="21"/>
                    </w:rPr>
                    <w:t>（m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b w:val="0"/>
                      <w:bCs/>
                      <w:color w:val="auto"/>
                      <w:sz w:val="21"/>
                      <w:szCs w:val="21"/>
                    </w:rPr>
                    <w:t>/h）</w:t>
                  </w:r>
                </w:p>
              </w:tc>
              <w:tc>
                <w:tcPr>
                  <w:tcW w:w="1677" w:type="pct"/>
                  <w:gridSpan w:val="2"/>
                  <w:tcBorders>
                    <w:bottom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非甲烷总烃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rPr>
                  </w:pPr>
                </w:p>
              </w:tc>
              <w:tc>
                <w:tcPr>
                  <w:tcW w:w="805"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rPr>
                  </w:pPr>
                </w:p>
              </w:tc>
              <w:tc>
                <w:tcPr>
                  <w:tcW w:w="837"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rPr>
                  </w:pPr>
                </w:p>
              </w:tc>
              <w:tc>
                <w:tcPr>
                  <w:tcW w:w="837"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rPr>
                  </w:pPr>
                </w:p>
              </w:tc>
              <w:tc>
                <w:tcPr>
                  <w:tcW w:w="837" w:type="pct"/>
                  <w:tcBorders>
                    <w:top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浓度</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（mg/m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b w:val="0"/>
                      <w:bCs/>
                      <w:color w:val="auto"/>
                      <w:sz w:val="21"/>
                      <w:szCs w:val="21"/>
                    </w:rPr>
                    <w:t>）</w:t>
                  </w:r>
                </w:p>
              </w:tc>
              <w:tc>
                <w:tcPr>
                  <w:tcW w:w="840" w:type="pct"/>
                  <w:tcBorders>
                    <w:top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sz w:val="21"/>
                      <w:szCs w:val="21"/>
                    </w:rPr>
                  </w:pPr>
                  <w:r>
                    <w:rPr>
                      <w:rFonts w:hint="default" w:ascii="Times New Roman" w:hAnsi="Times New Roman" w:eastAsia="宋体" w:cs="Times New Roman"/>
                      <w:b w:val="0"/>
                      <w:bCs/>
                      <w:color w:val="auto"/>
                      <w:sz w:val="21"/>
                      <w:szCs w:val="21"/>
                    </w:rPr>
                    <w:t>排放速率（kg/h）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1" w:type="pct"/>
                  <w:vMerge w:val="restart"/>
                  <w:tcBorders>
                    <w:top w:val="single" w:color="000000" w:sz="2"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lang w:val="en-US"/>
                    </w:rPr>
                  </w:pPr>
                  <w:r>
                    <w:rPr>
                      <w:rFonts w:hint="default" w:ascii="Times New Roman" w:hAnsi="Times New Roman" w:eastAsia="宋体" w:cs="Times New Roman"/>
                      <w:b w:val="0"/>
                      <w:bCs w:val="0"/>
                      <w:color w:val="auto"/>
                      <w:sz w:val="21"/>
                      <w:szCs w:val="21"/>
                      <w:u w:val="none"/>
                    </w:rPr>
                    <w:t>热轧油雾净化</w:t>
                  </w:r>
                  <w:r>
                    <w:rPr>
                      <w:rFonts w:hint="default" w:ascii="Times New Roman" w:hAnsi="Times New Roman" w:eastAsia="宋体" w:cs="Times New Roman"/>
                      <w:b w:val="0"/>
                      <w:bCs w:val="0"/>
                      <w:color w:val="auto"/>
                      <w:sz w:val="21"/>
                      <w:szCs w:val="21"/>
                      <w:u w:val="none"/>
                      <w:lang w:eastAsia="zh-CN"/>
                    </w:rPr>
                    <w:t>装置出口</w:t>
                  </w:r>
                </w:p>
              </w:tc>
              <w:tc>
                <w:tcPr>
                  <w:tcW w:w="805" w:type="pct"/>
                  <w:vMerge w:val="restart"/>
                  <w:tcBorders>
                    <w:top w:val="single" w:color="000000" w:sz="2"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2023.02.28</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1</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15899 </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4.68 </w:t>
                  </w:r>
                </w:p>
              </w:tc>
              <w:tc>
                <w:tcPr>
                  <w:tcW w:w="840"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0.0744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rPr>
                  </w:pPr>
                </w:p>
              </w:tc>
              <w:tc>
                <w:tcPr>
                  <w:tcW w:w="805"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rPr>
                  </w:pP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2</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15770 </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4.42 </w:t>
                  </w:r>
                </w:p>
              </w:tc>
              <w:tc>
                <w:tcPr>
                  <w:tcW w:w="840"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0.0697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rPr>
                  </w:pPr>
                </w:p>
              </w:tc>
              <w:tc>
                <w:tcPr>
                  <w:tcW w:w="805"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rPr>
                  </w:pP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3</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15823 </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5.31 </w:t>
                  </w:r>
                </w:p>
              </w:tc>
              <w:tc>
                <w:tcPr>
                  <w:tcW w:w="840"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0.0840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rPr>
                  </w:pPr>
                </w:p>
              </w:tc>
              <w:tc>
                <w:tcPr>
                  <w:tcW w:w="805"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rPr>
                  </w:pP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均值</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15831 </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4.80 </w:t>
                  </w:r>
                </w:p>
              </w:tc>
              <w:tc>
                <w:tcPr>
                  <w:tcW w:w="840"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0.0760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jc w:val="center"/>
              </w:trPr>
              <w:tc>
                <w:tcPr>
                  <w:tcW w:w="841" w:type="pct"/>
                  <w:vMerge w:val="restart"/>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u w:val="none"/>
                    </w:rPr>
                    <w:t>热轧油雾净化</w:t>
                  </w:r>
                  <w:r>
                    <w:rPr>
                      <w:rFonts w:hint="default" w:ascii="Times New Roman" w:hAnsi="Times New Roman" w:eastAsia="宋体" w:cs="Times New Roman"/>
                      <w:b w:val="0"/>
                      <w:bCs w:val="0"/>
                      <w:color w:val="auto"/>
                      <w:sz w:val="21"/>
                      <w:szCs w:val="21"/>
                      <w:u w:val="none"/>
                      <w:lang w:eastAsia="zh-CN"/>
                    </w:rPr>
                    <w:t>装置出口</w:t>
                  </w:r>
                </w:p>
              </w:tc>
              <w:tc>
                <w:tcPr>
                  <w:tcW w:w="805" w:type="pct"/>
                  <w:vMerge w:val="restart"/>
                  <w:tcBorders>
                    <w:top w:val="single" w:color="000000" w:sz="2"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2023.03.01</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1</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15616 </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3.98 </w:t>
                  </w:r>
                </w:p>
              </w:tc>
              <w:tc>
                <w:tcPr>
                  <w:tcW w:w="840"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0.0622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rPr>
                  </w:pP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2</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15691 </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4.01 </w:t>
                  </w:r>
                </w:p>
              </w:tc>
              <w:tc>
                <w:tcPr>
                  <w:tcW w:w="840"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0.0629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rPr>
                  </w:pP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3</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15523 </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4.59 </w:t>
                  </w:r>
                </w:p>
              </w:tc>
              <w:tc>
                <w:tcPr>
                  <w:tcW w:w="840"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0.0713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rPr>
                  </w:pP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均值</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15610 </w:t>
                  </w:r>
                </w:p>
              </w:tc>
              <w:tc>
                <w:tcPr>
                  <w:tcW w:w="837"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4.19 </w:t>
                  </w:r>
                </w:p>
              </w:tc>
              <w:tc>
                <w:tcPr>
                  <w:tcW w:w="840" w:type="pct"/>
                  <w:noWrap w:val="0"/>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0.0654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restart"/>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u w:val="none"/>
                    </w:rPr>
                    <w:t>箔轧</w:t>
                  </w:r>
                  <w:r>
                    <w:rPr>
                      <w:rFonts w:hint="default" w:ascii="Times New Roman" w:hAnsi="Times New Roman" w:eastAsia="宋体" w:cs="Times New Roman"/>
                      <w:b w:val="0"/>
                      <w:bCs w:val="0"/>
                      <w:color w:val="auto"/>
                      <w:sz w:val="21"/>
                      <w:szCs w:val="21"/>
                      <w:u w:val="none"/>
                      <w:lang w:val="en-US" w:eastAsia="zh-CN"/>
                    </w:rPr>
                    <w:t>1#</w:t>
                  </w:r>
                  <w:r>
                    <w:rPr>
                      <w:rFonts w:hint="default" w:ascii="Times New Roman" w:hAnsi="Times New Roman" w:eastAsia="宋体" w:cs="Times New Roman"/>
                      <w:b w:val="0"/>
                      <w:bCs w:val="0"/>
                      <w:color w:val="auto"/>
                      <w:sz w:val="21"/>
                      <w:szCs w:val="21"/>
                      <w:u w:val="none"/>
                    </w:rPr>
                    <w:t>油雾净化</w:t>
                  </w:r>
                  <w:r>
                    <w:rPr>
                      <w:rFonts w:hint="default" w:ascii="Times New Roman" w:hAnsi="Times New Roman" w:eastAsia="宋体" w:cs="Times New Roman"/>
                      <w:b w:val="0"/>
                      <w:bCs w:val="0"/>
                      <w:color w:val="auto"/>
                      <w:sz w:val="21"/>
                      <w:szCs w:val="21"/>
                      <w:u w:val="none"/>
                      <w:lang w:eastAsia="zh-CN"/>
                    </w:rPr>
                    <w:t>装置出口</w:t>
                  </w:r>
                </w:p>
              </w:tc>
              <w:tc>
                <w:tcPr>
                  <w:tcW w:w="805" w:type="pct"/>
                  <w:vMerge w:val="restart"/>
                  <w:tcBorders>
                    <w:top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2023.02.28</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1</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17017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5.38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0.0916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2</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17185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5.59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0.0961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3</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17113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5.21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0.0892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均值</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17105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5.39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0.0923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restart"/>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u w:val="none"/>
                    </w:rPr>
                    <w:t>箔轧</w:t>
                  </w:r>
                  <w:r>
                    <w:rPr>
                      <w:rFonts w:hint="default" w:ascii="Times New Roman" w:hAnsi="Times New Roman" w:eastAsia="宋体" w:cs="Times New Roman"/>
                      <w:b w:val="0"/>
                      <w:bCs w:val="0"/>
                      <w:color w:val="auto"/>
                      <w:sz w:val="21"/>
                      <w:szCs w:val="21"/>
                      <w:u w:val="none"/>
                      <w:lang w:val="en-US" w:eastAsia="zh-CN"/>
                    </w:rPr>
                    <w:t>1#</w:t>
                  </w:r>
                  <w:r>
                    <w:rPr>
                      <w:rFonts w:hint="default" w:ascii="Times New Roman" w:hAnsi="Times New Roman" w:eastAsia="宋体" w:cs="Times New Roman"/>
                      <w:b w:val="0"/>
                      <w:bCs w:val="0"/>
                      <w:color w:val="auto"/>
                      <w:sz w:val="21"/>
                      <w:szCs w:val="21"/>
                      <w:u w:val="none"/>
                    </w:rPr>
                    <w:t>油雾净化</w:t>
                  </w:r>
                  <w:r>
                    <w:rPr>
                      <w:rFonts w:hint="default" w:ascii="Times New Roman" w:hAnsi="Times New Roman" w:eastAsia="宋体" w:cs="Times New Roman"/>
                      <w:b w:val="0"/>
                      <w:bCs w:val="0"/>
                      <w:color w:val="auto"/>
                      <w:sz w:val="21"/>
                      <w:szCs w:val="21"/>
                      <w:u w:val="none"/>
                      <w:lang w:eastAsia="zh-CN"/>
                    </w:rPr>
                    <w:t>装置出口</w:t>
                  </w:r>
                </w:p>
              </w:tc>
              <w:tc>
                <w:tcPr>
                  <w:tcW w:w="805" w:type="pct"/>
                  <w:vMerge w:val="restart"/>
                  <w:tcBorders>
                    <w:top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2023.03.01</w:t>
                  </w: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1</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17928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5.28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0.0947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2</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18021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5.43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0.0979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3</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18055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5.47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0.0988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均值</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18001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5.39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0.0971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restart"/>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u w:val="none"/>
                    </w:rPr>
                    <w:t>箔轧</w:t>
                  </w:r>
                  <w:r>
                    <w:rPr>
                      <w:rFonts w:hint="default" w:ascii="Times New Roman" w:hAnsi="Times New Roman" w:eastAsia="宋体" w:cs="Times New Roman"/>
                      <w:b w:val="0"/>
                      <w:bCs w:val="0"/>
                      <w:color w:val="auto"/>
                      <w:sz w:val="21"/>
                      <w:szCs w:val="21"/>
                      <w:u w:val="none"/>
                      <w:lang w:val="en-US" w:eastAsia="zh-CN"/>
                    </w:rPr>
                    <w:t>2#</w:t>
                  </w:r>
                  <w:r>
                    <w:rPr>
                      <w:rFonts w:hint="default" w:ascii="Times New Roman" w:hAnsi="Times New Roman" w:eastAsia="宋体" w:cs="Times New Roman"/>
                      <w:b w:val="0"/>
                      <w:bCs w:val="0"/>
                      <w:color w:val="auto"/>
                      <w:sz w:val="21"/>
                      <w:szCs w:val="21"/>
                      <w:u w:val="none"/>
                    </w:rPr>
                    <w:t>油雾净化</w:t>
                  </w:r>
                  <w:r>
                    <w:rPr>
                      <w:rFonts w:hint="default" w:ascii="Times New Roman" w:hAnsi="Times New Roman" w:eastAsia="宋体" w:cs="Times New Roman"/>
                      <w:b w:val="0"/>
                      <w:bCs w:val="0"/>
                      <w:color w:val="auto"/>
                      <w:sz w:val="21"/>
                      <w:szCs w:val="21"/>
                      <w:u w:val="none"/>
                      <w:lang w:eastAsia="zh-CN"/>
                    </w:rPr>
                    <w:t>装置出口</w:t>
                  </w:r>
                </w:p>
              </w:tc>
              <w:tc>
                <w:tcPr>
                  <w:tcW w:w="805" w:type="pct"/>
                  <w:vMerge w:val="restart"/>
                  <w:tcBorders>
                    <w:top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2023.02.28</w:t>
                  </w: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1</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16698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4.98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0.0832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2</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16541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5.12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0.0847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rPr>
                    <w:t>3</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16600</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5.24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0.0870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val="0"/>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rPr>
                    <w:t>均值</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16613</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5.11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 xml:space="preserve">0.0849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restart"/>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u w:val="none"/>
                    </w:rPr>
                    <w:t>箔轧</w:t>
                  </w:r>
                  <w:r>
                    <w:rPr>
                      <w:rFonts w:hint="default" w:ascii="Times New Roman" w:hAnsi="Times New Roman" w:cs="Times New Roman"/>
                      <w:b w:val="0"/>
                      <w:bCs/>
                      <w:color w:val="auto"/>
                      <w:sz w:val="21"/>
                      <w:szCs w:val="21"/>
                      <w:u w:val="none"/>
                      <w:lang w:val="en-US" w:eastAsia="zh-CN"/>
                    </w:rPr>
                    <w:t>2#</w:t>
                  </w:r>
                  <w:r>
                    <w:rPr>
                      <w:rFonts w:hint="default" w:ascii="Times New Roman" w:hAnsi="Times New Roman" w:cs="Times New Roman"/>
                      <w:b w:val="0"/>
                      <w:bCs/>
                      <w:color w:val="auto"/>
                      <w:sz w:val="21"/>
                      <w:szCs w:val="21"/>
                      <w:u w:val="none"/>
                    </w:rPr>
                    <w:t>油雾净化</w:t>
                  </w:r>
                  <w:r>
                    <w:rPr>
                      <w:rFonts w:hint="default" w:ascii="Times New Roman" w:hAnsi="Times New Roman" w:cs="Times New Roman"/>
                      <w:b w:val="0"/>
                      <w:bCs/>
                      <w:color w:val="auto"/>
                      <w:sz w:val="21"/>
                      <w:szCs w:val="21"/>
                      <w:u w:val="none"/>
                      <w:lang w:eastAsia="zh-CN"/>
                    </w:rPr>
                    <w:t>装置出口</w:t>
                  </w:r>
                </w:p>
              </w:tc>
              <w:tc>
                <w:tcPr>
                  <w:tcW w:w="805" w:type="pct"/>
                  <w:vMerge w:val="restart"/>
                  <w:tcBorders>
                    <w:top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2023.03.01</w:t>
                  </w: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rPr>
                    <w:t>1</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16574</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5.03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0.0834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rPr>
                    <w:t>2</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16960</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5.28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0.0895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rPr>
                    <w:t>3</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16534</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5.17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0.0855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均值</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16689</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5.16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0.0861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restart"/>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u w:val="none"/>
                    </w:rPr>
                    <w:t>冷轧</w:t>
                  </w:r>
                  <w:r>
                    <w:rPr>
                      <w:rFonts w:hint="default" w:ascii="Times New Roman" w:hAnsi="Times New Roman" w:cs="Times New Roman"/>
                      <w:b w:val="0"/>
                      <w:bCs/>
                      <w:color w:val="auto"/>
                      <w:sz w:val="21"/>
                      <w:szCs w:val="21"/>
                      <w:u w:val="none"/>
                      <w:lang w:val="en-US" w:eastAsia="zh-CN"/>
                    </w:rPr>
                    <w:t>1#</w:t>
                  </w:r>
                  <w:r>
                    <w:rPr>
                      <w:rFonts w:hint="default" w:ascii="Times New Roman" w:hAnsi="Times New Roman" w:cs="Times New Roman"/>
                      <w:b w:val="0"/>
                      <w:bCs/>
                      <w:color w:val="auto"/>
                      <w:sz w:val="21"/>
                      <w:szCs w:val="21"/>
                      <w:u w:val="none"/>
                    </w:rPr>
                    <w:t>油雾净化</w:t>
                  </w:r>
                  <w:r>
                    <w:rPr>
                      <w:rFonts w:hint="default" w:ascii="Times New Roman" w:hAnsi="Times New Roman" w:cs="Times New Roman"/>
                      <w:b w:val="0"/>
                      <w:bCs/>
                      <w:color w:val="auto"/>
                      <w:sz w:val="21"/>
                      <w:szCs w:val="21"/>
                      <w:u w:val="none"/>
                      <w:lang w:eastAsia="zh-CN"/>
                    </w:rPr>
                    <w:t>装置出口</w:t>
                  </w:r>
                </w:p>
              </w:tc>
              <w:tc>
                <w:tcPr>
                  <w:tcW w:w="805" w:type="pct"/>
                  <w:vMerge w:val="restart"/>
                  <w:tcBorders>
                    <w:top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lang w:val="en-US" w:eastAsia="zh-CN"/>
                    </w:rPr>
                    <w:t>2023.02.28</w:t>
                  </w: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1</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27338</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7.38</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0.2018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2</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27471</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7.70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0.2115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3</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27259</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7.12</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0.1941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eastAsia="宋体" w:cs="Times New Roman"/>
                      <w:b w:val="0"/>
                      <w:bCs/>
                      <w:color w:val="auto"/>
                      <w:sz w:val="21"/>
                      <w:szCs w:val="21"/>
                      <w:lang w:val="en-US" w:eastAsia="zh-CN"/>
                    </w:rPr>
                    <w:t>均值</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27356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7.40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0.2025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restart"/>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u w:val="none"/>
                    </w:rPr>
                    <w:t>冷轧</w:t>
                  </w:r>
                  <w:r>
                    <w:rPr>
                      <w:rFonts w:hint="default" w:ascii="Times New Roman" w:hAnsi="Times New Roman" w:cs="Times New Roman"/>
                      <w:b w:val="0"/>
                      <w:bCs/>
                      <w:color w:val="auto"/>
                      <w:sz w:val="21"/>
                      <w:szCs w:val="21"/>
                      <w:u w:val="none"/>
                      <w:lang w:val="en-US" w:eastAsia="zh-CN"/>
                    </w:rPr>
                    <w:t>1#</w:t>
                  </w:r>
                  <w:r>
                    <w:rPr>
                      <w:rFonts w:hint="default" w:ascii="Times New Roman" w:hAnsi="Times New Roman" w:cs="Times New Roman"/>
                      <w:b w:val="0"/>
                      <w:bCs/>
                      <w:color w:val="auto"/>
                      <w:sz w:val="21"/>
                      <w:szCs w:val="21"/>
                      <w:u w:val="none"/>
                    </w:rPr>
                    <w:t>油雾净化</w:t>
                  </w:r>
                  <w:r>
                    <w:rPr>
                      <w:rFonts w:hint="default" w:ascii="Times New Roman" w:hAnsi="Times New Roman" w:cs="Times New Roman"/>
                      <w:b w:val="0"/>
                      <w:bCs/>
                      <w:color w:val="auto"/>
                      <w:sz w:val="21"/>
                      <w:szCs w:val="21"/>
                      <w:u w:val="none"/>
                      <w:lang w:eastAsia="zh-CN"/>
                    </w:rPr>
                    <w:t>装置出口</w:t>
                  </w:r>
                </w:p>
              </w:tc>
              <w:tc>
                <w:tcPr>
                  <w:tcW w:w="805" w:type="pct"/>
                  <w:vMerge w:val="restart"/>
                  <w:tcBorders>
                    <w:top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2023.03.01</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1</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27280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7.43</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0.2027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2</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27317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6.99</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0.1909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3</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27256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7.28</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0.1984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均值</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27284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7.23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0.1974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restart"/>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u w:val="none"/>
                    </w:rPr>
                    <w:t>冷轧</w:t>
                  </w:r>
                  <w:r>
                    <w:rPr>
                      <w:rFonts w:hint="default" w:ascii="Times New Roman" w:hAnsi="Times New Roman" w:cs="Times New Roman"/>
                      <w:b w:val="0"/>
                      <w:bCs/>
                      <w:color w:val="auto"/>
                      <w:sz w:val="21"/>
                      <w:szCs w:val="21"/>
                      <w:u w:val="none"/>
                      <w:lang w:val="en-US" w:eastAsia="zh-CN"/>
                    </w:rPr>
                    <w:t>2#</w:t>
                  </w:r>
                  <w:r>
                    <w:rPr>
                      <w:rFonts w:hint="default" w:ascii="Times New Roman" w:hAnsi="Times New Roman" w:cs="Times New Roman"/>
                      <w:b w:val="0"/>
                      <w:bCs/>
                      <w:color w:val="auto"/>
                      <w:sz w:val="21"/>
                      <w:szCs w:val="21"/>
                      <w:u w:val="none"/>
                    </w:rPr>
                    <w:t>油雾净化</w:t>
                  </w:r>
                  <w:r>
                    <w:rPr>
                      <w:rFonts w:hint="default" w:ascii="Times New Roman" w:hAnsi="Times New Roman" w:cs="Times New Roman"/>
                      <w:b w:val="0"/>
                      <w:bCs/>
                      <w:color w:val="auto"/>
                      <w:sz w:val="21"/>
                      <w:szCs w:val="21"/>
                      <w:u w:val="none"/>
                      <w:lang w:eastAsia="zh-CN"/>
                    </w:rPr>
                    <w:t>装置出口</w:t>
                  </w:r>
                </w:p>
              </w:tc>
              <w:tc>
                <w:tcPr>
                  <w:tcW w:w="805" w:type="pct"/>
                  <w:vMerge w:val="restart"/>
                  <w:tcBorders>
                    <w:top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lang w:val="en-US" w:eastAsia="zh-CN"/>
                    </w:rPr>
                    <w:t>2023.02.28</w:t>
                  </w: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1</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27994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6.21</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0.1738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2</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27037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6.09</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0.1647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3</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27126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6.31</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0.1712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eastAsia="宋体" w:cs="Times New Roman"/>
                      <w:b w:val="0"/>
                      <w:bCs/>
                      <w:color w:val="auto"/>
                      <w:sz w:val="21"/>
                      <w:szCs w:val="21"/>
                      <w:lang w:val="en-US" w:eastAsia="zh-CN"/>
                    </w:rPr>
                    <w:t>均值</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27386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6.20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0.1699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restart"/>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u w:val="none"/>
                    </w:rPr>
                    <w:t>冷轧</w:t>
                  </w:r>
                  <w:r>
                    <w:rPr>
                      <w:rFonts w:hint="default" w:ascii="Times New Roman" w:hAnsi="Times New Roman" w:cs="Times New Roman"/>
                      <w:b w:val="0"/>
                      <w:bCs/>
                      <w:color w:val="auto"/>
                      <w:sz w:val="21"/>
                      <w:szCs w:val="21"/>
                      <w:u w:val="none"/>
                      <w:lang w:val="en-US" w:eastAsia="zh-CN"/>
                    </w:rPr>
                    <w:t>2#</w:t>
                  </w:r>
                  <w:r>
                    <w:rPr>
                      <w:rFonts w:hint="default" w:ascii="Times New Roman" w:hAnsi="Times New Roman" w:cs="Times New Roman"/>
                      <w:b w:val="0"/>
                      <w:bCs/>
                      <w:color w:val="auto"/>
                      <w:sz w:val="21"/>
                      <w:szCs w:val="21"/>
                      <w:u w:val="none"/>
                    </w:rPr>
                    <w:t>油雾净化</w:t>
                  </w:r>
                  <w:r>
                    <w:rPr>
                      <w:rFonts w:hint="default" w:ascii="Times New Roman" w:hAnsi="Times New Roman" w:cs="Times New Roman"/>
                      <w:b w:val="0"/>
                      <w:bCs/>
                      <w:color w:val="auto"/>
                      <w:sz w:val="21"/>
                      <w:szCs w:val="21"/>
                      <w:u w:val="none"/>
                      <w:lang w:eastAsia="zh-CN"/>
                    </w:rPr>
                    <w:t>装置出口</w:t>
                  </w:r>
                </w:p>
              </w:tc>
              <w:tc>
                <w:tcPr>
                  <w:tcW w:w="805" w:type="pct"/>
                  <w:vMerge w:val="restart"/>
                  <w:tcBorders>
                    <w:top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lang w:val="en-US" w:eastAsia="zh-CN"/>
                    </w:rPr>
                    <w:t>2023.03.01</w:t>
                  </w: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1</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27916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6.10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0.1703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2</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28012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6.21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0.1740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rPr>
                    <w:t>3</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28083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6.22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0.1747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41"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05" w:type="pct"/>
                  <w:vMerge w:val="continue"/>
                  <w:tcBorders>
                    <w:top w:val="single" w:color="000000" w:sz="2" w:space="0"/>
                    <w:bottom w:val="single" w:color="000000" w:sz="2"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color w:val="auto"/>
                      <w:sz w:val="21"/>
                      <w:szCs w:val="21"/>
                    </w:rPr>
                  </w:pPr>
                </w:p>
              </w:tc>
              <w:tc>
                <w:tcPr>
                  <w:tcW w:w="837"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eastAsia="宋体" w:cs="Times New Roman"/>
                      <w:b w:val="0"/>
                      <w:bCs/>
                      <w:color w:val="auto"/>
                      <w:sz w:val="21"/>
                      <w:szCs w:val="21"/>
                      <w:lang w:val="en-US" w:eastAsia="zh-CN"/>
                    </w:rPr>
                    <w:t>均值</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28004 </w:t>
                  </w:r>
                </w:p>
              </w:tc>
              <w:tc>
                <w:tcPr>
                  <w:tcW w:w="83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6.18 </w:t>
                  </w:r>
                </w:p>
              </w:tc>
              <w:tc>
                <w:tcPr>
                  <w:tcW w:w="840"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b w:val="0"/>
                      <w:bCs/>
                      <w:color w:val="auto"/>
                      <w:sz w:val="21"/>
                      <w:szCs w:val="21"/>
                      <w:lang w:val="en-US" w:eastAsia="zh-CN"/>
                    </w:rPr>
                    <w:t xml:space="preserve">0.1730 </w:t>
                  </w:r>
                </w:p>
              </w:tc>
            </w:tr>
          </w:tbl>
          <w:p>
            <w:pPr>
              <w:pStyle w:val="2"/>
              <w:numPr>
                <w:ilvl w:val="0"/>
                <w:numId w:val="0"/>
              </w:numPr>
              <w:bidi w:val="0"/>
              <w:spacing w:line="360" w:lineRule="auto"/>
              <w:ind w:leftChars="0" w:firstLine="480" w:firstLineChars="200"/>
              <w:jc w:val="both"/>
              <w:rPr>
                <w:rFonts w:hint="default" w:ascii="Times New Roman" w:hAnsi="Times New Roman" w:eastAsia="宋体" w:cs="Times New Roman"/>
                <w:b w:val="0"/>
                <w:bCs/>
                <w:color w:val="auto"/>
                <w:sz w:val="24"/>
                <w:szCs w:val="24"/>
                <w:u w:val="none"/>
                <w:lang w:val="en-US" w:eastAsia="zh-CN"/>
              </w:rPr>
            </w:pPr>
            <w:r>
              <w:rPr>
                <w:rFonts w:hint="eastAsia" w:ascii="Times New Roman" w:hAnsi="Times New Roman" w:cs="Times New Roman"/>
                <w:b w:val="0"/>
                <w:bCs w:val="0"/>
                <w:color w:val="auto"/>
                <w:sz w:val="24"/>
                <w:szCs w:val="24"/>
                <w:lang w:val="en-US" w:eastAsia="zh-CN"/>
              </w:rPr>
              <w:t>由上表可知，各污染物排放浓度</w:t>
            </w:r>
            <w:r>
              <w:rPr>
                <w:rFonts w:hint="default" w:ascii="Times New Roman" w:hAnsi="Times New Roman" w:eastAsia="宋体" w:cs="Times New Roman"/>
                <w:b w:val="0"/>
                <w:bCs w:val="0"/>
                <w:color w:val="auto"/>
                <w:sz w:val="24"/>
                <w:szCs w:val="24"/>
                <w:lang w:val="en-US" w:eastAsia="zh-CN"/>
              </w:rPr>
              <w:t>满足《大气污染物综合排放标准》（GB16297-1996）表2二级标准及</w:t>
            </w:r>
            <w:r>
              <w:rPr>
                <w:rFonts w:hint="default" w:ascii="Times New Roman" w:hAnsi="Times New Roman" w:eastAsia="宋体" w:cs="Times New Roman"/>
                <w:b w:val="0"/>
                <w:bCs/>
                <w:color w:val="auto"/>
                <w:sz w:val="24"/>
                <w:szCs w:val="24"/>
                <w:u w:val="none"/>
                <w:lang w:val="en-US" w:eastAsia="zh-CN"/>
              </w:rPr>
              <w:t>《关于全省开展工业企业挥发性有机物专项治理工作中排放建议值的通知》（豫环攻坚办〔2017〕162号）排放建议限值（非甲烷总烃≤80mg/m</w:t>
            </w:r>
            <w:r>
              <w:rPr>
                <w:rFonts w:hint="default" w:ascii="Times New Roman" w:hAnsi="Times New Roman" w:eastAsia="宋体" w:cs="Times New Roman"/>
                <w:b w:val="0"/>
                <w:bCs/>
                <w:color w:val="auto"/>
                <w:sz w:val="24"/>
                <w:szCs w:val="24"/>
                <w:u w:val="none"/>
                <w:vertAlign w:val="superscript"/>
                <w:lang w:val="en-US" w:eastAsia="zh-CN"/>
              </w:rPr>
              <w:t>3</w:t>
            </w:r>
            <w:r>
              <w:rPr>
                <w:rFonts w:hint="default" w:ascii="Times New Roman" w:hAnsi="Times New Roman" w:eastAsia="宋体" w:cs="Times New Roman"/>
                <w:b w:val="0"/>
                <w:bCs/>
                <w:color w:val="auto"/>
                <w:sz w:val="24"/>
                <w:szCs w:val="24"/>
                <w:u w:val="none"/>
                <w:lang w:val="en-US" w:eastAsia="zh-CN"/>
              </w:rPr>
              <w:t>）</w:t>
            </w:r>
          </w:p>
          <w:p>
            <w:pPr>
              <w:pStyle w:val="2"/>
              <w:bidi w:val="0"/>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val="en-US" w:eastAsia="zh-CN"/>
              </w:rPr>
              <w:t>燃气发生器废气</w:t>
            </w:r>
            <w:r>
              <w:rPr>
                <w:rFonts w:hint="default" w:ascii="Times New Roman" w:hAnsi="Times New Roman" w:eastAsia="宋体" w:cs="Times New Roman"/>
                <w:color w:val="auto"/>
                <w:sz w:val="24"/>
                <w:szCs w:val="24"/>
                <w:lang w:val="en-US" w:eastAsia="zh-CN"/>
              </w:rPr>
              <w:t>有组织废气</w:t>
            </w:r>
            <w:r>
              <w:rPr>
                <w:rFonts w:hint="default" w:ascii="Times New Roman" w:hAnsi="Times New Roman" w:eastAsia="宋体" w:cs="Times New Roman"/>
                <w:color w:val="auto"/>
                <w:sz w:val="24"/>
                <w:szCs w:val="24"/>
                <w:lang w:val="zh-CN"/>
              </w:rPr>
              <w:t>污染物排放</w:t>
            </w:r>
            <w:r>
              <w:rPr>
                <w:rFonts w:hint="default" w:ascii="Times New Roman" w:hAnsi="Times New Roman" w:eastAsia="宋体" w:cs="Times New Roman"/>
                <w:color w:val="auto"/>
                <w:sz w:val="24"/>
                <w:szCs w:val="24"/>
                <w:lang w:val="en-US" w:eastAsia="zh-CN"/>
              </w:rPr>
              <w:t>监测结果</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3"/>
              <w:gridCol w:w="835"/>
              <w:gridCol w:w="353"/>
              <w:gridCol w:w="751"/>
              <w:gridCol w:w="463"/>
              <w:gridCol w:w="470"/>
              <w:gridCol w:w="737"/>
              <w:gridCol w:w="463"/>
              <w:gridCol w:w="470"/>
              <w:gridCol w:w="737"/>
              <w:gridCol w:w="511"/>
              <w:gridCol w:w="422"/>
              <w:gridCol w:w="737"/>
              <w:gridCol w:w="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jc w:val="center"/>
              </w:trPr>
              <w:tc>
                <w:tcPr>
                  <w:tcW w:w="22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lang w:eastAsia="zh-CN"/>
                    </w:rPr>
                  </w:pPr>
                  <w:r>
                    <w:rPr>
                      <w:rFonts w:hint="default" w:ascii="Times New Roman" w:hAnsi="Times New Roman" w:cs="Times New Roman"/>
                      <w:b w:val="0"/>
                      <w:bCs/>
                      <w:color w:val="auto"/>
                      <w:sz w:val="21"/>
                      <w:szCs w:val="21"/>
                      <w:u w:val="none"/>
                      <w:lang w:eastAsia="zh-CN"/>
                    </w:rPr>
                    <w:t>检测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点位</w:t>
                  </w:r>
                </w:p>
              </w:tc>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lang w:eastAsia="zh-CN"/>
                    </w:rPr>
                  </w:pPr>
                  <w:r>
                    <w:rPr>
                      <w:rFonts w:hint="default" w:ascii="Times New Roman" w:hAnsi="Times New Roman" w:cs="Times New Roman"/>
                      <w:b w:val="0"/>
                      <w:bCs/>
                      <w:color w:val="auto"/>
                      <w:sz w:val="21"/>
                      <w:szCs w:val="21"/>
                      <w:u w:val="none"/>
                      <w:lang w:eastAsia="zh-CN"/>
                    </w:rPr>
                    <w:t>采样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日期</w:t>
                  </w:r>
                </w:p>
              </w:tc>
              <w:tc>
                <w:tcPr>
                  <w:tcW w:w="22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lang w:eastAsia="zh-CN"/>
                    </w:rPr>
                  </w:pPr>
                  <w:r>
                    <w:rPr>
                      <w:rFonts w:hint="default" w:ascii="Times New Roman" w:hAnsi="Times New Roman" w:cs="Times New Roman"/>
                      <w:b w:val="0"/>
                      <w:bCs/>
                      <w:color w:val="auto"/>
                      <w:sz w:val="21"/>
                      <w:szCs w:val="21"/>
                      <w:u w:val="none"/>
                      <w:lang w:eastAsia="zh-CN"/>
                    </w:rPr>
                    <w:t>检测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频次</w:t>
                  </w:r>
                </w:p>
              </w:tc>
              <w:tc>
                <w:tcPr>
                  <w:tcW w:w="474"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lang w:val="en-US" w:eastAsia="zh-CN"/>
                    </w:rPr>
                    <w:t>标干</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lang w:val="en-US" w:eastAsia="zh-CN"/>
                    </w:rPr>
                    <w:t>风量</w:t>
                  </w:r>
                  <w:r>
                    <w:rPr>
                      <w:rFonts w:hint="default" w:ascii="Times New Roman" w:hAnsi="Times New Roman" w:cs="Times New Roman"/>
                      <w:b w:val="0"/>
                      <w:bCs/>
                      <w:color w:val="auto"/>
                      <w:sz w:val="21"/>
                      <w:szCs w:val="21"/>
                      <w:u w:val="none"/>
                    </w:rPr>
                    <w:t>（m</w:t>
                  </w:r>
                  <w:r>
                    <w:rPr>
                      <w:rFonts w:hint="default" w:ascii="Times New Roman" w:hAnsi="Times New Roman" w:cs="Times New Roman"/>
                      <w:b w:val="0"/>
                      <w:bCs/>
                      <w:color w:val="auto"/>
                      <w:sz w:val="21"/>
                      <w:szCs w:val="21"/>
                      <w:u w:val="none"/>
                      <w:vertAlign w:val="superscript"/>
                    </w:rPr>
                    <w:t>3</w:t>
                  </w:r>
                  <w:r>
                    <w:rPr>
                      <w:rFonts w:hint="default" w:ascii="Times New Roman" w:hAnsi="Times New Roman" w:cs="Times New Roman"/>
                      <w:b w:val="0"/>
                      <w:bCs/>
                      <w:color w:val="auto"/>
                      <w:sz w:val="21"/>
                      <w:szCs w:val="21"/>
                      <w:u w:val="none"/>
                    </w:rPr>
                    <w:t>/h）</w:t>
                  </w:r>
                </w:p>
              </w:tc>
              <w:tc>
                <w:tcPr>
                  <w:tcW w:w="589" w:type="pct"/>
                  <w:gridSpan w:val="2"/>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lang w:val="en-US" w:eastAsia="zh-CN"/>
                    </w:rPr>
                    <w:t>颗粒物</w:t>
                  </w:r>
                  <w:r>
                    <w:rPr>
                      <w:rFonts w:hint="default" w:ascii="Times New Roman" w:hAnsi="Times New Roman" w:cs="Times New Roman"/>
                      <w:b w:val="0"/>
                      <w:bCs/>
                      <w:color w:val="auto"/>
                      <w:sz w:val="21"/>
                      <w:szCs w:val="21"/>
                      <w:u w:val="none"/>
                    </w:rPr>
                    <w:t>浓度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rPr>
                    <w:t>（mg/m</w:t>
                  </w:r>
                  <w:r>
                    <w:rPr>
                      <w:rFonts w:hint="default" w:ascii="Times New Roman" w:hAnsi="Times New Roman" w:cs="Times New Roman"/>
                      <w:b w:val="0"/>
                      <w:bCs/>
                      <w:color w:val="auto"/>
                      <w:sz w:val="21"/>
                      <w:szCs w:val="21"/>
                      <w:u w:val="none"/>
                      <w:vertAlign w:val="superscript"/>
                    </w:rPr>
                    <w:t>3</w:t>
                  </w:r>
                  <w:r>
                    <w:rPr>
                      <w:rFonts w:hint="default" w:ascii="Times New Roman" w:hAnsi="Times New Roman" w:cs="Times New Roman"/>
                      <w:b w:val="0"/>
                      <w:bCs/>
                      <w:color w:val="auto"/>
                      <w:sz w:val="21"/>
                      <w:szCs w:val="21"/>
                      <w:u w:val="none"/>
                    </w:rPr>
                    <w:t>）</w:t>
                  </w:r>
                </w:p>
              </w:tc>
              <w:tc>
                <w:tcPr>
                  <w:tcW w:w="465"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排放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速率（kg/h）</w:t>
                  </w:r>
                </w:p>
              </w:tc>
              <w:tc>
                <w:tcPr>
                  <w:tcW w:w="589" w:type="pct"/>
                  <w:gridSpan w:val="2"/>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lang w:val="en-US" w:eastAsia="zh-CN"/>
                    </w:rPr>
                    <w:t>二氧化硫</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rPr>
                    <w:t>（mg/m</w:t>
                  </w:r>
                  <w:r>
                    <w:rPr>
                      <w:rFonts w:hint="default" w:ascii="Times New Roman" w:hAnsi="Times New Roman" w:cs="Times New Roman"/>
                      <w:b w:val="0"/>
                      <w:bCs/>
                      <w:color w:val="auto"/>
                      <w:sz w:val="21"/>
                      <w:szCs w:val="21"/>
                      <w:u w:val="none"/>
                      <w:vertAlign w:val="superscript"/>
                    </w:rPr>
                    <w:t>3</w:t>
                  </w:r>
                  <w:r>
                    <w:rPr>
                      <w:rFonts w:hint="default" w:ascii="Times New Roman" w:hAnsi="Times New Roman" w:cs="Times New Roman"/>
                      <w:b w:val="0"/>
                      <w:bCs/>
                      <w:color w:val="auto"/>
                      <w:sz w:val="21"/>
                      <w:szCs w:val="21"/>
                      <w:u w:val="none"/>
                    </w:rPr>
                    <w:t>）</w:t>
                  </w:r>
                </w:p>
              </w:tc>
              <w:tc>
                <w:tcPr>
                  <w:tcW w:w="387"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排放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速率（kg/h）</w:t>
                  </w:r>
                </w:p>
              </w:tc>
              <w:tc>
                <w:tcPr>
                  <w:tcW w:w="667" w:type="pct"/>
                  <w:gridSpan w:val="2"/>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lang w:val="en-US" w:eastAsia="zh-CN"/>
                    </w:rPr>
                    <w:t>氮氧化物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rPr>
                    <w:t>（mg/m</w:t>
                  </w:r>
                  <w:r>
                    <w:rPr>
                      <w:rFonts w:hint="default" w:ascii="Times New Roman" w:hAnsi="Times New Roman" w:cs="Times New Roman"/>
                      <w:b w:val="0"/>
                      <w:bCs/>
                      <w:color w:val="auto"/>
                      <w:sz w:val="21"/>
                      <w:szCs w:val="21"/>
                      <w:u w:val="none"/>
                      <w:vertAlign w:val="superscript"/>
                    </w:rPr>
                    <w:t>3</w:t>
                  </w:r>
                  <w:r>
                    <w:rPr>
                      <w:rFonts w:hint="default" w:ascii="Times New Roman" w:hAnsi="Times New Roman" w:cs="Times New Roman"/>
                      <w:b w:val="0"/>
                      <w:bCs/>
                      <w:color w:val="auto"/>
                      <w:sz w:val="21"/>
                      <w:szCs w:val="21"/>
                      <w:u w:val="none"/>
                    </w:rPr>
                    <w:t>）</w:t>
                  </w:r>
                </w:p>
              </w:tc>
              <w:tc>
                <w:tcPr>
                  <w:tcW w:w="465"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排放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速率（kg/h）</w:t>
                  </w:r>
                </w:p>
              </w:tc>
              <w:tc>
                <w:tcPr>
                  <w:tcW w:w="38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lang w:val="en-US" w:eastAsia="zh-CN"/>
                    </w:rPr>
                    <w:t>含氧量（%）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2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22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474"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292"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lang w:val="en-US"/>
                    </w:rPr>
                  </w:pPr>
                  <w:r>
                    <w:rPr>
                      <w:rFonts w:hint="default" w:ascii="Times New Roman" w:hAnsi="Times New Roman" w:cs="Times New Roman"/>
                      <w:b w:val="0"/>
                      <w:bCs/>
                      <w:color w:val="auto"/>
                      <w:sz w:val="21"/>
                      <w:szCs w:val="21"/>
                      <w:u w:val="none"/>
                      <w:lang w:val="en-US" w:eastAsia="zh-CN"/>
                    </w:rPr>
                    <w:t>实测值</w:t>
                  </w:r>
                </w:p>
              </w:tc>
              <w:tc>
                <w:tcPr>
                  <w:tcW w:w="296"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lang w:val="en-US" w:eastAsia="zh-CN"/>
                    </w:rPr>
                    <w:t>折算值</w:t>
                  </w:r>
                </w:p>
              </w:tc>
              <w:tc>
                <w:tcPr>
                  <w:tcW w:w="465"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292"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lang w:val="en-US" w:eastAsia="zh-CN"/>
                    </w:rPr>
                    <w:t>实测值</w:t>
                  </w:r>
                </w:p>
              </w:tc>
              <w:tc>
                <w:tcPr>
                  <w:tcW w:w="296"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lang w:val="en-US" w:eastAsia="zh-CN"/>
                    </w:rPr>
                    <w:t>折算值</w:t>
                  </w:r>
                </w:p>
              </w:tc>
              <w:tc>
                <w:tcPr>
                  <w:tcW w:w="387"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cs="Times New Roman"/>
                      <w:b w:val="0"/>
                      <w:bCs/>
                      <w:color w:val="auto"/>
                      <w:sz w:val="21"/>
                      <w:szCs w:val="21"/>
                      <w:u w:val="none"/>
                    </w:rPr>
                  </w:pPr>
                </w:p>
              </w:tc>
              <w:tc>
                <w:tcPr>
                  <w:tcW w:w="371"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lang w:val="en-US" w:eastAsia="zh-CN"/>
                    </w:rPr>
                    <w:t>实测值</w:t>
                  </w:r>
                </w:p>
              </w:tc>
              <w:tc>
                <w:tcPr>
                  <w:tcW w:w="296"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lang w:val="en-US" w:eastAsia="zh-CN"/>
                    </w:rPr>
                    <w:t>折算值</w:t>
                  </w:r>
                </w:p>
              </w:tc>
              <w:tc>
                <w:tcPr>
                  <w:tcW w:w="465"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cs="Times New Roman"/>
                      <w:b w:val="0"/>
                      <w:bCs/>
                      <w:color w:val="auto"/>
                      <w:sz w:val="21"/>
                      <w:szCs w:val="21"/>
                      <w:u w:val="none"/>
                    </w:rPr>
                  </w:pPr>
                </w:p>
              </w:tc>
              <w:tc>
                <w:tcPr>
                  <w:tcW w:w="38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cs="Times New Roman"/>
                      <w:b w:val="0"/>
                      <w:bCs/>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23"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lang w:val="en-US" w:eastAsia="zh-CN"/>
                    </w:rPr>
                    <w:t>燃气发生器</w:t>
                  </w:r>
                  <w:r>
                    <w:rPr>
                      <w:rFonts w:hint="default" w:ascii="Times New Roman" w:hAnsi="Times New Roman" w:eastAsia="宋体" w:cs="Times New Roman"/>
                      <w:b w:val="0"/>
                      <w:bCs/>
                      <w:color w:val="auto"/>
                      <w:sz w:val="21"/>
                      <w:szCs w:val="21"/>
                      <w:u w:val="none"/>
                      <w:lang w:val="en-US" w:eastAsia="zh-CN"/>
                    </w:rPr>
                    <w:t>废气</w:t>
                  </w:r>
                  <w:r>
                    <w:rPr>
                      <w:rFonts w:hint="default" w:ascii="Times New Roman" w:hAnsi="Times New Roman" w:cs="Times New Roman"/>
                      <w:b w:val="0"/>
                      <w:bCs/>
                      <w:color w:val="auto"/>
                      <w:sz w:val="21"/>
                      <w:szCs w:val="21"/>
                      <w:u w:val="none"/>
                      <w:lang w:val="en-US" w:eastAsia="zh-CN"/>
                    </w:rPr>
                    <w:t>排气筒出口</w:t>
                  </w:r>
                </w:p>
              </w:tc>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cs="Times New Roman"/>
                      <w:b w:val="0"/>
                      <w:bCs/>
                      <w:color w:val="auto"/>
                      <w:sz w:val="21"/>
                      <w:szCs w:val="21"/>
                      <w:highlight w:val="none"/>
                      <w:u w:val="none"/>
                    </w:rPr>
                    <w:t>202</w:t>
                  </w:r>
                  <w:r>
                    <w:rPr>
                      <w:rFonts w:hint="default" w:ascii="Times New Roman" w:hAnsi="Times New Roman" w:cs="Times New Roman"/>
                      <w:b w:val="0"/>
                      <w:bCs/>
                      <w:color w:val="auto"/>
                      <w:sz w:val="21"/>
                      <w:szCs w:val="21"/>
                      <w:highlight w:val="none"/>
                      <w:u w:val="none"/>
                      <w:lang w:val="en-US" w:eastAsia="zh-CN"/>
                    </w:rPr>
                    <w:t>3.02.28</w:t>
                  </w:r>
                </w:p>
              </w:tc>
              <w:tc>
                <w:tcPr>
                  <w:tcW w:w="22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1</w:t>
                  </w:r>
                </w:p>
              </w:tc>
              <w:tc>
                <w:tcPr>
                  <w:tcW w:w="47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5119</w:t>
                  </w:r>
                </w:p>
              </w:tc>
              <w:tc>
                <w:tcPr>
                  <w:tcW w:w="29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2.9</w:t>
                  </w:r>
                </w:p>
              </w:tc>
              <w:tc>
                <w:tcPr>
                  <w:tcW w:w="29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3.1</w:t>
                  </w:r>
                </w:p>
              </w:tc>
              <w:tc>
                <w:tcPr>
                  <w:tcW w:w="46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0.015</w:t>
                  </w:r>
                </w:p>
              </w:tc>
              <w:tc>
                <w:tcPr>
                  <w:tcW w:w="29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&lt;3</w:t>
                  </w:r>
                </w:p>
              </w:tc>
              <w:tc>
                <w:tcPr>
                  <w:tcW w:w="29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8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7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22</w:t>
                  </w:r>
                </w:p>
              </w:tc>
              <w:tc>
                <w:tcPr>
                  <w:tcW w:w="29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23</w:t>
                  </w:r>
                </w:p>
              </w:tc>
              <w:tc>
                <w:tcPr>
                  <w:tcW w:w="46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0.113</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2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22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2</w:t>
                  </w:r>
                </w:p>
              </w:tc>
              <w:tc>
                <w:tcPr>
                  <w:tcW w:w="47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4801</w:t>
                  </w:r>
                </w:p>
              </w:tc>
              <w:tc>
                <w:tcPr>
                  <w:tcW w:w="29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3.3</w:t>
                  </w:r>
                </w:p>
              </w:tc>
              <w:tc>
                <w:tcPr>
                  <w:tcW w:w="29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3.5</w:t>
                  </w:r>
                </w:p>
              </w:tc>
              <w:tc>
                <w:tcPr>
                  <w:tcW w:w="46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0.016</w:t>
                  </w:r>
                </w:p>
              </w:tc>
              <w:tc>
                <w:tcPr>
                  <w:tcW w:w="29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&lt;3</w:t>
                  </w:r>
                </w:p>
              </w:tc>
              <w:tc>
                <w:tcPr>
                  <w:tcW w:w="29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8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7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25</w:t>
                  </w:r>
                </w:p>
              </w:tc>
              <w:tc>
                <w:tcPr>
                  <w:tcW w:w="29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26</w:t>
                  </w:r>
                </w:p>
              </w:tc>
              <w:tc>
                <w:tcPr>
                  <w:tcW w:w="46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0.120</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2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22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3</w:t>
                  </w:r>
                </w:p>
              </w:tc>
              <w:tc>
                <w:tcPr>
                  <w:tcW w:w="47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4892</w:t>
                  </w:r>
                </w:p>
              </w:tc>
              <w:tc>
                <w:tcPr>
                  <w:tcW w:w="29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3.1</w:t>
                  </w:r>
                </w:p>
              </w:tc>
              <w:tc>
                <w:tcPr>
                  <w:tcW w:w="29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3.2</w:t>
                  </w:r>
                </w:p>
              </w:tc>
              <w:tc>
                <w:tcPr>
                  <w:tcW w:w="46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0.015</w:t>
                  </w:r>
                </w:p>
              </w:tc>
              <w:tc>
                <w:tcPr>
                  <w:tcW w:w="29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&lt;3</w:t>
                  </w:r>
                </w:p>
              </w:tc>
              <w:tc>
                <w:tcPr>
                  <w:tcW w:w="29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8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7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21</w:t>
                  </w:r>
                </w:p>
              </w:tc>
              <w:tc>
                <w:tcPr>
                  <w:tcW w:w="29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22</w:t>
                  </w:r>
                </w:p>
              </w:tc>
              <w:tc>
                <w:tcPr>
                  <w:tcW w:w="46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0.103</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2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22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均值</w:t>
                  </w:r>
                </w:p>
              </w:tc>
              <w:tc>
                <w:tcPr>
                  <w:tcW w:w="47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4937</w:t>
                  </w:r>
                </w:p>
              </w:tc>
              <w:tc>
                <w:tcPr>
                  <w:tcW w:w="29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3.1</w:t>
                  </w:r>
                </w:p>
              </w:tc>
              <w:tc>
                <w:tcPr>
                  <w:tcW w:w="29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3.3</w:t>
                  </w:r>
                </w:p>
              </w:tc>
              <w:tc>
                <w:tcPr>
                  <w:tcW w:w="46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0.015</w:t>
                  </w:r>
                </w:p>
              </w:tc>
              <w:tc>
                <w:tcPr>
                  <w:tcW w:w="29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&lt;3</w:t>
                  </w:r>
                </w:p>
              </w:tc>
              <w:tc>
                <w:tcPr>
                  <w:tcW w:w="29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8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7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23</w:t>
                  </w:r>
                </w:p>
              </w:tc>
              <w:tc>
                <w:tcPr>
                  <w:tcW w:w="29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24</w:t>
                  </w:r>
                </w:p>
              </w:tc>
              <w:tc>
                <w:tcPr>
                  <w:tcW w:w="46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0.112</w:t>
                  </w:r>
                </w:p>
              </w:tc>
              <w:tc>
                <w:tcPr>
                  <w:tcW w:w="38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2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u w:val="none"/>
                      <w:lang w:val="en-US" w:eastAsia="zh-CN"/>
                    </w:rPr>
                  </w:pPr>
                </w:p>
              </w:tc>
              <w:tc>
                <w:tcPr>
                  <w:tcW w:w="528"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u w:val="none"/>
                      <w:lang w:val="en-US" w:eastAsia="zh-CN" w:bidi="ar-SA"/>
                    </w:rPr>
                  </w:pPr>
                  <w:r>
                    <w:rPr>
                      <w:rFonts w:hint="default" w:ascii="Times New Roman" w:hAnsi="Times New Roman" w:eastAsia="宋体" w:cs="Times New Roman"/>
                      <w:b w:val="0"/>
                      <w:bCs/>
                      <w:color w:val="auto"/>
                      <w:sz w:val="21"/>
                      <w:szCs w:val="21"/>
                      <w:u w:val="none"/>
                      <w:lang w:val="en-US" w:eastAsia="zh-CN"/>
                    </w:rPr>
                    <w:t>2023.0</w:t>
                  </w:r>
                  <w:r>
                    <w:rPr>
                      <w:rFonts w:hint="default" w:ascii="Times New Roman" w:hAnsi="Times New Roman" w:cs="Times New Roman"/>
                      <w:b w:val="0"/>
                      <w:bCs/>
                      <w:color w:val="auto"/>
                      <w:sz w:val="21"/>
                      <w:szCs w:val="21"/>
                      <w:u w:val="none"/>
                      <w:lang w:val="en-US" w:eastAsia="zh-CN"/>
                    </w:rPr>
                    <w:t>3.01</w:t>
                  </w:r>
                </w:p>
              </w:tc>
              <w:tc>
                <w:tcPr>
                  <w:tcW w:w="22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1</w:t>
                  </w:r>
                </w:p>
              </w:tc>
              <w:tc>
                <w:tcPr>
                  <w:tcW w:w="474"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5017</w:t>
                  </w:r>
                </w:p>
              </w:tc>
              <w:tc>
                <w:tcPr>
                  <w:tcW w:w="29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w:t>
                  </w:r>
                </w:p>
              </w:tc>
              <w:tc>
                <w:tcPr>
                  <w:tcW w:w="29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3.1</w:t>
                  </w:r>
                </w:p>
              </w:tc>
              <w:tc>
                <w:tcPr>
                  <w:tcW w:w="465"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0.015</w:t>
                  </w:r>
                </w:p>
              </w:tc>
              <w:tc>
                <w:tcPr>
                  <w:tcW w:w="29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&lt;3</w:t>
                  </w:r>
                </w:p>
              </w:tc>
              <w:tc>
                <w:tcPr>
                  <w:tcW w:w="29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87"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7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23</w:t>
                  </w:r>
                </w:p>
              </w:tc>
              <w:tc>
                <w:tcPr>
                  <w:tcW w:w="296"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24</w:t>
                  </w:r>
                </w:p>
              </w:tc>
              <w:tc>
                <w:tcPr>
                  <w:tcW w:w="465"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0.115</w:t>
                  </w:r>
                </w:p>
              </w:tc>
              <w:tc>
                <w:tcPr>
                  <w:tcW w:w="38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2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2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2</w:t>
                  </w:r>
                </w:p>
              </w:tc>
              <w:tc>
                <w:tcPr>
                  <w:tcW w:w="4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4992</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3.4</w:t>
                  </w:r>
                </w:p>
              </w:tc>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3.6</w:t>
                  </w:r>
                </w:p>
              </w:tc>
              <w:tc>
                <w:tcPr>
                  <w:tcW w:w="4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0.017</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&lt;3</w:t>
                  </w:r>
                </w:p>
              </w:tc>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23</w:t>
                  </w:r>
                </w:p>
              </w:tc>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24</w:t>
                  </w:r>
                </w:p>
              </w:tc>
              <w:tc>
                <w:tcPr>
                  <w:tcW w:w="4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0.115</w:t>
                  </w:r>
                </w:p>
              </w:tc>
              <w:tc>
                <w:tcPr>
                  <w:tcW w:w="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2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2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rPr>
                    <w:t>3</w:t>
                  </w:r>
                </w:p>
              </w:tc>
              <w:tc>
                <w:tcPr>
                  <w:tcW w:w="4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4871</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3.2</w:t>
                  </w:r>
                </w:p>
              </w:tc>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3.4</w:t>
                  </w:r>
                </w:p>
              </w:tc>
              <w:tc>
                <w:tcPr>
                  <w:tcW w:w="4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0.016</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&lt;3</w:t>
                  </w:r>
                </w:p>
              </w:tc>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24</w:t>
                  </w:r>
                </w:p>
              </w:tc>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25</w:t>
                  </w:r>
                </w:p>
              </w:tc>
              <w:tc>
                <w:tcPr>
                  <w:tcW w:w="4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0.117</w:t>
                  </w:r>
                </w:p>
              </w:tc>
              <w:tc>
                <w:tcPr>
                  <w:tcW w:w="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23"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528"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cs="Times New Roman"/>
                      <w:b w:val="0"/>
                      <w:bCs/>
                      <w:color w:val="auto"/>
                      <w:sz w:val="21"/>
                      <w:szCs w:val="21"/>
                      <w:u w:val="none"/>
                    </w:rPr>
                  </w:pPr>
                </w:p>
              </w:tc>
              <w:tc>
                <w:tcPr>
                  <w:tcW w:w="2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均值</w:t>
                  </w:r>
                </w:p>
              </w:tc>
              <w:tc>
                <w:tcPr>
                  <w:tcW w:w="4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4960</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3.2</w:t>
                  </w:r>
                </w:p>
              </w:tc>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3.4</w:t>
                  </w:r>
                </w:p>
              </w:tc>
              <w:tc>
                <w:tcPr>
                  <w:tcW w:w="4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0.016</w:t>
                  </w:r>
                </w:p>
              </w:tc>
              <w:tc>
                <w:tcPr>
                  <w:tcW w:w="2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&lt;3</w:t>
                  </w:r>
                </w:p>
              </w:tc>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w:t>
                  </w:r>
                </w:p>
              </w:tc>
              <w:tc>
                <w:tcPr>
                  <w:tcW w:w="37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23</w:t>
                  </w:r>
                </w:p>
              </w:tc>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24</w:t>
                  </w:r>
                </w:p>
              </w:tc>
              <w:tc>
                <w:tcPr>
                  <w:tcW w:w="46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0.116</w:t>
                  </w:r>
                </w:p>
              </w:tc>
              <w:tc>
                <w:tcPr>
                  <w:tcW w:w="38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b w:val="0"/>
                      <w:bCs/>
                      <w:i w:val="0"/>
                      <w:iCs w:val="0"/>
                      <w:color w:val="auto"/>
                      <w:kern w:val="0"/>
                      <w:sz w:val="21"/>
                      <w:szCs w:val="21"/>
                      <w:u w:val="none"/>
                      <w:lang w:val="en-US" w:eastAsia="zh-CN" w:bidi="ar"/>
                    </w:rPr>
                  </w:pPr>
                  <w:r>
                    <w:rPr>
                      <w:rFonts w:hint="default" w:ascii="Times New Roman" w:hAnsi="Times New Roman" w:eastAsia="宋体" w:cs="Times New Roman"/>
                      <w:b w:val="0"/>
                      <w:bCs/>
                      <w:i w:val="0"/>
                      <w:iCs w:val="0"/>
                      <w:color w:val="auto"/>
                      <w:kern w:val="0"/>
                      <w:sz w:val="21"/>
                      <w:szCs w:val="21"/>
                      <w:u w:val="none"/>
                      <w:lang w:val="en-US" w:eastAsia="zh-CN" w:bidi="ar"/>
                    </w:rPr>
                    <w:t>4.3</w:t>
                  </w:r>
                </w:p>
              </w:tc>
            </w:tr>
          </w:tbl>
          <w:p>
            <w:pPr>
              <w:keepNext w:val="0"/>
              <w:keepLines w:val="0"/>
              <w:pageBreakBefore w:val="0"/>
              <w:widowControl/>
              <w:kinsoku/>
              <w:wordWrap/>
              <w:overflowPunct/>
              <w:topLinePunct w:val="0"/>
              <w:autoSpaceDE/>
              <w:autoSpaceDN/>
              <w:bidi w:val="0"/>
              <w:adjustRightInd/>
              <w:snapToGrid/>
              <w:spacing w:after="0" w:afterLines="0" w:line="360" w:lineRule="auto"/>
              <w:ind w:firstLine="480" w:firstLineChars="200"/>
              <w:jc w:val="both"/>
              <w:textAlignment w:val="auto"/>
              <w:outlineLvl w:val="9"/>
              <w:rPr>
                <w:rFonts w:hint="eastAsia" w:ascii="Times New Roman" w:hAnsi="Times New Roman" w:eastAsia="宋体"/>
                <w:b w:val="0"/>
                <w:bCs w:val="0"/>
                <w:color w:val="auto"/>
                <w:kern w:val="0"/>
                <w:sz w:val="24"/>
                <w:szCs w:val="28"/>
                <w:lang w:val="en-US" w:eastAsia="zh-CN"/>
              </w:rPr>
            </w:pPr>
            <w:r>
              <w:rPr>
                <w:rFonts w:hint="eastAsia" w:ascii="Times New Roman" w:hAnsi="Times New Roman" w:eastAsia="宋体" w:cs="Times New Roman"/>
                <w:b w:val="0"/>
                <w:bCs w:val="0"/>
                <w:color w:val="auto"/>
                <w:sz w:val="24"/>
                <w:szCs w:val="24"/>
                <w:lang w:val="en-US" w:eastAsia="zh-CN"/>
              </w:rPr>
              <w:t>验收监测期间，燃气发生器排气筒</w:t>
            </w:r>
            <w:r>
              <w:rPr>
                <w:rFonts w:hint="eastAsia" w:ascii="Times New Roman" w:hAnsi="Times New Roman" w:cs="Times New Roman"/>
                <w:b w:val="0"/>
                <w:bCs w:val="0"/>
                <w:color w:val="auto"/>
                <w:sz w:val="24"/>
                <w:szCs w:val="24"/>
                <w:lang w:val="en-US" w:eastAsia="zh-CN"/>
              </w:rPr>
              <w:t>各污染物排放浓度</w:t>
            </w:r>
            <w:r>
              <w:rPr>
                <w:rFonts w:hint="eastAsia" w:ascii="Times New Roman" w:hAnsi="Times New Roman" w:eastAsia="宋体" w:cs="Times New Roman"/>
                <w:b w:val="0"/>
                <w:bCs w:val="0"/>
                <w:color w:val="auto"/>
                <w:sz w:val="24"/>
                <w:szCs w:val="24"/>
                <w:lang w:val="en-US" w:eastAsia="zh-CN"/>
              </w:rPr>
              <w:t>满足</w:t>
            </w:r>
            <w:r>
              <w:rPr>
                <w:rFonts w:hint="default" w:ascii="Times New Roman" w:hAnsi="Times New Roman" w:eastAsia="宋体" w:cs="Times New Roman"/>
                <w:color w:val="auto"/>
                <w:sz w:val="24"/>
                <w:szCs w:val="24"/>
                <w:vertAlign w:val="baseline"/>
                <w:lang w:val="en-US" w:eastAsia="zh-CN"/>
              </w:rPr>
              <w:t>《锅炉大气污染物排放标准》（DB41/2089-2021）表1燃气锅炉标准（新建燃气锅炉）</w:t>
            </w:r>
            <w:r>
              <w:rPr>
                <w:rFonts w:hint="eastAsia" w:ascii="Times New Roman" w:hAnsi="Times New Roman" w:cs="Times New Roman"/>
                <w:color w:val="auto"/>
                <w:sz w:val="24"/>
                <w:szCs w:val="24"/>
                <w:vertAlign w:val="baseline"/>
                <w:lang w:val="en-US" w:eastAsia="zh-CN"/>
              </w:rPr>
              <w:t>；</w:t>
            </w:r>
            <w:r>
              <w:rPr>
                <w:rFonts w:hint="default" w:ascii="Times New Roman" w:hAnsi="Times New Roman" w:eastAsia="宋体" w:cs="Times New Roman"/>
                <w:color w:val="auto"/>
                <w:sz w:val="24"/>
                <w:szCs w:val="24"/>
                <w:vertAlign w:val="baseline"/>
                <w:lang w:val="en-US" w:eastAsia="zh-CN"/>
              </w:rPr>
              <w:t>河南省2019年度锅炉综合整治方案中烟尘、二氧化硫、氮氧化物排放浓度分别不高于5</w:t>
            </w:r>
            <w:r>
              <w:rPr>
                <w:rFonts w:hint="default" w:ascii="Times New Roman" w:hAnsi="Times New Roman" w:eastAsia="宋体" w:cs="Times New Roman"/>
                <w:b w:val="0"/>
                <w:bCs w:val="0"/>
                <w:color w:val="auto"/>
                <w:kern w:val="0"/>
                <w:sz w:val="24"/>
                <w:szCs w:val="24"/>
                <w:highlight w:val="none"/>
                <w:u w:val="none"/>
                <w:lang w:val="en-US" w:eastAsia="zh-CN"/>
              </w:rPr>
              <w:t>mg/m</w:t>
            </w:r>
            <w:r>
              <w:rPr>
                <w:rFonts w:hint="default" w:ascii="Times New Roman" w:hAnsi="Times New Roman" w:eastAsia="宋体" w:cs="Times New Roman"/>
                <w:b w:val="0"/>
                <w:bCs w:val="0"/>
                <w:color w:val="auto"/>
                <w:kern w:val="0"/>
                <w:sz w:val="24"/>
                <w:szCs w:val="24"/>
                <w:highlight w:val="none"/>
                <w:u w:val="none"/>
                <w:vertAlign w:val="superscript"/>
                <w:lang w:val="en-US" w:eastAsia="zh-CN"/>
              </w:rPr>
              <w:t>3</w:t>
            </w:r>
            <w:r>
              <w:rPr>
                <w:rFonts w:hint="default" w:ascii="Times New Roman" w:hAnsi="Times New Roman" w:eastAsia="宋体" w:cs="Times New Roman"/>
                <w:color w:val="auto"/>
                <w:sz w:val="24"/>
                <w:szCs w:val="24"/>
                <w:vertAlign w:val="baseline"/>
                <w:lang w:val="en-US" w:eastAsia="zh-CN"/>
              </w:rPr>
              <w:t>、10</w:t>
            </w:r>
            <w:r>
              <w:rPr>
                <w:rFonts w:hint="default" w:ascii="Times New Roman" w:hAnsi="Times New Roman" w:eastAsia="宋体" w:cs="Times New Roman"/>
                <w:b w:val="0"/>
                <w:bCs w:val="0"/>
                <w:color w:val="auto"/>
                <w:kern w:val="0"/>
                <w:sz w:val="24"/>
                <w:szCs w:val="24"/>
                <w:highlight w:val="none"/>
                <w:u w:val="none"/>
                <w:lang w:val="en-US" w:eastAsia="zh-CN"/>
              </w:rPr>
              <w:t>mg/m</w:t>
            </w:r>
            <w:r>
              <w:rPr>
                <w:rFonts w:hint="default" w:ascii="Times New Roman" w:hAnsi="Times New Roman" w:eastAsia="宋体" w:cs="Times New Roman"/>
                <w:b w:val="0"/>
                <w:bCs w:val="0"/>
                <w:color w:val="auto"/>
                <w:kern w:val="0"/>
                <w:sz w:val="24"/>
                <w:szCs w:val="24"/>
                <w:highlight w:val="none"/>
                <w:u w:val="none"/>
                <w:vertAlign w:val="superscript"/>
                <w:lang w:val="en-US" w:eastAsia="zh-CN"/>
              </w:rPr>
              <w:t>3</w:t>
            </w:r>
            <w:r>
              <w:rPr>
                <w:rFonts w:hint="default" w:ascii="Times New Roman" w:hAnsi="Times New Roman" w:eastAsia="宋体" w:cs="Times New Roman"/>
                <w:color w:val="auto"/>
                <w:sz w:val="24"/>
                <w:szCs w:val="24"/>
                <w:vertAlign w:val="baseline"/>
                <w:lang w:val="en-US" w:eastAsia="zh-CN"/>
              </w:rPr>
              <w:t>、30</w:t>
            </w:r>
            <w:r>
              <w:rPr>
                <w:rFonts w:hint="default" w:ascii="Times New Roman" w:hAnsi="Times New Roman" w:eastAsia="宋体" w:cs="Times New Roman"/>
                <w:b w:val="0"/>
                <w:bCs w:val="0"/>
                <w:color w:val="auto"/>
                <w:kern w:val="0"/>
                <w:sz w:val="24"/>
                <w:szCs w:val="24"/>
                <w:highlight w:val="none"/>
                <w:u w:val="none"/>
                <w:lang w:val="en-US" w:eastAsia="zh-CN"/>
              </w:rPr>
              <w:t>mg/m</w:t>
            </w:r>
            <w:r>
              <w:rPr>
                <w:rFonts w:hint="default" w:ascii="Times New Roman" w:hAnsi="Times New Roman" w:eastAsia="宋体" w:cs="Times New Roman"/>
                <w:b w:val="0"/>
                <w:bCs w:val="0"/>
                <w:color w:val="auto"/>
                <w:kern w:val="0"/>
                <w:sz w:val="24"/>
                <w:szCs w:val="24"/>
                <w:highlight w:val="none"/>
                <w:u w:val="none"/>
                <w:vertAlign w:val="superscript"/>
                <w:lang w:val="en-US" w:eastAsia="zh-CN"/>
              </w:rPr>
              <w:t>3</w:t>
            </w:r>
            <w:r>
              <w:rPr>
                <w:rFonts w:hint="default" w:ascii="Times New Roman" w:hAnsi="Times New Roman" w:eastAsia="宋体" w:cs="Times New Roman"/>
                <w:color w:val="auto"/>
                <w:sz w:val="24"/>
                <w:szCs w:val="24"/>
                <w:vertAlign w:val="baseline"/>
                <w:lang w:val="en-US" w:eastAsia="zh-CN"/>
              </w:rPr>
              <w:t>标准要求</w:t>
            </w:r>
            <w:r>
              <w:rPr>
                <w:rFonts w:hint="eastAsia" w:ascii="Times New Roman" w:hAnsi="Times New Roman" w:eastAsia="宋体" w:cs="Times New Roman"/>
                <w:color w:val="auto"/>
                <w:sz w:val="24"/>
                <w:szCs w:val="24"/>
                <w:vertAlign w:val="baseline"/>
                <w:lang w:val="en-US" w:eastAsia="zh-CN"/>
              </w:rPr>
              <w:t>。</w:t>
            </w:r>
          </w:p>
          <w:p>
            <w:pPr>
              <w:pStyle w:val="2"/>
              <w:bidi w:val="0"/>
              <w:spacing w:line="360" w:lineRule="auto"/>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熔炼废气治理有组织废气</w:t>
            </w:r>
            <w:r>
              <w:rPr>
                <w:rFonts w:hint="default" w:ascii="Times New Roman" w:hAnsi="Times New Roman" w:eastAsia="宋体" w:cs="Times New Roman"/>
                <w:color w:val="auto"/>
                <w:sz w:val="24"/>
                <w:szCs w:val="24"/>
                <w:lang w:val="zh-CN" w:eastAsia="zh-CN"/>
              </w:rPr>
              <w:t>污染物排放</w:t>
            </w:r>
            <w:r>
              <w:rPr>
                <w:rFonts w:hint="eastAsia" w:ascii="Times New Roman" w:hAnsi="Times New Roman" w:eastAsia="宋体" w:cs="Times New Roman"/>
                <w:color w:val="auto"/>
                <w:sz w:val="24"/>
                <w:szCs w:val="24"/>
                <w:lang w:val="en-US" w:eastAsia="zh-CN"/>
              </w:rPr>
              <w:t>监测结果</w:t>
            </w:r>
          </w:p>
          <w:tbl>
            <w:tblPr>
              <w:tblStyle w:val="27"/>
              <w:tblW w:w="79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6"/>
              <w:gridCol w:w="806"/>
              <w:gridCol w:w="347"/>
              <w:gridCol w:w="725"/>
              <w:gridCol w:w="827"/>
              <w:gridCol w:w="537"/>
              <w:gridCol w:w="827"/>
              <w:gridCol w:w="537"/>
              <w:gridCol w:w="827"/>
              <w:gridCol w:w="537"/>
              <w:gridCol w:w="827"/>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jc w:val="center"/>
              </w:trPr>
              <w:tc>
                <w:tcPr>
                  <w:tcW w:w="34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color w:val="auto"/>
                      <w:sz w:val="21"/>
                      <w:szCs w:val="21"/>
                      <w:lang w:eastAsia="zh-CN"/>
                    </w:rPr>
                  </w:pPr>
                  <w:r>
                    <w:rPr>
                      <w:rFonts w:hint="default" w:ascii="Times New Roman" w:hAnsi="Times New Roman" w:cs="Times New Roman"/>
                      <w:b w:val="0"/>
                      <w:bCs/>
                      <w:color w:val="auto"/>
                      <w:sz w:val="21"/>
                      <w:szCs w:val="21"/>
                      <w:lang w:eastAsia="zh-CN"/>
                    </w:rPr>
                    <w:t>检测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点位</w:t>
                  </w:r>
                </w:p>
              </w:tc>
              <w:tc>
                <w:tcPr>
                  <w:tcW w:w="806"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color w:val="auto"/>
                      <w:sz w:val="21"/>
                      <w:szCs w:val="21"/>
                      <w:lang w:eastAsia="zh-CN"/>
                    </w:rPr>
                  </w:pPr>
                  <w:r>
                    <w:rPr>
                      <w:rFonts w:hint="default" w:ascii="Times New Roman" w:hAnsi="Times New Roman" w:cs="Times New Roman"/>
                      <w:b w:val="0"/>
                      <w:bCs/>
                      <w:color w:val="auto"/>
                      <w:sz w:val="21"/>
                      <w:szCs w:val="21"/>
                      <w:lang w:eastAsia="zh-CN"/>
                    </w:rPr>
                    <w:t>采样</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日期</w:t>
                  </w:r>
                </w:p>
              </w:tc>
              <w:tc>
                <w:tcPr>
                  <w:tcW w:w="34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color w:val="auto"/>
                      <w:sz w:val="21"/>
                      <w:szCs w:val="21"/>
                      <w:lang w:eastAsia="zh-CN"/>
                    </w:rPr>
                  </w:pPr>
                  <w:r>
                    <w:rPr>
                      <w:rFonts w:hint="default" w:ascii="Times New Roman" w:hAnsi="Times New Roman" w:cs="Times New Roman"/>
                      <w:b w:val="0"/>
                      <w:bCs/>
                      <w:color w:val="auto"/>
                      <w:sz w:val="21"/>
                      <w:szCs w:val="21"/>
                      <w:lang w:eastAsia="zh-CN"/>
                    </w:rPr>
                    <w:t>检测</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频次</w:t>
                  </w:r>
                </w:p>
              </w:tc>
              <w:tc>
                <w:tcPr>
                  <w:tcW w:w="72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标干</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lang w:val="en-US" w:eastAsia="zh-CN"/>
                    </w:rPr>
                    <w:t>风量</w:t>
                  </w:r>
                  <w:r>
                    <w:rPr>
                      <w:rFonts w:hint="default" w:ascii="Times New Roman" w:hAnsi="Times New Roman" w:cs="Times New Roman"/>
                      <w:b w:val="0"/>
                      <w:bCs/>
                      <w:color w:val="auto"/>
                      <w:sz w:val="21"/>
                      <w:szCs w:val="21"/>
                    </w:rPr>
                    <w:t>（m</w:t>
                  </w:r>
                  <w:r>
                    <w:rPr>
                      <w:rFonts w:hint="default" w:ascii="Times New Roman" w:hAnsi="Times New Roman" w:cs="Times New Roman"/>
                      <w:b w:val="0"/>
                      <w:bCs/>
                      <w:color w:val="auto"/>
                      <w:sz w:val="21"/>
                      <w:szCs w:val="21"/>
                      <w:vertAlign w:val="superscript"/>
                    </w:rPr>
                    <w:t>3</w:t>
                  </w:r>
                  <w:r>
                    <w:rPr>
                      <w:rFonts w:hint="default" w:ascii="Times New Roman" w:hAnsi="Times New Roman" w:cs="Times New Roman"/>
                      <w:b w:val="0"/>
                      <w:bCs/>
                      <w:color w:val="auto"/>
                      <w:sz w:val="21"/>
                      <w:szCs w:val="21"/>
                    </w:rPr>
                    <w:t>/h）</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color w:val="auto"/>
                      <w:sz w:val="21"/>
                      <w:szCs w:val="21"/>
                      <w:lang w:val="en-US" w:eastAsia="zh-CN" w:bidi="ar-SA"/>
                    </w:rPr>
                  </w:pPr>
                  <w:r>
                    <w:rPr>
                      <w:rFonts w:hint="default" w:ascii="Times New Roman" w:hAnsi="Times New Roman" w:cs="Times New Roman"/>
                      <w:b w:val="0"/>
                      <w:bCs/>
                      <w:color w:val="auto"/>
                      <w:sz w:val="21"/>
                      <w:szCs w:val="21"/>
                      <w:lang w:val="en-US" w:eastAsia="zh-CN"/>
                    </w:rPr>
                    <w:t>颗粒物</w:t>
                  </w:r>
                  <w:r>
                    <w:rPr>
                      <w:rFonts w:hint="default" w:ascii="Times New Roman" w:hAnsi="Times New Roman" w:cs="Times New Roman"/>
                      <w:b w:val="0"/>
                      <w:bCs/>
                      <w:color w:val="auto"/>
                      <w:sz w:val="21"/>
                      <w:szCs w:val="21"/>
                    </w:rPr>
                    <w:t>浓度（mg/m</w:t>
                  </w:r>
                  <w:r>
                    <w:rPr>
                      <w:rFonts w:hint="default" w:ascii="Times New Roman" w:hAnsi="Times New Roman" w:cs="Times New Roman"/>
                      <w:b w:val="0"/>
                      <w:bCs/>
                      <w:color w:val="auto"/>
                      <w:sz w:val="21"/>
                      <w:szCs w:val="21"/>
                      <w:vertAlign w:val="superscript"/>
                    </w:rPr>
                    <w:t>3</w:t>
                  </w:r>
                  <w:r>
                    <w:rPr>
                      <w:rFonts w:hint="default" w:ascii="Times New Roman" w:hAnsi="Times New Roman" w:cs="Times New Roman"/>
                      <w:b w:val="0"/>
                      <w:bCs/>
                      <w:color w:val="auto"/>
                      <w:sz w:val="21"/>
                      <w:szCs w:val="21"/>
                    </w:rPr>
                    <w:t>）</w:t>
                  </w:r>
                </w:p>
              </w:tc>
              <w:tc>
                <w:tcPr>
                  <w:tcW w:w="73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rPr>
                    <w:t>速率</w:t>
                  </w: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kg/h</w:t>
                  </w:r>
                  <w:r>
                    <w:rPr>
                      <w:rFonts w:hint="default" w:ascii="Times New Roman" w:hAnsi="Times New Roman" w:cs="Times New Roman"/>
                      <w:b w:val="0"/>
                      <w:bCs/>
                      <w:color w:val="auto"/>
                      <w:sz w:val="21"/>
                      <w:szCs w:val="21"/>
                      <w:lang w:val="en-US" w:eastAsia="zh-CN"/>
                    </w:rPr>
                    <w:t>)</w:t>
                  </w:r>
                </w:p>
              </w:tc>
              <w:tc>
                <w:tcPr>
                  <w:tcW w:w="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二氧化硫</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（mg/m</w:t>
                  </w:r>
                  <w:r>
                    <w:rPr>
                      <w:rFonts w:hint="default" w:ascii="Times New Roman" w:hAnsi="Times New Roman" w:cs="Times New Roman"/>
                      <w:b w:val="0"/>
                      <w:bCs/>
                      <w:color w:val="auto"/>
                      <w:sz w:val="21"/>
                      <w:szCs w:val="21"/>
                      <w:vertAlign w:val="superscript"/>
                    </w:rPr>
                    <w:t>3</w:t>
                  </w:r>
                  <w:r>
                    <w:rPr>
                      <w:rFonts w:hint="default" w:ascii="Times New Roman" w:hAnsi="Times New Roman" w:cs="Times New Roman"/>
                      <w:b w:val="0"/>
                      <w:bCs/>
                      <w:color w:val="auto"/>
                      <w:sz w:val="21"/>
                      <w:szCs w:val="21"/>
                    </w:rPr>
                    <w:t>）</w:t>
                  </w:r>
                </w:p>
              </w:tc>
              <w:tc>
                <w:tcPr>
                  <w:tcW w:w="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速率</w:t>
                  </w: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kg/h</w:t>
                  </w:r>
                  <w:r>
                    <w:rPr>
                      <w:rFonts w:hint="default" w:ascii="Times New Roman" w:hAnsi="Times New Roman" w:cs="Times New Roman"/>
                      <w:b w:val="0"/>
                      <w:bCs/>
                      <w:color w:val="auto"/>
                      <w:sz w:val="21"/>
                      <w:szCs w:val="21"/>
                      <w:lang w:val="en-US" w:eastAsia="zh-CN"/>
                    </w:rPr>
                    <w:t>)</w:t>
                  </w:r>
                </w:p>
              </w:tc>
              <w:tc>
                <w:tcPr>
                  <w:tcW w:w="72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氮氧化物</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（mg/m</w:t>
                  </w:r>
                  <w:r>
                    <w:rPr>
                      <w:rFonts w:hint="default" w:ascii="Times New Roman" w:hAnsi="Times New Roman" w:cs="Times New Roman"/>
                      <w:b w:val="0"/>
                      <w:bCs/>
                      <w:color w:val="auto"/>
                      <w:sz w:val="21"/>
                      <w:szCs w:val="21"/>
                      <w:vertAlign w:val="superscript"/>
                    </w:rPr>
                    <w:t>3</w:t>
                  </w:r>
                  <w:r>
                    <w:rPr>
                      <w:rFonts w:hint="default" w:ascii="Times New Roman" w:hAnsi="Times New Roman" w:cs="Times New Roman"/>
                      <w:b w:val="0"/>
                      <w:bCs/>
                      <w:color w:val="auto"/>
                      <w:sz w:val="21"/>
                      <w:szCs w:val="21"/>
                    </w:rPr>
                    <w:t>）</w:t>
                  </w:r>
                </w:p>
              </w:tc>
              <w:tc>
                <w:tcPr>
                  <w:tcW w:w="53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速率</w:t>
                  </w: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kg/h</w:t>
                  </w:r>
                  <w:r>
                    <w:rPr>
                      <w:rFonts w:hint="default" w:ascii="Times New Roman" w:hAnsi="Times New Roman" w:cs="Times New Roman"/>
                      <w:b w:val="0"/>
                      <w:bCs/>
                      <w:color w:val="auto"/>
                      <w:sz w:val="21"/>
                      <w:szCs w:val="21"/>
                      <w:lang w:val="en-US" w:eastAsia="zh-CN"/>
                    </w:rPr>
                    <w:t>)</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u w:val="none"/>
                      <w:vertAlign w:val="baseline"/>
                      <w:lang w:val="en-US" w:eastAsia="zh-CN"/>
                    </w:rPr>
                    <w:t>铅及其化合物</w:t>
                  </w:r>
                  <w:r>
                    <w:rPr>
                      <w:rFonts w:hint="default" w:ascii="Times New Roman" w:hAnsi="Times New Roman" w:cs="Times New Roman"/>
                      <w:b w:val="0"/>
                      <w:bCs/>
                      <w:color w:val="auto"/>
                      <w:sz w:val="21"/>
                      <w:szCs w:val="21"/>
                    </w:rPr>
                    <w:t>（mg/m</w:t>
                  </w:r>
                  <w:r>
                    <w:rPr>
                      <w:rFonts w:hint="default" w:ascii="Times New Roman" w:hAnsi="Times New Roman" w:cs="Times New Roman"/>
                      <w:b w:val="0"/>
                      <w:bCs/>
                      <w:color w:val="auto"/>
                      <w:sz w:val="21"/>
                      <w:szCs w:val="21"/>
                      <w:vertAlign w:val="superscript"/>
                    </w:rPr>
                    <w:t>3</w:t>
                  </w:r>
                  <w:r>
                    <w:rPr>
                      <w:rFonts w:hint="default" w:ascii="Times New Roman" w:hAnsi="Times New Roman" w:cs="Times New Roman"/>
                      <w:b w:val="0"/>
                      <w:bCs/>
                      <w:color w:val="auto"/>
                      <w:sz w:val="21"/>
                      <w:szCs w:val="21"/>
                    </w:rPr>
                    <w:t>）</w:t>
                  </w:r>
                </w:p>
              </w:tc>
              <w:tc>
                <w:tcPr>
                  <w:tcW w:w="7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速率</w:t>
                  </w: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kg/h</w:t>
                  </w:r>
                  <w:r>
                    <w:rPr>
                      <w:rFonts w:hint="default" w:ascii="Times New Roman" w:hAnsi="Times New Roman" w:cs="Times New Roman"/>
                      <w:b w:val="0"/>
                      <w:bCs/>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46"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u w:val="none"/>
                      <w:lang w:val="en-US" w:eastAsia="zh-CN"/>
                    </w:rPr>
                    <w:t>熔炼废气治理装置</w:t>
                  </w:r>
                  <w:r>
                    <w:rPr>
                      <w:rFonts w:hint="default" w:ascii="Times New Roman" w:hAnsi="Times New Roman" w:cs="Times New Roman"/>
                      <w:b w:val="0"/>
                      <w:bCs w:val="0"/>
                      <w:color w:val="auto"/>
                      <w:sz w:val="21"/>
                      <w:szCs w:val="21"/>
                      <w:u w:val="none"/>
                      <w:lang w:eastAsia="zh-CN"/>
                    </w:rPr>
                    <w:t>出口</w:t>
                  </w:r>
                </w:p>
              </w:tc>
              <w:tc>
                <w:tcPr>
                  <w:tcW w:w="806"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color w:val="auto"/>
                      <w:sz w:val="21"/>
                      <w:szCs w:val="21"/>
                      <w:highlight w:val="none"/>
                    </w:rPr>
                    <w:t>202</w:t>
                  </w:r>
                  <w:r>
                    <w:rPr>
                      <w:rFonts w:hint="default" w:ascii="Times New Roman" w:hAnsi="Times New Roman" w:cs="Times New Roman"/>
                      <w:color w:val="auto"/>
                      <w:sz w:val="21"/>
                      <w:szCs w:val="21"/>
                      <w:highlight w:val="none"/>
                      <w:lang w:val="en-US" w:eastAsia="zh-CN"/>
                    </w:rPr>
                    <w:t>3.02.28</w:t>
                  </w:r>
                </w:p>
              </w:tc>
              <w:tc>
                <w:tcPr>
                  <w:tcW w:w="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1</w:t>
                  </w:r>
                </w:p>
              </w:tc>
              <w:tc>
                <w:tcPr>
                  <w:tcW w:w="72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6112</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4.6</w:t>
                  </w:r>
                </w:p>
              </w:tc>
              <w:tc>
                <w:tcPr>
                  <w:tcW w:w="73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0.028</w:t>
                  </w:r>
                </w:p>
              </w:tc>
              <w:tc>
                <w:tcPr>
                  <w:tcW w:w="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4</w:t>
                  </w:r>
                </w:p>
              </w:tc>
              <w:tc>
                <w:tcPr>
                  <w:tcW w:w="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0.024</w:t>
                  </w:r>
                </w:p>
              </w:tc>
              <w:tc>
                <w:tcPr>
                  <w:tcW w:w="72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8</w:t>
                  </w:r>
                </w:p>
              </w:tc>
              <w:tc>
                <w:tcPr>
                  <w:tcW w:w="53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0.049</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0.03</w:t>
                  </w:r>
                </w:p>
              </w:tc>
              <w:tc>
                <w:tcPr>
                  <w:tcW w:w="7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1.83×10</w:t>
                  </w:r>
                  <w:r>
                    <w:rPr>
                      <w:rFonts w:hint="default" w:ascii="Times New Roman" w:hAnsi="Times New Roman" w:cs="Times New Roman"/>
                      <w:color w:val="auto"/>
                      <w:sz w:val="21"/>
                      <w:szCs w:val="21"/>
                      <w:vertAlign w:val="superscript"/>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4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val="0"/>
                      <w:color w:val="auto"/>
                      <w:sz w:val="21"/>
                      <w:szCs w:val="21"/>
                    </w:rPr>
                  </w:pPr>
                </w:p>
              </w:tc>
              <w:tc>
                <w:tcPr>
                  <w:tcW w:w="80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val="0"/>
                      <w:color w:val="auto"/>
                      <w:sz w:val="21"/>
                      <w:szCs w:val="21"/>
                    </w:rPr>
                  </w:pPr>
                </w:p>
              </w:tc>
              <w:tc>
                <w:tcPr>
                  <w:tcW w:w="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2</w:t>
                  </w:r>
                </w:p>
              </w:tc>
              <w:tc>
                <w:tcPr>
                  <w:tcW w:w="72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5890</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5.3</w:t>
                  </w:r>
                </w:p>
              </w:tc>
              <w:tc>
                <w:tcPr>
                  <w:tcW w:w="73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0.031</w:t>
                  </w:r>
                </w:p>
              </w:tc>
              <w:tc>
                <w:tcPr>
                  <w:tcW w:w="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4</w:t>
                  </w:r>
                </w:p>
              </w:tc>
              <w:tc>
                <w:tcPr>
                  <w:tcW w:w="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0.024</w:t>
                  </w:r>
                </w:p>
              </w:tc>
              <w:tc>
                <w:tcPr>
                  <w:tcW w:w="72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8</w:t>
                  </w:r>
                </w:p>
              </w:tc>
              <w:tc>
                <w:tcPr>
                  <w:tcW w:w="53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0.047</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w:t>
                  </w:r>
                </w:p>
              </w:tc>
              <w:tc>
                <w:tcPr>
                  <w:tcW w:w="7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1.18×10</w:t>
                  </w:r>
                  <w:r>
                    <w:rPr>
                      <w:rFonts w:hint="default" w:ascii="Times New Roman" w:hAnsi="Times New Roman" w:cs="Times New Roman"/>
                      <w:color w:val="auto"/>
                      <w:sz w:val="21"/>
                      <w:szCs w:val="21"/>
                      <w:vertAlign w:val="superscript"/>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4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val="0"/>
                      <w:color w:val="auto"/>
                      <w:sz w:val="21"/>
                      <w:szCs w:val="21"/>
                    </w:rPr>
                  </w:pPr>
                </w:p>
              </w:tc>
              <w:tc>
                <w:tcPr>
                  <w:tcW w:w="80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val="0"/>
                      <w:color w:val="auto"/>
                      <w:sz w:val="21"/>
                      <w:szCs w:val="21"/>
                    </w:rPr>
                  </w:pPr>
                </w:p>
              </w:tc>
              <w:tc>
                <w:tcPr>
                  <w:tcW w:w="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3</w:t>
                  </w:r>
                </w:p>
              </w:tc>
              <w:tc>
                <w:tcPr>
                  <w:tcW w:w="72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6314</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3.8</w:t>
                  </w:r>
                </w:p>
              </w:tc>
              <w:tc>
                <w:tcPr>
                  <w:tcW w:w="73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0.024</w:t>
                  </w:r>
                </w:p>
              </w:tc>
              <w:tc>
                <w:tcPr>
                  <w:tcW w:w="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3</w:t>
                  </w:r>
                </w:p>
              </w:tc>
              <w:tc>
                <w:tcPr>
                  <w:tcW w:w="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0.019</w:t>
                  </w:r>
                </w:p>
              </w:tc>
              <w:tc>
                <w:tcPr>
                  <w:tcW w:w="72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8</w:t>
                  </w:r>
                </w:p>
              </w:tc>
              <w:tc>
                <w:tcPr>
                  <w:tcW w:w="53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0.051</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w:t>
                  </w:r>
                </w:p>
              </w:tc>
              <w:tc>
                <w:tcPr>
                  <w:tcW w:w="7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1.26×10</w:t>
                  </w:r>
                  <w:r>
                    <w:rPr>
                      <w:rFonts w:hint="default" w:ascii="Times New Roman" w:hAnsi="Times New Roman" w:cs="Times New Roman"/>
                      <w:color w:val="auto"/>
                      <w:sz w:val="21"/>
                      <w:szCs w:val="21"/>
                      <w:vertAlign w:val="superscript"/>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4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val="0"/>
                      <w:color w:val="auto"/>
                      <w:sz w:val="21"/>
                      <w:szCs w:val="21"/>
                    </w:rPr>
                  </w:pPr>
                </w:p>
              </w:tc>
              <w:tc>
                <w:tcPr>
                  <w:tcW w:w="80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b w:val="0"/>
                      <w:bCs w:val="0"/>
                      <w:color w:val="auto"/>
                      <w:sz w:val="21"/>
                      <w:szCs w:val="21"/>
                    </w:rPr>
                  </w:pPr>
                </w:p>
              </w:tc>
              <w:tc>
                <w:tcPr>
                  <w:tcW w:w="3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均值</w:t>
                  </w:r>
                </w:p>
              </w:tc>
              <w:tc>
                <w:tcPr>
                  <w:tcW w:w="72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6105</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4.6</w:t>
                  </w:r>
                </w:p>
              </w:tc>
              <w:tc>
                <w:tcPr>
                  <w:tcW w:w="73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0.028</w:t>
                  </w:r>
                </w:p>
              </w:tc>
              <w:tc>
                <w:tcPr>
                  <w:tcW w:w="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4</w:t>
                  </w:r>
                </w:p>
              </w:tc>
              <w:tc>
                <w:tcPr>
                  <w:tcW w:w="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0.022</w:t>
                  </w:r>
                </w:p>
              </w:tc>
              <w:tc>
                <w:tcPr>
                  <w:tcW w:w="72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8</w:t>
                  </w:r>
                </w:p>
              </w:tc>
              <w:tc>
                <w:tcPr>
                  <w:tcW w:w="53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0.049</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w:t>
                  </w:r>
                </w:p>
              </w:tc>
              <w:tc>
                <w:tcPr>
                  <w:tcW w:w="7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1.42×10</w:t>
                  </w:r>
                  <w:r>
                    <w:rPr>
                      <w:rFonts w:hint="default" w:ascii="Times New Roman" w:hAnsi="Times New Roman" w:cs="Times New Roman"/>
                      <w:color w:val="auto"/>
                      <w:sz w:val="21"/>
                      <w:szCs w:val="21"/>
                      <w:vertAlign w:val="superscript"/>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4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rPr>
                  </w:pPr>
                </w:p>
              </w:tc>
              <w:tc>
                <w:tcPr>
                  <w:tcW w:w="806"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rPr>
                    <w:t>2023.0</w:t>
                  </w:r>
                  <w:r>
                    <w:rPr>
                      <w:rFonts w:hint="default" w:ascii="Times New Roman" w:hAnsi="Times New Roman" w:cs="Times New Roman"/>
                      <w:color w:val="auto"/>
                      <w:sz w:val="21"/>
                      <w:szCs w:val="21"/>
                      <w:lang w:val="en-US" w:eastAsia="zh-CN"/>
                    </w:rPr>
                    <w:t>3.01</w:t>
                  </w:r>
                </w:p>
              </w:tc>
              <w:tc>
                <w:tcPr>
                  <w:tcW w:w="3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1</w:t>
                  </w:r>
                </w:p>
              </w:tc>
              <w:tc>
                <w:tcPr>
                  <w:tcW w:w="725" w:type="dxa"/>
                  <w:tcBorders>
                    <w:top w:val="nil"/>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6229</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4.2</w:t>
                  </w:r>
                </w:p>
              </w:tc>
              <w:tc>
                <w:tcPr>
                  <w:tcW w:w="73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0.026</w:t>
                  </w:r>
                </w:p>
              </w:tc>
              <w:tc>
                <w:tcPr>
                  <w:tcW w:w="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5</w:t>
                  </w:r>
                </w:p>
              </w:tc>
              <w:tc>
                <w:tcPr>
                  <w:tcW w:w="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0.031</w:t>
                  </w:r>
                </w:p>
              </w:tc>
              <w:tc>
                <w:tcPr>
                  <w:tcW w:w="72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7</w:t>
                  </w:r>
                </w:p>
              </w:tc>
              <w:tc>
                <w:tcPr>
                  <w:tcW w:w="53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0.044</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0.05</w:t>
                  </w:r>
                </w:p>
              </w:tc>
              <w:tc>
                <w:tcPr>
                  <w:tcW w:w="7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3.11×10</w:t>
                  </w:r>
                  <w:r>
                    <w:rPr>
                      <w:rFonts w:hint="default" w:ascii="Times New Roman" w:hAnsi="Times New Roman" w:cs="Times New Roman"/>
                      <w:color w:val="auto"/>
                      <w:sz w:val="21"/>
                      <w:szCs w:val="21"/>
                      <w:vertAlign w:val="superscript"/>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4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1"/>
                      <w:szCs w:val="21"/>
                    </w:rPr>
                  </w:pPr>
                </w:p>
              </w:tc>
              <w:tc>
                <w:tcPr>
                  <w:tcW w:w="80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1"/>
                      <w:szCs w:val="21"/>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2</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6346</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4.5</w:t>
                  </w:r>
                </w:p>
              </w:tc>
              <w:tc>
                <w:tcPr>
                  <w:tcW w:w="73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0.029</w:t>
                  </w:r>
                </w:p>
              </w:tc>
              <w:tc>
                <w:tcPr>
                  <w:tcW w:w="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4</w:t>
                  </w:r>
                </w:p>
              </w:tc>
              <w:tc>
                <w:tcPr>
                  <w:tcW w:w="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0.025</w:t>
                  </w:r>
                </w:p>
              </w:tc>
              <w:tc>
                <w:tcPr>
                  <w:tcW w:w="72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9</w:t>
                  </w:r>
                </w:p>
              </w:tc>
              <w:tc>
                <w:tcPr>
                  <w:tcW w:w="53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0.057</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0.05</w:t>
                  </w:r>
                </w:p>
              </w:tc>
              <w:tc>
                <w:tcPr>
                  <w:tcW w:w="7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3.17×10</w:t>
                  </w:r>
                  <w:r>
                    <w:rPr>
                      <w:rFonts w:hint="default" w:ascii="Times New Roman" w:hAnsi="Times New Roman" w:cs="Times New Roman"/>
                      <w:color w:val="auto"/>
                      <w:sz w:val="21"/>
                      <w:szCs w:val="21"/>
                      <w:vertAlign w:val="superscript"/>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4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1"/>
                      <w:szCs w:val="21"/>
                    </w:rPr>
                  </w:pPr>
                </w:p>
              </w:tc>
              <w:tc>
                <w:tcPr>
                  <w:tcW w:w="80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1"/>
                      <w:szCs w:val="21"/>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3</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6107</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4.1</w:t>
                  </w:r>
                </w:p>
              </w:tc>
              <w:tc>
                <w:tcPr>
                  <w:tcW w:w="73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0.025</w:t>
                  </w:r>
                </w:p>
              </w:tc>
              <w:tc>
                <w:tcPr>
                  <w:tcW w:w="631"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4</w:t>
                  </w:r>
                </w:p>
              </w:tc>
              <w:tc>
                <w:tcPr>
                  <w:tcW w:w="63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0.024</w:t>
                  </w:r>
                </w:p>
              </w:tc>
              <w:tc>
                <w:tcPr>
                  <w:tcW w:w="729"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9</w:t>
                  </w:r>
                </w:p>
              </w:tc>
              <w:tc>
                <w:tcPr>
                  <w:tcW w:w="53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0.055</w:t>
                  </w:r>
                </w:p>
              </w:tc>
              <w:tc>
                <w:tcPr>
                  <w:tcW w:w="827"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0.04</w:t>
                  </w:r>
                </w:p>
              </w:tc>
              <w:tc>
                <w:tcPr>
                  <w:tcW w:w="76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2.44×10</w:t>
                  </w:r>
                  <w:r>
                    <w:rPr>
                      <w:rFonts w:hint="default" w:ascii="Times New Roman" w:hAnsi="Times New Roman" w:cs="Times New Roman"/>
                      <w:color w:val="auto"/>
                      <w:sz w:val="21"/>
                      <w:szCs w:val="21"/>
                      <w:vertAlign w:val="superscript"/>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4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1"/>
                      <w:szCs w:val="21"/>
                    </w:rPr>
                  </w:pPr>
                </w:p>
              </w:tc>
              <w:tc>
                <w:tcPr>
                  <w:tcW w:w="806"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cs="Times New Roman"/>
                      <w:color w:val="auto"/>
                      <w:sz w:val="21"/>
                      <w:szCs w:val="21"/>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均值</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6227</w:t>
                  </w:r>
                </w:p>
              </w:tc>
              <w:tc>
                <w:tcPr>
                  <w:tcW w:w="827" w:type="dxa"/>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4.3</w:t>
                  </w:r>
                </w:p>
              </w:tc>
              <w:tc>
                <w:tcPr>
                  <w:tcW w:w="733" w:type="dxa"/>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0.027</w:t>
                  </w:r>
                </w:p>
              </w:tc>
              <w:tc>
                <w:tcPr>
                  <w:tcW w:w="631" w:type="dxa"/>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4</w:t>
                  </w:r>
                </w:p>
              </w:tc>
              <w:tc>
                <w:tcPr>
                  <w:tcW w:w="635" w:type="dxa"/>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0.027</w:t>
                  </w:r>
                </w:p>
              </w:tc>
              <w:tc>
                <w:tcPr>
                  <w:tcW w:w="729" w:type="dxa"/>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8</w:t>
                  </w:r>
                </w:p>
              </w:tc>
              <w:tc>
                <w:tcPr>
                  <w:tcW w:w="537" w:type="dxa"/>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0.052</w:t>
                  </w:r>
                </w:p>
              </w:tc>
              <w:tc>
                <w:tcPr>
                  <w:tcW w:w="827" w:type="dxa"/>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Times New Roman" w:eastAsia="Times New Roman" w:cs="Times New Roman"/>
                      <w:color w:val="auto"/>
                      <w:sz w:val="21"/>
                      <w:szCs w:val="21"/>
                      <w:lang w:val="en-US" w:eastAsia="zh-CN" w:bidi="ar-SA"/>
                    </w:rPr>
                  </w:pPr>
                  <w:r>
                    <w:rPr>
                      <w:rFonts w:hint="default" w:ascii="Times New Roman" w:hAnsi="Times New Roman" w:eastAsia="Times New Roman" w:cs="Times New Roman"/>
                      <w:color w:val="auto"/>
                      <w:sz w:val="21"/>
                      <w:szCs w:val="21"/>
                    </w:rPr>
                    <w:t>0.05</w:t>
                  </w:r>
                </w:p>
              </w:tc>
              <w:tc>
                <w:tcPr>
                  <w:tcW w:w="765" w:type="dxa"/>
                  <w:tcBorders>
                    <w:bottom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2.91`×10</w:t>
                  </w:r>
                  <w:r>
                    <w:rPr>
                      <w:rFonts w:hint="default" w:ascii="Times New Roman" w:hAnsi="Times New Roman" w:cs="Times New Roman"/>
                      <w:color w:val="auto"/>
                      <w:sz w:val="21"/>
                      <w:szCs w:val="21"/>
                      <w:vertAlign w:val="superscript"/>
                      <w:lang w:val="en-US" w:eastAsia="zh-CN"/>
                    </w:rPr>
                    <w:t>-4</w:t>
                  </w:r>
                </w:p>
              </w:tc>
            </w:tr>
          </w:tbl>
          <w:p>
            <w:pPr>
              <w:pStyle w:val="18"/>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验收监测期间，熔炼废气治理装置排气筒出口</w:t>
            </w:r>
            <w:r>
              <w:rPr>
                <w:rFonts w:hint="eastAsia" w:ascii="Times New Roman" w:hAnsi="Times New Roman" w:cs="Times New Roman"/>
                <w:b w:val="0"/>
                <w:bCs w:val="0"/>
                <w:color w:val="auto"/>
                <w:sz w:val="24"/>
                <w:szCs w:val="24"/>
                <w:lang w:val="en-US" w:eastAsia="zh-CN"/>
              </w:rPr>
              <w:t>各污染物排放浓度</w:t>
            </w:r>
            <w:r>
              <w:rPr>
                <w:rFonts w:hint="eastAsia" w:ascii="Times New Roman" w:hAnsi="Times New Roman" w:eastAsia="宋体" w:cs="Times New Roman"/>
                <w:b w:val="0"/>
                <w:bCs w:val="0"/>
                <w:color w:val="auto"/>
                <w:sz w:val="24"/>
                <w:szCs w:val="24"/>
                <w:lang w:val="en-US" w:eastAsia="zh-CN"/>
              </w:rPr>
              <w:t>满足《河南省工业炉窑大气污染物排放标准》（DB41/1066-2020）表1标准限值要求</w:t>
            </w:r>
            <w:r>
              <w:rPr>
                <w:rFonts w:hint="eastAsia" w:ascii="Times New Roman" w:hAnsi="Times New Roman" w:eastAsia="宋体" w:cs="Times New Roman"/>
                <w:color w:val="auto"/>
                <w:sz w:val="24"/>
                <w:szCs w:val="24"/>
                <w:vertAlign w:val="baseline"/>
                <w:lang w:val="en-US" w:eastAsia="zh-CN"/>
              </w:rPr>
              <w:t>。</w:t>
            </w:r>
          </w:p>
          <w:p>
            <w:pPr>
              <w:pStyle w:val="2"/>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无组织废气检测结果</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164"/>
              <w:gridCol w:w="1101"/>
              <w:gridCol w:w="1104"/>
              <w:gridCol w:w="1104"/>
              <w:gridCol w:w="1104"/>
              <w:gridCol w:w="1104"/>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9"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采样日期</w:t>
                  </w:r>
                </w:p>
              </w:tc>
              <w:tc>
                <w:tcPr>
                  <w:tcW w:w="73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检测因子</w:t>
                  </w:r>
                </w:p>
              </w:tc>
              <w:tc>
                <w:tcPr>
                  <w:tcW w:w="696"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检测频次</w:t>
                  </w:r>
                </w:p>
              </w:tc>
              <w:tc>
                <w:tcPr>
                  <w:tcW w:w="2797"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检测浓度(</w:t>
                  </w:r>
                  <w:r>
                    <w:rPr>
                      <w:rFonts w:hint="default" w:ascii="Times New Roman" w:hAnsi="Times New Roman" w:cs="Times New Roman"/>
                      <w:b w:val="0"/>
                      <w:bCs w:val="0"/>
                      <w:color w:val="auto"/>
                      <w:sz w:val="21"/>
                      <w:szCs w:val="21"/>
                      <w:u w:val="none"/>
                    </w:rPr>
                    <w:t>mg/m</w:t>
                  </w:r>
                  <w:r>
                    <w:rPr>
                      <w:rFonts w:hint="default" w:ascii="Times New Roman" w:hAnsi="Times New Roman" w:cs="Times New Roman"/>
                      <w:b w:val="0"/>
                      <w:bCs w:val="0"/>
                      <w:color w:val="auto"/>
                      <w:sz w:val="21"/>
                      <w:szCs w:val="21"/>
                      <w:u w:val="none"/>
                      <w:vertAlign w:val="superscript"/>
                    </w:rPr>
                    <w:t>3</w:t>
                  </w:r>
                  <w:r>
                    <w:rPr>
                      <w:rFonts w:hint="default" w:ascii="Times New Roman" w:hAnsi="Times New Roman" w:cs="Times New Roman"/>
                      <w:b w:val="0"/>
                      <w:bCs w:val="0"/>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696"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eastAsia="zh-CN"/>
                    </w:rPr>
                    <w:t>上风向</w:t>
                  </w:r>
                  <w:r>
                    <w:rPr>
                      <w:rFonts w:hint="default" w:ascii="Times New Roman" w:hAnsi="Times New Roman" w:cs="Times New Roman"/>
                      <w:b w:val="0"/>
                      <w:bCs w:val="0"/>
                      <w:color w:val="auto"/>
                      <w:sz w:val="21"/>
                      <w:szCs w:val="21"/>
                      <w:u w:val="none"/>
                      <w:lang w:val="en-US" w:eastAsia="zh-CN"/>
                    </w:rPr>
                    <w:t>1#</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下风向</w:t>
                  </w:r>
                  <w:r>
                    <w:rPr>
                      <w:rFonts w:hint="default" w:ascii="Times New Roman" w:hAnsi="Times New Roman" w:cs="Times New Roman"/>
                      <w:b w:val="0"/>
                      <w:bCs w:val="0"/>
                      <w:color w:val="auto"/>
                      <w:sz w:val="21"/>
                      <w:szCs w:val="21"/>
                      <w:u w:val="none"/>
                      <w:lang w:val="en-US" w:eastAsia="zh-CN"/>
                    </w:rPr>
                    <w:t>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下风向</w:t>
                  </w:r>
                  <w:r>
                    <w:rPr>
                      <w:rFonts w:hint="default" w:ascii="Times New Roman" w:hAnsi="Times New Roman" w:cs="Times New Roman"/>
                      <w:b w:val="0"/>
                      <w:bCs w:val="0"/>
                      <w:color w:val="auto"/>
                      <w:sz w:val="21"/>
                      <w:szCs w:val="21"/>
                      <w:u w:val="none"/>
                      <w:lang w:val="en-US" w:eastAsia="zh-CN"/>
                    </w:rPr>
                    <w:t>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eastAsia="zh-CN"/>
                    </w:rPr>
                    <w:t>下风向</w:t>
                  </w:r>
                  <w:r>
                    <w:rPr>
                      <w:rFonts w:hint="default" w:ascii="Times New Roman" w:hAnsi="Times New Roman" w:cs="Times New Roman"/>
                      <w:b w:val="0"/>
                      <w:bCs w:val="0"/>
                      <w:color w:val="auto"/>
                      <w:sz w:val="21"/>
                      <w:szCs w:val="21"/>
                      <w:u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highlight w:val="none"/>
                      <w:u w:val="none"/>
                    </w:rPr>
                    <w:t>202</w:t>
                  </w:r>
                  <w:r>
                    <w:rPr>
                      <w:rFonts w:hint="default" w:ascii="Times New Roman" w:hAnsi="Times New Roman" w:cs="Times New Roman"/>
                      <w:b w:val="0"/>
                      <w:bCs w:val="0"/>
                      <w:color w:val="auto"/>
                      <w:sz w:val="21"/>
                      <w:szCs w:val="21"/>
                      <w:highlight w:val="none"/>
                      <w:u w:val="none"/>
                      <w:lang w:val="en-US" w:eastAsia="zh-CN"/>
                    </w:rPr>
                    <w:t>3.02.28</w:t>
                  </w:r>
                </w:p>
              </w:tc>
              <w:tc>
                <w:tcPr>
                  <w:tcW w:w="736" w:type="pct"/>
                  <w:vMerge w:val="restart"/>
                  <w:tcBorders>
                    <w:top w:val="single" w:color="auto" w:sz="4" w:space="0"/>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vertAlign w:val="baseline"/>
                      <w:lang w:val="en-US" w:eastAsia="zh-CN"/>
                    </w:rPr>
                    <w:t>非甲烷总烃</w:t>
                  </w: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1</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0.88</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1.27</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1.25</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0.81</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1.15</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1.26</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0.76</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1.34</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1.62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b w:val="0"/>
                      <w:bCs w:val="0"/>
                      <w:color w:val="auto"/>
                      <w:sz w:val="21"/>
                      <w:szCs w:val="21"/>
                      <w:u w:val="none"/>
                      <w:lang w:val="en-US" w:eastAsia="zh-CN" w:bidi="zh-TW"/>
                    </w:rPr>
                  </w:pPr>
                  <w:r>
                    <w:rPr>
                      <w:rFonts w:hint="default" w:ascii="Times New Roman" w:hAnsi="Times New Roman" w:cs="Times New Roman"/>
                      <w:b w:val="0"/>
                      <w:bCs w:val="0"/>
                      <w:color w:val="auto"/>
                      <w:sz w:val="21"/>
                      <w:szCs w:val="21"/>
                      <w:u w:val="none"/>
                      <w:lang w:val="en-US" w:eastAsia="zh-CN" w:bidi="zh-TW"/>
                    </w:rPr>
                    <w:t>4</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0.79</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1.31</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1.50</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2023.0</w:t>
                  </w:r>
                  <w:r>
                    <w:rPr>
                      <w:rFonts w:hint="default" w:ascii="Times New Roman" w:hAnsi="Times New Roman" w:cs="Times New Roman"/>
                      <w:b w:val="0"/>
                      <w:bCs w:val="0"/>
                      <w:color w:val="auto"/>
                      <w:sz w:val="21"/>
                      <w:szCs w:val="21"/>
                      <w:u w:val="none"/>
                      <w:lang w:val="en-US" w:eastAsia="zh-CN"/>
                    </w:rPr>
                    <w:t>3.01</w:t>
                  </w: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1</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0.83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1.49</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1.39</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0.85</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1.22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1.44</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0.77</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1.26</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1.52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b w:val="0"/>
                      <w:bCs w:val="0"/>
                      <w:color w:val="auto"/>
                      <w:sz w:val="21"/>
                      <w:szCs w:val="21"/>
                      <w:u w:val="none"/>
                      <w:lang w:val="en-US" w:eastAsia="zh-CN" w:bidi="zh-TW"/>
                    </w:rPr>
                  </w:pPr>
                  <w:r>
                    <w:rPr>
                      <w:rFonts w:hint="default" w:ascii="Times New Roman" w:hAnsi="Times New Roman" w:cs="Times New Roman"/>
                      <w:b w:val="0"/>
                      <w:bCs w:val="0"/>
                      <w:color w:val="auto"/>
                      <w:sz w:val="21"/>
                      <w:szCs w:val="21"/>
                      <w:u w:val="none"/>
                      <w:lang w:val="en-US" w:eastAsia="zh-CN" w:bidi="zh-TW"/>
                    </w:rPr>
                    <w:t>4</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0.72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1.33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1.31</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highlight w:val="none"/>
                      <w:u w:val="none"/>
                    </w:rPr>
                    <w:t>202</w:t>
                  </w:r>
                  <w:r>
                    <w:rPr>
                      <w:rFonts w:hint="default" w:ascii="Times New Roman" w:hAnsi="Times New Roman" w:cs="Times New Roman"/>
                      <w:b w:val="0"/>
                      <w:bCs w:val="0"/>
                      <w:color w:val="auto"/>
                      <w:sz w:val="21"/>
                      <w:szCs w:val="21"/>
                      <w:highlight w:val="none"/>
                      <w:u w:val="none"/>
                      <w:lang w:val="en-US" w:eastAsia="zh-CN"/>
                    </w:rPr>
                    <w:t>3.02.28</w:t>
                  </w:r>
                </w:p>
              </w:tc>
              <w:tc>
                <w:tcPr>
                  <w:tcW w:w="736" w:type="pct"/>
                  <w:vMerge w:val="restart"/>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vertAlign w:val="baseline"/>
                      <w:lang w:val="en-US" w:eastAsia="zh-CN"/>
                    </w:rPr>
                    <w:t>氨</w:t>
                  </w: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1</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0.23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0.18</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0.23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0.15</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0.01</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0.21</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0.20</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zh-TW"/>
                    </w:rPr>
                  </w:pPr>
                  <w:r>
                    <w:rPr>
                      <w:rFonts w:hint="default" w:ascii="Times New Roman" w:hAnsi="Times New Roman" w:cs="Times New Roman"/>
                      <w:b w:val="0"/>
                      <w:bCs w:val="0"/>
                      <w:color w:val="auto"/>
                      <w:sz w:val="21"/>
                      <w:szCs w:val="21"/>
                      <w:u w:val="none"/>
                      <w:lang w:val="en-US" w:eastAsia="zh-CN" w:bidi="zh-TW"/>
                    </w:rPr>
                    <w:t>4</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0.04</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0.18</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0.17</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2023.0</w:t>
                  </w:r>
                  <w:r>
                    <w:rPr>
                      <w:rFonts w:hint="default" w:ascii="Times New Roman" w:hAnsi="Times New Roman" w:cs="Times New Roman"/>
                      <w:b w:val="0"/>
                      <w:bCs w:val="0"/>
                      <w:color w:val="auto"/>
                      <w:sz w:val="21"/>
                      <w:szCs w:val="21"/>
                      <w:u w:val="none"/>
                      <w:lang w:val="en-US" w:eastAsia="zh-CN"/>
                    </w:rPr>
                    <w:t>3.01</w:t>
                  </w: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1</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0.04</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0.24</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0.21</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0.23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0.23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0.16</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0.21</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zh-TW"/>
                    </w:rPr>
                  </w:pPr>
                  <w:r>
                    <w:rPr>
                      <w:rFonts w:hint="default" w:ascii="Times New Roman" w:hAnsi="Times New Roman" w:cs="Times New Roman"/>
                      <w:b w:val="0"/>
                      <w:bCs w:val="0"/>
                      <w:color w:val="auto"/>
                      <w:sz w:val="21"/>
                      <w:szCs w:val="21"/>
                      <w:u w:val="none"/>
                      <w:lang w:val="en-US" w:eastAsia="zh-CN" w:bidi="zh-TW"/>
                    </w:rPr>
                    <w:t>4</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0.19</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0.17</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highlight w:val="none"/>
                      <w:u w:val="none"/>
                    </w:rPr>
                    <w:t>202</w:t>
                  </w:r>
                  <w:r>
                    <w:rPr>
                      <w:rFonts w:hint="default" w:ascii="Times New Roman" w:hAnsi="Times New Roman" w:cs="Times New Roman"/>
                      <w:b w:val="0"/>
                      <w:bCs w:val="0"/>
                      <w:color w:val="auto"/>
                      <w:sz w:val="21"/>
                      <w:szCs w:val="21"/>
                      <w:highlight w:val="none"/>
                      <w:u w:val="none"/>
                      <w:lang w:val="en-US" w:eastAsia="zh-CN"/>
                    </w:rPr>
                    <w:t>3.02.28</w:t>
                  </w:r>
                </w:p>
              </w:tc>
              <w:tc>
                <w:tcPr>
                  <w:tcW w:w="736" w:type="pct"/>
                  <w:vMerge w:val="restart"/>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vertAlign w:val="baseline"/>
                      <w:lang w:val="en-US" w:eastAsia="zh-CN"/>
                    </w:rPr>
                    <w:t>硫化氢</w:t>
                  </w: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1</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0.009</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0.006</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0.009</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0.008</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0.004</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0.008</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0.008</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zh-TW"/>
                    </w:rPr>
                  </w:pPr>
                  <w:r>
                    <w:rPr>
                      <w:rFonts w:hint="default" w:ascii="Times New Roman" w:hAnsi="Times New Roman" w:cs="Times New Roman"/>
                      <w:b w:val="0"/>
                      <w:bCs w:val="0"/>
                      <w:color w:val="auto"/>
                      <w:sz w:val="21"/>
                      <w:szCs w:val="21"/>
                      <w:u w:val="none"/>
                      <w:lang w:val="en-US" w:eastAsia="zh-CN" w:bidi="zh-TW"/>
                    </w:rPr>
                    <w:t>4</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0.009</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0.009</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lang w:val="en-US" w:eastAsia="zh-CN" w:bidi="ar-SA"/>
                    </w:rPr>
                  </w:pPr>
                  <w:r>
                    <w:rPr>
                      <w:rFonts w:hint="default" w:ascii="Times New Roman" w:hAnsi="Times New Roman" w:eastAsia="宋体" w:cs="Times New Roman"/>
                      <w:b w:val="0"/>
                      <w:bCs w:val="0"/>
                      <w:color w:val="auto"/>
                      <w:sz w:val="21"/>
                      <w:szCs w:val="21"/>
                      <w:u w:val="none"/>
                      <w:lang w:val="en-US" w:eastAsia="zh-CN"/>
                    </w:rPr>
                    <w:t>2023.0</w:t>
                  </w:r>
                  <w:r>
                    <w:rPr>
                      <w:rFonts w:hint="default" w:ascii="Times New Roman" w:hAnsi="Times New Roman" w:cs="Times New Roman"/>
                      <w:b w:val="0"/>
                      <w:bCs w:val="0"/>
                      <w:color w:val="auto"/>
                      <w:sz w:val="21"/>
                      <w:szCs w:val="21"/>
                      <w:u w:val="none"/>
                      <w:lang w:val="en-US" w:eastAsia="zh-CN"/>
                    </w:rPr>
                    <w:t>3.01</w:t>
                  </w: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1</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0.009</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0.009</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0.004</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0.010</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0.010</w:t>
                  </w:r>
                </w:p>
              </w:tc>
              <w:tc>
                <w:tcPr>
                  <w:tcW w:w="6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宋体" w:cs="Times New Roman"/>
                      <w:b w:val="0"/>
                      <w:bCs w:val="0"/>
                      <w:color w:val="auto"/>
                      <w:sz w:val="21"/>
                      <w:szCs w:val="21"/>
                      <w:highlight w:val="none"/>
                      <w:u w:val="none"/>
                      <w:lang w:val="en-US" w:eastAsia="zh-CN" w:bidi="ar-SA"/>
                    </w:rPr>
                  </w:pPr>
                  <w:r>
                    <w:rPr>
                      <w:rFonts w:hint="default" w:ascii="Times New Roman" w:hAnsi="Times New Roman" w:eastAsia="宋体" w:cs="Times New Roman"/>
                      <w:b w:val="0"/>
                      <w:bCs w:val="0"/>
                      <w:color w:val="auto"/>
                      <w:sz w:val="21"/>
                      <w:szCs w:val="21"/>
                      <w:highlight w:val="none"/>
                      <w:u w:val="none"/>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ar-SA"/>
                    </w:rPr>
                  </w:pPr>
                  <w:r>
                    <w:rPr>
                      <w:rFonts w:hint="default" w:ascii="Times New Roman" w:hAnsi="Times New Roman" w:cs="Times New Roman"/>
                      <w:b w:val="0"/>
                      <w:bCs w:val="0"/>
                      <w:color w:val="auto"/>
                      <w:sz w:val="21"/>
                      <w:szCs w:val="21"/>
                      <w:u w:val="none"/>
                      <w:lang w:val="en-US" w:eastAsia="zh-CN" w:bidi="zh-TW"/>
                    </w:rPr>
                    <w:t>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0.003</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0.010</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0.012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3" w:hRule="atLeast"/>
                <w:jc w:val="center"/>
              </w:trPr>
              <w:tc>
                <w:tcPr>
                  <w:tcW w:w="769"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rPr>
                  </w:pPr>
                </w:p>
              </w:tc>
              <w:tc>
                <w:tcPr>
                  <w:tcW w:w="736" w:type="pct"/>
                  <w:vMerge w:val="continue"/>
                  <w:tcBorders>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eastAsia="zh-CN"/>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eastAsia="宋体" w:cs="Times New Roman"/>
                      <w:b w:val="0"/>
                      <w:bCs w:val="0"/>
                      <w:color w:val="auto"/>
                      <w:sz w:val="21"/>
                      <w:szCs w:val="21"/>
                      <w:u w:val="none"/>
                      <w:shd w:val="clear" w:color="auto" w:fill="auto"/>
                      <w:lang w:val="en-US" w:eastAsia="zh-CN" w:bidi="zh-TW"/>
                    </w:rPr>
                  </w:pPr>
                  <w:r>
                    <w:rPr>
                      <w:rFonts w:hint="default" w:ascii="Times New Roman" w:hAnsi="Times New Roman" w:cs="Times New Roman"/>
                      <w:b w:val="0"/>
                      <w:bCs w:val="0"/>
                      <w:color w:val="auto"/>
                      <w:sz w:val="21"/>
                      <w:szCs w:val="21"/>
                      <w:u w:val="none"/>
                      <w:lang w:val="en-US" w:eastAsia="zh-CN" w:bidi="zh-TW"/>
                    </w:rPr>
                    <w:t>4</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0.002</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0.009</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0.008</w:t>
                  </w:r>
                </w:p>
              </w:tc>
              <w:tc>
                <w:tcPr>
                  <w:tcW w:w="698" w:type="pct"/>
                  <w:tcBorders>
                    <w:top w:val="single" w:color="auto" w:sz="4" w:space="0"/>
                    <w:left w:val="single" w:color="auto" w:sz="4" w:space="0"/>
                    <w:bottom w:val="single" w:color="auto" w:sz="4" w:space="0"/>
                    <w:right w:val="single" w:color="auto" w:sz="4" w:space="0"/>
                  </w:tcBorders>
                  <w:noWrap w:val="0"/>
                  <w:vAlign w:val="center"/>
                </w:tcPr>
                <w:p>
                  <w:pPr>
                    <w:pStyle w:val="66"/>
                    <w:keepNext w:val="0"/>
                    <w:keepLines w:val="0"/>
                    <w:suppressLineNumbers w:val="0"/>
                    <w:spacing w:before="0" w:beforeAutospacing="0" w:after="0" w:afterAutospacing="0" w:line="240" w:lineRule="auto"/>
                    <w:ind w:left="0" w:right="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0.011</w:t>
                  </w:r>
                </w:p>
              </w:tc>
            </w:tr>
          </w:tbl>
          <w:p>
            <w:pPr>
              <w:pStyle w:val="18"/>
              <w:keepNext w:val="0"/>
              <w:keepLines w:val="0"/>
              <w:pageBreakBefore w:val="0"/>
              <w:widowControl/>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验收监测期间，项目厂界无组织废气</w:t>
            </w:r>
            <w:r>
              <w:rPr>
                <w:rFonts w:hint="eastAsia" w:ascii="Times New Roman" w:hAnsi="Times New Roman" w:cs="Times New Roman"/>
                <w:b w:val="0"/>
                <w:bCs w:val="0"/>
                <w:color w:val="auto"/>
                <w:sz w:val="24"/>
                <w:szCs w:val="24"/>
                <w:lang w:val="en-US" w:eastAsia="zh-CN"/>
              </w:rPr>
              <w:t>非甲烷总烃排放浓度</w:t>
            </w:r>
            <w:r>
              <w:rPr>
                <w:rFonts w:hint="eastAsia" w:ascii="Times New Roman" w:hAnsi="Times New Roman" w:eastAsia="宋体" w:cs="Times New Roman"/>
                <w:color w:val="auto"/>
                <w:kern w:val="0"/>
                <w:sz w:val="24"/>
                <w:szCs w:val="24"/>
                <w:lang w:eastAsia="zh-CN"/>
              </w:rPr>
              <w:t>满足</w:t>
            </w:r>
            <w:r>
              <w:rPr>
                <w:rFonts w:hint="eastAsia" w:ascii="Times New Roman" w:hAnsi="Times New Roman" w:eastAsia="宋体" w:cs="Times New Roman"/>
                <w:b w:val="0"/>
                <w:bCs w:val="0"/>
                <w:color w:val="auto"/>
                <w:sz w:val="24"/>
                <w:szCs w:val="24"/>
                <w:lang w:val="en-US" w:eastAsia="zh-CN"/>
              </w:rPr>
              <w:t>《大气污染物综合排放标准》（GB16297-1996）无组织排放监控浓度限值要求及</w:t>
            </w:r>
            <w:r>
              <w:rPr>
                <w:rFonts w:hint="default" w:ascii="Times New Roman" w:hAnsi="Times New Roman" w:cs="Times New Roman"/>
                <w:b w:val="0"/>
                <w:bCs/>
                <w:color w:val="auto"/>
                <w:sz w:val="24"/>
                <w:szCs w:val="24"/>
                <w:vertAlign w:val="baseline"/>
                <w:lang w:val="en-US" w:eastAsia="zh-CN"/>
              </w:rPr>
              <w:t>《挥发性有机物无组织排放控制标准》（GB37822-2019）特别排放限值（厂房外设置监控点）（监控点处任意一次浓度值20mg/m</w:t>
            </w:r>
            <w:r>
              <w:rPr>
                <w:rFonts w:hint="default" w:ascii="Times New Roman" w:hAnsi="Times New Roman" w:cs="Times New Roman"/>
                <w:b w:val="0"/>
                <w:bCs/>
                <w:color w:val="auto"/>
                <w:sz w:val="24"/>
                <w:szCs w:val="24"/>
                <w:vertAlign w:val="superscript"/>
                <w:lang w:val="en-US" w:eastAsia="zh-CN"/>
              </w:rPr>
              <w:t>3</w:t>
            </w:r>
            <w:r>
              <w:rPr>
                <w:rFonts w:hint="default" w:ascii="Times New Roman" w:hAnsi="Times New Roman" w:cs="Times New Roman"/>
                <w:b w:val="0"/>
                <w:bCs/>
                <w:color w:val="auto"/>
                <w:sz w:val="24"/>
                <w:szCs w:val="24"/>
                <w:vertAlign w:val="baseline"/>
                <w:lang w:val="en-US" w:eastAsia="zh-CN"/>
              </w:rPr>
              <w:t>、监控点处1h平均浓度值6mg/m</w:t>
            </w:r>
            <w:r>
              <w:rPr>
                <w:rFonts w:hint="default" w:ascii="Times New Roman" w:hAnsi="Times New Roman" w:cs="Times New Roman"/>
                <w:b w:val="0"/>
                <w:bCs/>
                <w:color w:val="auto"/>
                <w:sz w:val="24"/>
                <w:szCs w:val="24"/>
                <w:vertAlign w:val="superscript"/>
                <w:lang w:val="en-US" w:eastAsia="zh-CN"/>
              </w:rPr>
              <w:t>3</w:t>
            </w:r>
            <w:r>
              <w:rPr>
                <w:rFonts w:hint="default" w:ascii="Times New Roman" w:hAnsi="Times New Roman" w:cs="Times New Roman"/>
                <w:b w:val="0"/>
                <w:bCs/>
                <w:color w:val="auto"/>
                <w:sz w:val="24"/>
                <w:szCs w:val="24"/>
                <w:vertAlign w:val="baseline"/>
                <w:lang w:val="en-US" w:eastAsia="zh-CN"/>
              </w:rPr>
              <w:t>）</w:t>
            </w:r>
            <w:r>
              <w:rPr>
                <w:rFonts w:hint="eastAsia" w:ascii="Times New Roman" w:hAnsi="Times New Roman" w:eastAsia="宋体" w:cs="Times New Roman"/>
                <w:color w:val="auto"/>
                <w:sz w:val="24"/>
                <w:szCs w:val="24"/>
                <w:vertAlign w:val="baseline"/>
                <w:lang w:val="en-US" w:eastAsia="zh-CN"/>
              </w:rPr>
              <w:t>。氨</w:t>
            </w:r>
            <w:r>
              <w:rPr>
                <w:rFonts w:hint="eastAsia" w:ascii="Times New Roman" w:hAnsi="Times New Roman" w:cs="Times New Roman"/>
                <w:color w:val="auto"/>
                <w:sz w:val="24"/>
                <w:szCs w:val="24"/>
                <w:vertAlign w:val="baseline"/>
                <w:lang w:val="en-US" w:eastAsia="zh-CN"/>
              </w:rPr>
              <w:t>和硫化氢</w:t>
            </w:r>
            <w:r>
              <w:rPr>
                <w:rFonts w:hint="eastAsia" w:ascii="Times New Roman" w:hAnsi="Times New Roman" w:cs="Times New Roman"/>
                <w:b w:val="0"/>
                <w:bCs w:val="0"/>
                <w:color w:val="auto"/>
                <w:sz w:val="24"/>
                <w:szCs w:val="24"/>
                <w:lang w:val="en-US" w:eastAsia="zh-CN"/>
              </w:rPr>
              <w:t>排放浓度</w:t>
            </w:r>
            <w:r>
              <w:rPr>
                <w:rFonts w:hint="eastAsia" w:ascii="Times New Roman" w:hAnsi="Times New Roman" w:eastAsia="宋体" w:cs="Times New Roman"/>
                <w:color w:val="auto"/>
                <w:kern w:val="0"/>
                <w:sz w:val="24"/>
                <w:szCs w:val="24"/>
                <w:lang w:eastAsia="zh-CN"/>
              </w:rPr>
              <w:t>可以满足</w:t>
            </w:r>
            <w:r>
              <w:rPr>
                <w:rFonts w:hint="eastAsia" w:ascii="Times New Roman" w:hAnsi="Times New Roman" w:eastAsia="宋体" w:cs="Times New Roman"/>
                <w:color w:val="auto"/>
                <w:kern w:val="0"/>
                <w:sz w:val="24"/>
                <w:szCs w:val="24"/>
                <w:lang w:val="en-US" w:eastAsia="zh-CN"/>
              </w:rPr>
              <w:t>《恶臭污染物排放标准》（</w:t>
            </w:r>
            <w:r>
              <w:rPr>
                <w:rFonts w:hint="eastAsia" w:ascii="Times New Roman" w:hAnsi="Times New Roman" w:eastAsia="宋体" w:cs="Times New Roman"/>
                <w:b w:val="0"/>
                <w:bCs w:val="0"/>
                <w:color w:val="auto"/>
                <w:sz w:val="24"/>
                <w:szCs w:val="24"/>
                <w:lang w:val="en-US" w:eastAsia="zh-CN"/>
              </w:rPr>
              <w:t>GB14554-93）标准限值。</w:t>
            </w:r>
          </w:p>
          <w:p>
            <w:pPr>
              <w:pStyle w:val="2"/>
              <w:bidi w:val="0"/>
              <w:spacing w:line="360" w:lineRule="auto"/>
              <w:jc w:val="center"/>
              <w:rPr>
                <w:rFonts w:hint="default" w:ascii="Times New Roman" w:hAnsi="Times New Roman" w:cs="Times New Roman"/>
                <w:b/>
                <w:bCs/>
                <w:color w:val="auto"/>
                <w:sz w:val="24"/>
                <w:szCs w:val="24"/>
                <w:u w:val="none"/>
              </w:rPr>
            </w:pPr>
            <w:r>
              <w:rPr>
                <w:rFonts w:hint="default" w:ascii="Times New Roman" w:hAnsi="Times New Roman" w:cs="Times New Roman"/>
                <w:b/>
                <w:bCs/>
                <w:color w:val="auto"/>
                <w:sz w:val="24"/>
                <w:szCs w:val="24"/>
                <w:u w:val="none"/>
                <w:lang w:val="en-US" w:eastAsia="zh-CN"/>
              </w:rPr>
              <w:t xml:space="preserve">  </w:t>
            </w:r>
            <w:r>
              <w:rPr>
                <w:rFonts w:hint="default" w:ascii="Times New Roman" w:hAnsi="Times New Roman" w:cs="Times New Roman"/>
                <w:b/>
                <w:bCs/>
                <w:color w:val="auto"/>
                <w:sz w:val="24"/>
                <w:szCs w:val="24"/>
                <w:highlight w:val="none"/>
                <w:u w:val="none"/>
              </w:rPr>
              <w:t>现有工程总量排放情况一览表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996"/>
              <w:gridCol w:w="2393"/>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10" w:type="pct"/>
                  <w:tcBorders>
                    <w:tl2br w:val="nil"/>
                    <w:tr2bl w:val="nil"/>
                  </w:tcBorders>
                  <w:vAlign w:val="center"/>
                </w:tcPr>
                <w:p>
                  <w:pPr>
                    <w:adjustRightInd/>
                    <w:snapToGrid/>
                    <w:spacing w:line="240" w:lineRule="auto"/>
                    <w:ind w:firstLine="0" w:firstLineChars="0"/>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污染物类型</w:t>
                  </w:r>
                </w:p>
              </w:tc>
              <w:tc>
                <w:tcPr>
                  <w:tcW w:w="1262" w:type="pct"/>
                  <w:tcBorders>
                    <w:tl2br w:val="nil"/>
                    <w:tr2bl w:val="nil"/>
                  </w:tcBorders>
                  <w:vAlign w:val="center"/>
                </w:tcPr>
                <w:p>
                  <w:pPr>
                    <w:adjustRightInd/>
                    <w:snapToGrid/>
                    <w:spacing w:line="240" w:lineRule="auto"/>
                    <w:ind w:firstLine="0" w:firstLineChars="0"/>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污染物名称</w:t>
                  </w:r>
                </w:p>
              </w:tc>
              <w:tc>
                <w:tcPr>
                  <w:tcW w:w="1513" w:type="pct"/>
                  <w:tcBorders>
                    <w:tl2br w:val="nil"/>
                    <w:tr2bl w:val="nil"/>
                  </w:tcBorders>
                  <w:vAlign w:val="center"/>
                </w:tcPr>
                <w:p>
                  <w:pPr>
                    <w:adjustRightInd/>
                    <w:snapToGrid/>
                    <w:spacing w:line="240" w:lineRule="auto"/>
                    <w:ind w:firstLine="0" w:firstLineChars="0"/>
                    <w:jc w:val="center"/>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现有工程</w:t>
                  </w:r>
                  <w:r>
                    <w:rPr>
                      <w:rFonts w:hint="eastAsia" w:ascii="Times New Roman" w:hAnsi="Times New Roman" w:cs="Times New Roman"/>
                      <w:b w:val="0"/>
                      <w:bCs w:val="0"/>
                      <w:color w:val="auto"/>
                      <w:sz w:val="21"/>
                      <w:szCs w:val="21"/>
                      <w:highlight w:val="none"/>
                      <w:u w:val="none"/>
                      <w:lang w:val="en-US" w:eastAsia="zh-CN"/>
                    </w:rPr>
                    <w:t>实际排放量</w:t>
                  </w:r>
                  <w:r>
                    <w:rPr>
                      <w:rFonts w:hint="default" w:ascii="Times New Roman" w:hAnsi="Times New Roman" w:cs="Times New Roman"/>
                      <w:b w:val="0"/>
                      <w:bCs w:val="0"/>
                      <w:color w:val="auto"/>
                      <w:sz w:val="21"/>
                      <w:szCs w:val="21"/>
                      <w:highlight w:val="none"/>
                      <w:u w:val="none"/>
                      <w:lang w:val="en-US" w:eastAsia="zh-CN"/>
                    </w:rPr>
                    <w:t>（t/a）</w:t>
                  </w:r>
                </w:p>
              </w:tc>
              <w:tc>
                <w:tcPr>
                  <w:tcW w:w="1514" w:type="pct"/>
                  <w:tcBorders>
                    <w:tl2br w:val="nil"/>
                    <w:tr2bl w:val="nil"/>
                  </w:tcBorders>
                  <w:vAlign w:val="center"/>
                </w:tcPr>
                <w:p>
                  <w:pPr>
                    <w:adjustRightInd/>
                    <w:snapToGrid/>
                    <w:spacing w:line="240" w:lineRule="auto"/>
                    <w:ind w:firstLine="0" w:firstLineChars="0"/>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lang w:val="en-US" w:eastAsia="zh-CN"/>
                    </w:rPr>
                    <w:t>现有工程</w:t>
                  </w:r>
                  <w:r>
                    <w:rPr>
                      <w:rFonts w:hint="eastAsia" w:ascii="Times New Roman" w:hAnsi="Times New Roman" w:cs="Times New Roman"/>
                      <w:b w:val="0"/>
                      <w:bCs w:val="0"/>
                      <w:color w:val="auto"/>
                      <w:sz w:val="21"/>
                      <w:szCs w:val="21"/>
                      <w:highlight w:val="none"/>
                      <w:u w:val="none"/>
                      <w:lang w:val="en-US" w:eastAsia="zh-CN"/>
                    </w:rPr>
                    <w:t>环评批复总量</w:t>
                  </w:r>
                  <w:r>
                    <w:rPr>
                      <w:rFonts w:hint="default" w:ascii="Times New Roman" w:hAnsi="Times New Roman" w:cs="Times New Roman"/>
                      <w:b w:val="0"/>
                      <w:bCs w:val="0"/>
                      <w:color w:val="auto"/>
                      <w:sz w:val="21"/>
                      <w:szCs w:val="21"/>
                      <w:highlight w:val="none"/>
                      <w:u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pct"/>
                  <w:vMerge w:val="restart"/>
                  <w:tcBorders>
                    <w:tl2br w:val="nil"/>
                    <w:tr2bl w:val="nil"/>
                  </w:tcBorders>
                  <w:vAlign w:val="center"/>
                </w:tcPr>
                <w:p>
                  <w:pPr>
                    <w:adjustRightInd/>
                    <w:snapToGrid/>
                    <w:spacing w:line="240" w:lineRule="auto"/>
                    <w:ind w:firstLine="0" w:firstLineChars="0"/>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废气</w:t>
                  </w:r>
                </w:p>
              </w:tc>
              <w:tc>
                <w:tcPr>
                  <w:tcW w:w="1262" w:type="pct"/>
                  <w:tcBorders>
                    <w:tl2br w:val="nil"/>
                    <w:tr2bl w:val="nil"/>
                  </w:tcBorders>
                  <w:vAlign w:val="center"/>
                </w:tcPr>
                <w:p>
                  <w:pPr>
                    <w:adjustRightInd/>
                    <w:snapToGrid/>
                    <w:spacing w:line="240" w:lineRule="auto"/>
                    <w:ind w:firstLine="0" w:firstLineChars="0"/>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颗粒物</w:t>
                  </w:r>
                </w:p>
              </w:tc>
              <w:tc>
                <w:tcPr>
                  <w:tcW w:w="15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0.237</w:t>
                  </w:r>
                </w:p>
              </w:tc>
              <w:tc>
                <w:tcPr>
                  <w:tcW w:w="151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5.0824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pct"/>
                  <w:vMerge w:val="continue"/>
                  <w:tcBorders>
                    <w:tl2br w:val="nil"/>
                    <w:tr2bl w:val="nil"/>
                  </w:tcBorders>
                  <w:vAlign w:val="center"/>
                </w:tcPr>
                <w:p>
                  <w:pPr>
                    <w:adjustRightInd/>
                    <w:snapToGrid/>
                    <w:spacing w:line="240" w:lineRule="auto"/>
                    <w:ind w:firstLine="0" w:firstLineChars="0"/>
                    <w:jc w:val="center"/>
                    <w:rPr>
                      <w:rFonts w:hint="default" w:ascii="Times New Roman" w:hAnsi="Times New Roman" w:cs="Times New Roman"/>
                      <w:b w:val="0"/>
                      <w:bCs w:val="0"/>
                      <w:color w:val="auto"/>
                      <w:sz w:val="21"/>
                      <w:szCs w:val="21"/>
                      <w:highlight w:val="none"/>
                      <w:u w:val="none"/>
                    </w:rPr>
                  </w:pPr>
                </w:p>
              </w:tc>
              <w:tc>
                <w:tcPr>
                  <w:tcW w:w="1262" w:type="pct"/>
                  <w:tcBorders>
                    <w:tl2br w:val="nil"/>
                    <w:tr2bl w:val="nil"/>
                  </w:tcBorders>
                  <w:vAlign w:val="center"/>
                </w:tcPr>
                <w:p>
                  <w:pPr>
                    <w:adjustRightInd/>
                    <w:snapToGrid/>
                    <w:spacing w:line="240" w:lineRule="auto"/>
                    <w:ind w:firstLine="0" w:firstLineChars="0"/>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SO</w:t>
                  </w:r>
                  <w:r>
                    <w:rPr>
                      <w:rFonts w:hint="default" w:ascii="Times New Roman" w:hAnsi="Times New Roman" w:cs="Times New Roman"/>
                      <w:b w:val="0"/>
                      <w:bCs w:val="0"/>
                      <w:color w:val="auto"/>
                      <w:sz w:val="21"/>
                      <w:szCs w:val="21"/>
                      <w:highlight w:val="none"/>
                      <w:u w:val="none"/>
                      <w:vertAlign w:val="subscript"/>
                    </w:rPr>
                    <w:t>2</w:t>
                  </w:r>
                </w:p>
              </w:tc>
              <w:tc>
                <w:tcPr>
                  <w:tcW w:w="15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0.2</w:t>
                  </w:r>
                </w:p>
              </w:tc>
              <w:tc>
                <w:tcPr>
                  <w:tcW w:w="151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pct"/>
                  <w:vMerge w:val="continue"/>
                  <w:tcBorders>
                    <w:tl2br w:val="nil"/>
                    <w:tr2bl w:val="nil"/>
                  </w:tcBorders>
                  <w:vAlign w:val="center"/>
                </w:tcPr>
                <w:p>
                  <w:pPr>
                    <w:adjustRightInd/>
                    <w:snapToGrid/>
                    <w:spacing w:line="240" w:lineRule="auto"/>
                    <w:ind w:firstLine="0" w:firstLineChars="0"/>
                    <w:jc w:val="center"/>
                    <w:rPr>
                      <w:rFonts w:hint="default" w:ascii="Times New Roman" w:hAnsi="Times New Roman" w:cs="Times New Roman"/>
                      <w:b w:val="0"/>
                      <w:bCs w:val="0"/>
                      <w:color w:val="auto"/>
                      <w:sz w:val="21"/>
                      <w:szCs w:val="21"/>
                      <w:highlight w:val="none"/>
                      <w:u w:val="none"/>
                    </w:rPr>
                  </w:pPr>
                </w:p>
              </w:tc>
              <w:tc>
                <w:tcPr>
                  <w:tcW w:w="1262" w:type="pct"/>
                  <w:tcBorders>
                    <w:tl2br w:val="nil"/>
                    <w:tr2bl w:val="nil"/>
                  </w:tcBorders>
                  <w:vAlign w:val="center"/>
                </w:tcPr>
                <w:p>
                  <w:pPr>
                    <w:adjustRightInd/>
                    <w:snapToGrid/>
                    <w:spacing w:line="240" w:lineRule="auto"/>
                    <w:ind w:firstLine="0" w:firstLineChars="0"/>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NOx</w:t>
                  </w:r>
                </w:p>
              </w:tc>
              <w:tc>
                <w:tcPr>
                  <w:tcW w:w="1513"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0.626</w:t>
                  </w:r>
                </w:p>
              </w:tc>
              <w:tc>
                <w:tcPr>
                  <w:tcW w:w="151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6.551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pct"/>
                  <w:vMerge w:val="continue"/>
                  <w:tcBorders>
                    <w:tl2br w:val="nil"/>
                    <w:tr2bl w:val="nil"/>
                  </w:tcBorders>
                  <w:vAlign w:val="center"/>
                </w:tcPr>
                <w:p>
                  <w:pPr>
                    <w:adjustRightInd/>
                    <w:snapToGrid/>
                    <w:spacing w:line="240" w:lineRule="auto"/>
                    <w:ind w:firstLine="0" w:firstLineChars="0"/>
                    <w:jc w:val="center"/>
                    <w:rPr>
                      <w:rFonts w:hint="default" w:ascii="Times New Roman" w:hAnsi="Times New Roman" w:cs="Times New Roman"/>
                      <w:b w:val="0"/>
                      <w:bCs w:val="0"/>
                      <w:color w:val="auto"/>
                      <w:sz w:val="21"/>
                      <w:szCs w:val="21"/>
                      <w:highlight w:val="none"/>
                      <w:u w:val="none"/>
                    </w:rPr>
                  </w:pPr>
                </w:p>
              </w:tc>
              <w:tc>
                <w:tcPr>
                  <w:tcW w:w="1262" w:type="pct"/>
                  <w:tcBorders>
                    <w:tl2br w:val="nil"/>
                    <w:tr2bl w:val="nil"/>
                  </w:tcBorders>
                  <w:vAlign w:val="center"/>
                </w:tcPr>
                <w:p>
                  <w:pPr>
                    <w:adjustRightInd/>
                    <w:snapToGrid/>
                    <w:spacing w:line="240" w:lineRule="auto"/>
                    <w:ind w:firstLine="0" w:firstLineChars="0"/>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非甲烷总烃</w:t>
                  </w:r>
                </w:p>
              </w:tc>
              <w:tc>
                <w:tcPr>
                  <w:tcW w:w="151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4.194</w:t>
                  </w:r>
                </w:p>
              </w:tc>
              <w:tc>
                <w:tcPr>
                  <w:tcW w:w="151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21.511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10" w:type="pct"/>
                  <w:vMerge w:val="restart"/>
                  <w:tcBorders>
                    <w:tl2br w:val="nil"/>
                    <w:tr2bl w:val="nil"/>
                  </w:tcBorders>
                  <w:vAlign w:val="center"/>
                </w:tcPr>
                <w:p>
                  <w:pPr>
                    <w:adjustRightInd/>
                    <w:snapToGrid/>
                    <w:spacing w:line="240" w:lineRule="auto"/>
                    <w:ind w:firstLine="0" w:firstLineChars="0"/>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废水</w:t>
                  </w:r>
                </w:p>
              </w:tc>
              <w:tc>
                <w:tcPr>
                  <w:tcW w:w="1262" w:type="pct"/>
                  <w:tcBorders>
                    <w:tl2br w:val="nil"/>
                    <w:tr2bl w:val="nil"/>
                  </w:tcBorders>
                  <w:vAlign w:val="center"/>
                </w:tcPr>
                <w:p>
                  <w:pPr>
                    <w:adjustRightInd/>
                    <w:snapToGrid/>
                    <w:spacing w:line="240" w:lineRule="auto"/>
                    <w:ind w:firstLine="0" w:firstLineChars="0"/>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COD</w:t>
                  </w:r>
                </w:p>
              </w:tc>
              <w:tc>
                <w:tcPr>
                  <w:tcW w:w="151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8.74</w:t>
                  </w:r>
                </w:p>
              </w:tc>
              <w:tc>
                <w:tcPr>
                  <w:tcW w:w="151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9.9683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0" w:type="pct"/>
                  <w:vMerge w:val="continue"/>
                  <w:tcBorders>
                    <w:tl2br w:val="nil"/>
                    <w:tr2bl w:val="nil"/>
                  </w:tcBorders>
                  <w:vAlign w:val="center"/>
                </w:tcPr>
                <w:p>
                  <w:pPr>
                    <w:adjustRightInd/>
                    <w:snapToGrid/>
                    <w:spacing w:line="240" w:lineRule="auto"/>
                    <w:ind w:firstLine="0" w:firstLineChars="0"/>
                    <w:jc w:val="center"/>
                    <w:rPr>
                      <w:rFonts w:hint="default" w:ascii="Times New Roman" w:hAnsi="Times New Roman" w:cs="Times New Roman"/>
                      <w:b w:val="0"/>
                      <w:bCs w:val="0"/>
                      <w:color w:val="auto"/>
                      <w:sz w:val="21"/>
                      <w:szCs w:val="21"/>
                      <w:highlight w:val="none"/>
                      <w:u w:val="none"/>
                    </w:rPr>
                  </w:pPr>
                </w:p>
              </w:tc>
              <w:tc>
                <w:tcPr>
                  <w:tcW w:w="1262" w:type="pct"/>
                  <w:tcBorders>
                    <w:tl2br w:val="nil"/>
                    <w:tr2bl w:val="nil"/>
                  </w:tcBorders>
                  <w:vAlign w:val="center"/>
                </w:tcPr>
                <w:p>
                  <w:pPr>
                    <w:adjustRightInd/>
                    <w:snapToGrid/>
                    <w:spacing w:line="240" w:lineRule="auto"/>
                    <w:ind w:firstLine="0" w:firstLineChars="0"/>
                    <w:jc w:val="center"/>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氨氮</w:t>
                  </w:r>
                </w:p>
              </w:tc>
              <w:tc>
                <w:tcPr>
                  <w:tcW w:w="1513"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0.874</w:t>
                  </w:r>
                </w:p>
              </w:tc>
              <w:tc>
                <w:tcPr>
                  <w:tcW w:w="1514"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0.9968</w:t>
                  </w:r>
                </w:p>
              </w:tc>
            </w:tr>
          </w:tbl>
          <w:p>
            <w:pPr>
              <w:pStyle w:val="48"/>
              <w:pageBreakBefore w:val="0"/>
              <w:widowControl w:val="0"/>
              <w:kinsoku/>
              <w:wordWrap/>
              <w:overflowPunct/>
              <w:topLinePunct w:val="0"/>
              <w:autoSpaceDE/>
              <w:autoSpaceDN/>
              <w:bidi w:val="0"/>
              <w:spacing w:line="360" w:lineRule="auto"/>
              <w:ind w:left="0" w:firstLine="482"/>
              <w:textAlignment w:val="auto"/>
              <w:rPr>
                <w:rFonts w:hint="default" w:ascii="Times New Roman" w:hAnsi="Times New Roman" w:cs="Times New Roman"/>
                <w:b/>
                <w:bCs/>
                <w:color w:val="auto"/>
                <w:sz w:val="24"/>
                <w:szCs w:val="24"/>
                <w:highlight w:val="none"/>
                <w:u w:val="none"/>
              </w:rPr>
            </w:pPr>
            <w:r>
              <w:rPr>
                <w:rFonts w:hint="default" w:ascii="Times New Roman" w:hAnsi="Times New Roman" w:cs="Times New Roman"/>
                <w:b/>
                <w:bCs/>
                <w:color w:val="auto"/>
                <w:sz w:val="24"/>
                <w:szCs w:val="24"/>
                <w:highlight w:val="none"/>
                <w:u w:val="none"/>
                <w:lang w:val="en-US" w:eastAsia="zh-CN"/>
              </w:rPr>
              <w:t>4</w:t>
            </w:r>
            <w:r>
              <w:rPr>
                <w:rFonts w:hint="default" w:ascii="Times New Roman" w:hAnsi="Times New Roman" w:cs="Times New Roman"/>
                <w:b/>
                <w:bCs/>
                <w:color w:val="auto"/>
                <w:sz w:val="24"/>
                <w:szCs w:val="24"/>
                <w:highlight w:val="none"/>
                <w:u w:val="none"/>
              </w:rPr>
              <w:t>、现有工程存在环保问题及整改措施</w:t>
            </w:r>
          </w:p>
          <w:p>
            <w:pPr>
              <w:pStyle w:val="48"/>
              <w:pageBreakBefore w:val="0"/>
              <w:widowControl w:val="0"/>
              <w:kinsoku/>
              <w:wordWrap/>
              <w:overflowPunct/>
              <w:topLinePunct w:val="0"/>
              <w:autoSpaceDE/>
              <w:autoSpaceDN/>
              <w:bidi w:val="0"/>
              <w:spacing w:line="360" w:lineRule="auto"/>
              <w:ind w:left="0" w:firstLine="480"/>
              <w:textAlignment w:val="auto"/>
              <w:rPr>
                <w:rFonts w:hint="default" w:ascii="Times New Roman" w:hAnsi="Times New Roman" w:eastAsia="宋体" w:cs="Times New Roman"/>
                <w:b w:val="0"/>
                <w:bCs w:val="0"/>
                <w:color w:val="auto"/>
                <w:kern w:val="2"/>
                <w:sz w:val="24"/>
                <w:szCs w:val="24"/>
                <w:highlight w:val="none"/>
                <w:u w:val="none"/>
                <w:lang w:eastAsia="zh-CN"/>
              </w:rPr>
            </w:pPr>
            <w:r>
              <w:rPr>
                <w:rFonts w:hint="default" w:ascii="Times New Roman" w:hAnsi="Times New Roman" w:cs="Times New Roman"/>
                <w:b w:val="0"/>
                <w:bCs w:val="0"/>
                <w:color w:val="auto"/>
                <w:sz w:val="24"/>
                <w:szCs w:val="24"/>
                <w:highlight w:val="none"/>
                <w:u w:val="none"/>
              </w:rPr>
              <w:t>经现场调查并参照国家现有标准要求，</w:t>
            </w:r>
            <w:r>
              <w:rPr>
                <w:rFonts w:hint="default" w:ascii="Times New Roman" w:hAnsi="Times New Roman" w:eastAsia="宋体" w:cs="Times New Roman"/>
                <w:b w:val="0"/>
                <w:bCs w:val="0"/>
                <w:color w:val="auto"/>
                <w:kern w:val="2"/>
                <w:sz w:val="24"/>
                <w:szCs w:val="24"/>
                <w:highlight w:val="none"/>
                <w:u w:val="none"/>
                <w:lang w:eastAsia="zh-CN"/>
              </w:rPr>
              <w:t>现有项目营运期存在的环保问题及整改措施见下表。</w:t>
            </w:r>
          </w:p>
          <w:p>
            <w:pPr>
              <w:pStyle w:val="2"/>
              <w:pageBreakBefore w:val="0"/>
              <w:widowControl w:val="0"/>
              <w:kinsoku/>
              <w:wordWrap/>
              <w:overflowPunct/>
              <w:topLinePunct w:val="0"/>
              <w:autoSpaceDE/>
              <w:autoSpaceDN/>
              <w:bidi w:val="0"/>
              <w:spacing w:line="360" w:lineRule="auto"/>
              <w:ind w:left="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现有项目存在的环保问题及整改要求</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875"/>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eastAsia="宋体" w:cs="Times New Roman"/>
                      <w:b/>
                      <w:bCs/>
                      <w:color w:val="auto"/>
                      <w:kern w:val="2"/>
                      <w:sz w:val="21"/>
                      <w:szCs w:val="21"/>
                      <w:highlight w:val="none"/>
                      <w:u w:val="single"/>
                      <w:vertAlign w:val="baseline"/>
                      <w:lang w:val="en-US" w:eastAsia="zh-CN"/>
                    </w:rPr>
                    <w:t>序号</w:t>
                  </w:r>
                </w:p>
              </w:tc>
              <w:tc>
                <w:tcPr>
                  <w:tcW w:w="1818"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eastAsia="宋体" w:cs="Times New Roman"/>
                      <w:b/>
                      <w:bCs/>
                      <w:color w:val="auto"/>
                      <w:kern w:val="2"/>
                      <w:sz w:val="21"/>
                      <w:szCs w:val="21"/>
                      <w:highlight w:val="none"/>
                      <w:u w:val="single"/>
                      <w:vertAlign w:val="baseline"/>
                      <w:lang w:val="en-US" w:eastAsia="zh-CN"/>
                    </w:rPr>
                    <w:t>现有工程存在的主要环保问题</w:t>
                  </w:r>
                </w:p>
              </w:tc>
              <w:tc>
                <w:tcPr>
                  <w:tcW w:w="2705"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eastAsia="宋体" w:cs="Times New Roman"/>
                      <w:b/>
                      <w:bCs/>
                      <w:color w:val="auto"/>
                      <w:kern w:val="2"/>
                      <w:sz w:val="21"/>
                      <w:szCs w:val="21"/>
                      <w:highlight w:val="none"/>
                      <w:u w:val="single"/>
                      <w:vertAlign w:val="baseline"/>
                      <w:lang w:val="en-US" w:eastAsia="zh-CN"/>
                    </w:rPr>
                    <w:t>整改建议和要求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kern w:val="2"/>
                      <w:sz w:val="21"/>
                      <w:szCs w:val="21"/>
                      <w:highlight w:val="none"/>
                      <w:u w:val="single"/>
                      <w:vertAlign w:val="baseline"/>
                      <w:lang w:val="en-US" w:eastAsia="zh-CN"/>
                    </w:rPr>
                  </w:pPr>
                  <w:r>
                    <w:rPr>
                      <w:rFonts w:hint="eastAsia" w:ascii="Times New Roman" w:cs="Times New Roman"/>
                      <w:b/>
                      <w:bCs/>
                      <w:color w:val="auto"/>
                      <w:kern w:val="2"/>
                      <w:sz w:val="21"/>
                      <w:szCs w:val="21"/>
                      <w:highlight w:val="none"/>
                      <w:u w:val="single"/>
                      <w:vertAlign w:val="baseline"/>
                      <w:lang w:val="en-US" w:eastAsia="zh-CN"/>
                    </w:rPr>
                    <w:t>1</w:t>
                  </w:r>
                </w:p>
              </w:tc>
              <w:tc>
                <w:tcPr>
                  <w:tcW w:w="1818"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cs="Times New Roman"/>
                      <w:b/>
                      <w:bCs/>
                      <w:color w:val="auto"/>
                      <w:kern w:val="2"/>
                      <w:sz w:val="21"/>
                      <w:szCs w:val="21"/>
                      <w:highlight w:val="none"/>
                      <w:u w:val="single"/>
                      <w:vertAlign w:val="baseline"/>
                      <w:lang w:val="en-US" w:eastAsia="zh-CN"/>
                    </w:rPr>
                    <w:t>未设置环保标识</w:t>
                  </w:r>
                </w:p>
              </w:tc>
              <w:tc>
                <w:tcPr>
                  <w:tcW w:w="2705"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cs="Times New Roman"/>
                      <w:b/>
                      <w:bCs/>
                      <w:color w:val="auto"/>
                      <w:kern w:val="2"/>
                      <w:sz w:val="21"/>
                      <w:szCs w:val="21"/>
                      <w:highlight w:val="none"/>
                      <w:u w:val="single"/>
                      <w:vertAlign w:val="baseline"/>
                      <w:lang w:val="en-US" w:eastAsia="zh-CN"/>
                    </w:rPr>
                    <w:t>张贴各环保标识牌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kern w:val="2"/>
                      <w:sz w:val="21"/>
                      <w:szCs w:val="21"/>
                      <w:highlight w:val="none"/>
                      <w:u w:val="single"/>
                      <w:vertAlign w:val="baseline"/>
                      <w:lang w:val="en-US" w:eastAsia="zh-CN"/>
                    </w:rPr>
                  </w:pPr>
                  <w:r>
                    <w:rPr>
                      <w:rFonts w:hint="eastAsia" w:ascii="Times New Roman" w:cs="Times New Roman"/>
                      <w:b/>
                      <w:bCs/>
                      <w:color w:val="auto"/>
                      <w:kern w:val="2"/>
                      <w:sz w:val="21"/>
                      <w:szCs w:val="21"/>
                      <w:highlight w:val="none"/>
                      <w:u w:val="single"/>
                      <w:vertAlign w:val="baseline"/>
                      <w:lang w:val="en-US" w:eastAsia="zh-CN"/>
                    </w:rPr>
                    <w:t>2</w:t>
                  </w:r>
                </w:p>
              </w:tc>
              <w:tc>
                <w:tcPr>
                  <w:tcW w:w="1818"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kern w:val="2"/>
                      <w:sz w:val="21"/>
                      <w:szCs w:val="21"/>
                      <w:highlight w:val="none"/>
                      <w:u w:val="single"/>
                      <w:vertAlign w:val="baseline"/>
                      <w:lang w:val="en-US" w:eastAsia="zh-CN"/>
                    </w:rPr>
                  </w:pPr>
                  <w:r>
                    <w:rPr>
                      <w:rFonts w:hint="default" w:ascii="Times New Roman" w:hAnsi="Times New Roman" w:cs="Times New Roman"/>
                      <w:b/>
                      <w:bCs/>
                      <w:color w:val="auto"/>
                      <w:kern w:val="2"/>
                      <w:sz w:val="21"/>
                      <w:szCs w:val="21"/>
                      <w:highlight w:val="none"/>
                      <w:u w:val="single"/>
                      <w:vertAlign w:val="baseline"/>
                      <w:lang w:val="en-US" w:eastAsia="zh-CN"/>
                    </w:rPr>
                    <w:t>环保台账未不完善</w:t>
                  </w:r>
                </w:p>
              </w:tc>
              <w:tc>
                <w:tcPr>
                  <w:tcW w:w="2705"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kern w:val="2"/>
                      <w:sz w:val="21"/>
                      <w:szCs w:val="21"/>
                      <w:highlight w:val="none"/>
                      <w:u w:val="single"/>
                      <w:vertAlign w:val="baseline"/>
                      <w:lang w:val="en-US" w:eastAsia="zh-CN"/>
                    </w:rPr>
                  </w:pPr>
                  <w:r>
                    <w:rPr>
                      <w:rFonts w:hint="default" w:ascii="Times New Roman" w:hAnsi="Times New Roman" w:eastAsia="宋体" w:cs="Times New Roman"/>
                      <w:b/>
                      <w:bCs/>
                      <w:color w:val="auto"/>
                      <w:sz w:val="21"/>
                      <w:szCs w:val="21"/>
                      <w:u w:val="single"/>
                      <w:lang w:val="en-US" w:eastAsia="zh-CN"/>
                    </w:rPr>
                    <w:t>按有色金属压延行业绩效分级A级要求做好台账记录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cs="Times New Roman"/>
                      <w:b/>
                      <w:bCs/>
                      <w:color w:val="auto"/>
                      <w:kern w:val="2"/>
                      <w:sz w:val="21"/>
                      <w:szCs w:val="21"/>
                      <w:highlight w:val="none"/>
                      <w:u w:val="single"/>
                      <w:vertAlign w:val="baseline"/>
                      <w:lang w:val="en-US" w:eastAsia="zh-CN"/>
                    </w:rPr>
                  </w:pPr>
                  <w:r>
                    <w:rPr>
                      <w:rFonts w:hint="eastAsia" w:ascii="Times New Roman" w:cs="Times New Roman"/>
                      <w:b/>
                      <w:bCs/>
                      <w:color w:val="auto"/>
                      <w:kern w:val="2"/>
                      <w:sz w:val="21"/>
                      <w:szCs w:val="21"/>
                      <w:highlight w:val="none"/>
                      <w:u w:val="single"/>
                      <w:vertAlign w:val="baseline"/>
                      <w:lang w:val="en-US" w:eastAsia="zh-CN"/>
                    </w:rPr>
                    <w:t>3</w:t>
                  </w:r>
                </w:p>
              </w:tc>
              <w:tc>
                <w:tcPr>
                  <w:tcW w:w="18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kern w:val="2"/>
                      <w:sz w:val="21"/>
                      <w:szCs w:val="21"/>
                      <w:highlight w:val="none"/>
                      <w:u w:val="single"/>
                      <w:vertAlign w:val="baseline"/>
                      <w:lang w:val="en-US" w:eastAsia="zh-CN"/>
                    </w:rPr>
                  </w:pPr>
                  <w:r>
                    <w:rPr>
                      <w:rFonts w:hint="eastAsia"/>
                      <w:b/>
                      <w:bCs/>
                      <w:color w:val="auto"/>
                      <w:sz w:val="21"/>
                      <w:szCs w:val="21"/>
                      <w:u w:val="single"/>
                      <w:vertAlign w:val="baseline"/>
                      <w:lang w:val="en-US" w:eastAsia="zh-CN"/>
                    </w:rPr>
                    <w:t>在建工程部分裸露地面未进行覆盖</w:t>
                  </w:r>
                </w:p>
              </w:tc>
              <w:tc>
                <w:tcPr>
                  <w:tcW w:w="270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1"/>
                      <w:u w:val="single"/>
                      <w:lang w:val="en-US" w:eastAsia="zh-CN"/>
                    </w:rPr>
                  </w:pPr>
                  <w:r>
                    <w:rPr>
                      <w:rFonts w:hint="eastAsia"/>
                      <w:b/>
                      <w:bCs/>
                      <w:color w:val="auto"/>
                      <w:sz w:val="21"/>
                      <w:szCs w:val="21"/>
                      <w:u w:val="single"/>
                      <w:vertAlign w:val="baseline"/>
                      <w:lang w:val="en-US" w:eastAsia="zh-CN"/>
                    </w:rPr>
                    <w:t>对暂时不开工建设位置裸露地面进行覆盖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pct"/>
                  <w:vAlign w:val="center"/>
                </w:tcPr>
                <w:p>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cs="Times New Roman"/>
                      <w:b/>
                      <w:bCs/>
                      <w:color w:val="auto"/>
                      <w:kern w:val="2"/>
                      <w:sz w:val="21"/>
                      <w:szCs w:val="21"/>
                      <w:highlight w:val="none"/>
                      <w:u w:val="single"/>
                      <w:vertAlign w:val="baseline"/>
                      <w:lang w:val="en-US" w:eastAsia="zh-CN"/>
                    </w:rPr>
                  </w:pPr>
                  <w:r>
                    <w:rPr>
                      <w:rFonts w:hint="eastAsia" w:ascii="Times New Roman" w:cs="Times New Roman"/>
                      <w:b/>
                      <w:bCs/>
                      <w:color w:val="auto"/>
                      <w:kern w:val="2"/>
                      <w:sz w:val="21"/>
                      <w:szCs w:val="21"/>
                      <w:highlight w:val="none"/>
                      <w:u w:val="single"/>
                      <w:vertAlign w:val="baseline"/>
                      <w:lang w:val="en-US" w:eastAsia="zh-CN"/>
                    </w:rPr>
                    <w:t>4</w:t>
                  </w:r>
                </w:p>
              </w:tc>
              <w:tc>
                <w:tcPr>
                  <w:tcW w:w="1818"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u w:val="single"/>
                      <w:vertAlign w:val="baseline"/>
                      <w:lang w:val="en-US" w:eastAsia="zh-CN"/>
                    </w:rPr>
                  </w:pPr>
                  <w:r>
                    <w:rPr>
                      <w:rFonts w:hint="eastAsia"/>
                      <w:b/>
                      <w:bCs/>
                      <w:color w:val="auto"/>
                      <w:sz w:val="21"/>
                      <w:szCs w:val="21"/>
                      <w:u w:val="single"/>
                      <w:vertAlign w:val="baseline"/>
                      <w:lang w:val="en-US" w:eastAsia="zh-CN"/>
                    </w:rPr>
                    <w:t>破乳车间地面少量油渍</w:t>
                  </w:r>
                </w:p>
              </w:tc>
              <w:tc>
                <w:tcPr>
                  <w:tcW w:w="270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b/>
                      <w:bCs/>
                      <w:color w:val="auto"/>
                      <w:sz w:val="21"/>
                      <w:szCs w:val="21"/>
                      <w:u w:val="single"/>
                      <w:vertAlign w:val="baseline"/>
                      <w:lang w:val="en-US" w:eastAsia="zh-CN"/>
                    </w:rPr>
                  </w:pPr>
                  <w:r>
                    <w:rPr>
                      <w:rFonts w:hint="eastAsia"/>
                      <w:b/>
                      <w:bCs/>
                      <w:color w:val="auto"/>
                      <w:sz w:val="21"/>
                      <w:szCs w:val="21"/>
                      <w:u w:val="single"/>
                      <w:vertAlign w:val="baseline"/>
                      <w:lang w:val="en-US" w:eastAsia="zh-CN"/>
                    </w:rPr>
                    <w:t>及时清理地面</w:t>
                  </w:r>
                </w:p>
              </w:tc>
            </w:tr>
          </w:tbl>
          <w:p>
            <w:pPr>
              <w:pStyle w:val="18"/>
              <w:ind w:left="0" w:leftChars="0" w:firstLine="0" w:firstLineChars="0"/>
              <w:rPr>
                <w:rFonts w:hint="default" w:ascii="Times New Roman" w:hAnsi="Times New Roman" w:cs="Times New Roman"/>
                <w:color w:val="auto"/>
                <w:sz w:val="24"/>
                <w:szCs w:val="24"/>
                <w:lang w:eastAsia="zh-CN"/>
              </w:rPr>
            </w:pPr>
          </w:p>
          <w:p>
            <w:pPr>
              <w:pStyle w:val="18"/>
              <w:ind w:left="0" w:leftChars="0" w:firstLine="0" w:firstLineChars="0"/>
              <w:rPr>
                <w:rFonts w:hint="default" w:ascii="Times New Roman" w:hAnsi="Times New Roman" w:cs="Times New Roman"/>
                <w:color w:val="auto"/>
                <w:sz w:val="24"/>
                <w:szCs w:val="24"/>
                <w:lang w:eastAsia="zh-CN"/>
              </w:rPr>
            </w:pPr>
          </w:p>
          <w:p>
            <w:pPr>
              <w:pStyle w:val="18"/>
              <w:ind w:left="0" w:leftChars="0" w:firstLine="0" w:firstLineChars="0"/>
              <w:rPr>
                <w:rFonts w:hint="eastAsia" w:ascii="Times New Roman" w:hAnsi="Times New Roman" w:cs="Times New Roman"/>
                <w:color w:val="auto"/>
                <w:sz w:val="24"/>
                <w:szCs w:val="24"/>
                <w:lang w:eastAsia="zh-CN"/>
              </w:rPr>
            </w:pPr>
          </w:p>
          <w:p>
            <w:pPr>
              <w:pStyle w:val="18"/>
              <w:ind w:left="0" w:leftChars="0" w:firstLine="0" w:firstLineChars="0"/>
              <w:rPr>
                <w:rFonts w:hint="eastAsia" w:ascii="Times New Roman" w:hAnsi="Times New Roman" w:cs="Times New Roman"/>
                <w:color w:val="auto"/>
                <w:sz w:val="24"/>
                <w:szCs w:val="24"/>
                <w:lang w:eastAsia="zh-CN"/>
              </w:rPr>
            </w:pPr>
          </w:p>
          <w:p>
            <w:pPr>
              <w:pStyle w:val="18"/>
              <w:ind w:left="0" w:leftChars="0" w:firstLine="0" w:firstLineChars="0"/>
              <w:rPr>
                <w:rFonts w:hint="eastAsia" w:ascii="Times New Roman" w:hAnsi="Times New Roman" w:cs="Times New Roman"/>
                <w:color w:val="auto"/>
                <w:sz w:val="24"/>
                <w:szCs w:val="24"/>
                <w:lang w:eastAsia="zh-CN"/>
              </w:rPr>
            </w:pPr>
          </w:p>
          <w:p>
            <w:pPr>
              <w:pStyle w:val="18"/>
              <w:ind w:left="0" w:leftChars="0" w:firstLine="0" w:firstLineChars="0"/>
              <w:rPr>
                <w:rFonts w:hint="eastAsia" w:ascii="Times New Roman" w:hAnsi="Times New Roman" w:cs="Times New Roman"/>
                <w:color w:val="auto"/>
                <w:sz w:val="24"/>
                <w:szCs w:val="24"/>
                <w:lang w:eastAsia="zh-CN"/>
              </w:rPr>
            </w:pPr>
          </w:p>
          <w:p>
            <w:pPr>
              <w:pStyle w:val="18"/>
              <w:ind w:left="0" w:leftChars="0" w:firstLine="0" w:firstLineChars="0"/>
              <w:rPr>
                <w:rFonts w:hint="eastAsia" w:ascii="Times New Roman" w:hAnsi="Times New Roman" w:cs="Times New Roman"/>
                <w:color w:val="auto"/>
                <w:sz w:val="24"/>
                <w:szCs w:val="24"/>
                <w:lang w:eastAsia="zh-CN"/>
              </w:rPr>
            </w:pPr>
          </w:p>
          <w:p>
            <w:pPr>
              <w:pStyle w:val="18"/>
              <w:ind w:left="0" w:leftChars="0" w:firstLine="0" w:firstLineChars="0"/>
              <w:rPr>
                <w:rFonts w:hint="eastAsia" w:ascii="Times New Roman" w:hAnsi="Times New Roman" w:cs="Times New Roman"/>
                <w:color w:val="auto"/>
                <w:sz w:val="24"/>
                <w:szCs w:val="24"/>
                <w:lang w:eastAsia="zh-CN"/>
              </w:rPr>
            </w:pPr>
          </w:p>
          <w:p>
            <w:pPr>
              <w:pStyle w:val="18"/>
              <w:ind w:left="0" w:leftChars="0" w:firstLine="0" w:firstLineChars="0"/>
              <w:rPr>
                <w:rFonts w:hint="eastAsia" w:ascii="Times New Roman" w:hAnsi="Times New Roman" w:cs="Times New Roman"/>
                <w:color w:val="auto"/>
                <w:sz w:val="24"/>
                <w:szCs w:val="24"/>
                <w:lang w:eastAsia="zh-CN"/>
              </w:rPr>
            </w:pPr>
          </w:p>
          <w:p>
            <w:pPr>
              <w:pStyle w:val="18"/>
              <w:ind w:left="0" w:leftChars="0" w:firstLine="0" w:firstLineChars="0"/>
              <w:rPr>
                <w:rFonts w:hint="eastAsia" w:ascii="Times New Roman" w:hAnsi="Times New Roman" w:cs="Times New Roman"/>
                <w:color w:val="auto"/>
                <w:sz w:val="24"/>
                <w:szCs w:val="24"/>
                <w:lang w:eastAsia="zh-CN"/>
              </w:rPr>
            </w:pPr>
          </w:p>
          <w:p>
            <w:pPr>
              <w:pStyle w:val="18"/>
              <w:ind w:left="0" w:leftChars="0" w:firstLine="0" w:firstLineChars="0"/>
              <w:rPr>
                <w:rFonts w:hint="eastAsia" w:ascii="Times New Roman" w:hAnsi="Times New Roman" w:cs="Times New Roman"/>
                <w:color w:val="auto"/>
                <w:sz w:val="24"/>
                <w:szCs w:val="24"/>
                <w:lang w:eastAsia="zh-CN"/>
              </w:rPr>
            </w:pPr>
          </w:p>
          <w:p>
            <w:pPr>
              <w:pStyle w:val="18"/>
              <w:ind w:left="0" w:leftChars="0" w:firstLine="0" w:firstLineChars="0"/>
              <w:rPr>
                <w:rFonts w:hint="eastAsia" w:ascii="Times New Roman" w:hAnsi="Times New Roman" w:cs="Times New Roman"/>
                <w:color w:val="auto"/>
                <w:sz w:val="24"/>
                <w:szCs w:val="24"/>
                <w:lang w:eastAsia="zh-CN"/>
              </w:rPr>
            </w:pPr>
          </w:p>
          <w:p>
            <w:pPr>
              <w:pStyle w:val="18"/>
              <w:ind w:left="0" w:leftChars="0" w:firstLine="0" w:firstLineChars="0"/>
              <w:rPr>
                <w:rFonts w:hint="eastAsia" w:ascii="Times New Roman" w:hAnsi="Times New Roman" w:cs="Times New Roman"/>
                <w:color w:val="auto"/>
                <w:sz w:val="24"/>
                <w:szCs w:val="24"/>
                <w:lang w:eastAsia="zh-CN"/>
              </w:rPr>
            </w:pPr>
          </w:p>
          <w:p>
            <w:pPr>
              <w:pStyle w:val="18"/>
              <w:ind w:left="0" w:leftChars="0" w:firstLine="0" w:firstLineChars="0"/>
              <w:rPr>
                <w:rFonts w:hint="eastAsia" w:ascii="Times New Roman" w:hAnsi="Times New Roman" w:cs="Times New Roman"/>
                <w:color w:val="auto"/>
                <w:sz w:val="24"/>
                <w:szCs w:val="24"/>
                <w:lang w:eastAsia="zh-CN"/>
              </w:rPr>
            </w:pPr>
          </w:p>
          <w:p>
            <w:pPr>
              <w:pStyle w:val="18"/>
              <w:ind w:left="0" w:leftChars="0" w:firstLine="0" w:firstLineChars="0"/>
              <w:rPr>
                <w:rFonts w:hint="eastAsia" w:ascii="Times New Roman" w:hAnsi="Times New Roman" w:cs="Times New Roman"/>
                <w:color w:val="auto"/>
                <w:sz w:val="24"/>
                <w:szCs w:val="24"/>
                <w:lang w:eastAsia="zh-CN"/>
              </w:rPr>
            </w:pPr>
          </w:p>
          <w:p>
            <w:pPr>
              <w:pStyle w:val="18"/>
              <w:ind w:left="0" w:leftChars="0" w:firstLine="0" w:firstLineChars="0"/>
              <w:rPr>
                <w:rFonts w:hint="eastAsia" w:ascii="Times New Roman" w:hAnsi="Times New Roman" w:cs="Times New Roman"/>
                <w:color w:val="auto"/>
                <w:sz w:val="24"/>
                <w:szCs w:val="24"/>
                <w:lang w:eastAsia="zh-CN"/>
              </w:rPr>
            </w:pPr>
          </w:p>
          <w:p>
            <w:pPr>
              <w:pStyle w:val="18"/>
              <w:ind w:left="0" w:leftChars="0" w:firstLine="0" w:firstLineChars="0"/>
              <w:rPr>
                <w:rFonts w:hint="default" w:ascii="Times New Roman" w:hAnsi="Times New Roman" w:eastAsia="宋体" w:cs="Times New Roman"/>
                <w:color w:val="auto"/>
                <w:sz w:val="24"/>
                <w:szCs w:val="24"/>
                <w:lang w:eastAsia="zh-CN"/>
              </w:rPr>
            </w:pPr>
          </w:p>
          <w:p>
            <w:pPr>
              <w:rPr>
                <w:rFonts w:hint="default" w:ascii="Times New Roman" w:hAnsi="Times New Roman" w:eastAsia="宋体" w:cs="Times New Roman"/>
                <w:color w:val="auto"/>
                <w:sz w:val="24"/>
                <w:szCs w:val="24"/>
                <w:lang w:eastAsia="zh-CN"/>
              </w:rPr>
            </w:pPr>
          </w:p>
          <w:p>
            <w:pPr>
              <w:rPr>
                <w:rFonts w:hint="default" w:ascii="Times New Roman" w:hAnsi="Times New Roman" w:eastAsia="宋体" w:cs="Times New Roman"/>
                <w:color w:val="auto"/>
                <w:sz w:val="24"/>
                <w:szCs w:val="24"/>
                <w:lang w:eastAsia="zh-CN"/>
              </w:rPr>
            </w:pPr>
          </w:p>
          <w:p>
            <w:pPr>
              <w:rPr>
                <w:rFonts w:hint="default" w:ascii="Times New Roman" w:hAnsi="Times New Roman" w:eastAsia="宋体" w:cs="Times New Roman"/>
                <w:color w:val="auto"/>
                <w:sz w:val="24"/>
                <w:szCs w:val="24"/>
                <w:lang w:eastAsia="zh-CN"/>
              </w:rPr>
            </w:pPr>
          </w:p>
          <w:p>
            <w:pPr>
              <w:rPr>
                <w:rFonts w:hint="eastAsia" w:ascii="Times New Roman" w:hAnsi="Times New Roman" w:cs="Times New Roman"/>
                <w:color w:val="auto"/>
                <w:sz w:val="24"/>
                <w:szCs w:val="24"/>
                <w:lang w:eastAsia="zh-CN"/>
              </w:rPr>
            </w:pPr>
          </w:p>
          <w:p>
            <w:pPr>
              <w:rPr>
                <w:rFonts w:hint="eastAsia" w:ascii="Times New Roman" w:hAnsi="Times New Roman" w:cs="Times New Roman"/>
                <w:color w:val="auto"/>
                <w:sz w:val="24"/>
                <w:szCs w:val="24"/>
                <w:lang w:eastAsia="zh-CN"/>
              </w:rPr>
            </w:pPr>
          </w:p>
          <w:p>
            <w:pPr>
              <w:rPr>
                <w:rFonts w:hint="eastAsia" w:ascii="Times New Roman" w:hAnsi="Times New Roman" w:cs="Times New Roman"/>
                <w:color w:val="auto"/>
                <w:sz w:val="24"/>
                <w:szCs w:val="24"/>
                <w:lang w:eastAsia="zh-CN"/>
              </w:rPr>
            </w:pPr>
          </w:p>
          <w:p>
            <w:pPr>
              <w:rPr>
                <w:rFonts w:hint="eastAsia" w:ascii="Times New Roman" w:hAnsi="Times New Roman" w:cs="Times New Roman"/>
                <w:color w:val="auto"/>
                <w:sz w:val="24"/>
                <w:szCs w:val="24"/>
                <w:lang w:eastAsia="zh-CN"/>
              </w:rPr>
            </w:pPr>
          </w:p>
          <w:p>
            <w:pPr>
              <w:rPr>
                <w:rFonts w:hint="default" w:ascii="Times New Roman" w:hAnsi="Times New Roman" w:eastAsia="宋体" w:cs="Times New Roman"/>
                <w:color w:val="auto"/>
                <w:sz w:val="24"/>
                <w:szCs w:val="24"/>
                <w:lang w:eastAsia="zh-CN"/>
              </w:rPr>
            </w:pPr>
          </w:p>
        </w:tc>
      </w:tr>
    </w:tbl>
    <w:p>
      <w:pPr>
        <w:jc w:val="center"/>
        <w:rPr>
          <w:rFonts w:hint="default" w:ascii="Times New Roman" w:hAnsi="Times New Roman" w:eastAsia="黑体" w:cs="Times New Roman"/>
          <w:color w:val="auto"/>
          <w:sz w:val="28"/>
          <w:szCs w:val="36"/>
          <w:lang w:val="en-US" w:eastAsia="zh-CN"/>
        </w:rPr>
      </w:pPr>
      <w:r>
        <w:rPr>
          <w:rFonts w:hint="default" w:ascii="Times New Roman" w:hAnsi="Times New Roman" w:eastAsia="黑体" w:cs="Times New Roman"/>
          <w:color w:val="auto"/>
          <w:sz w:val="28"/>
          <w:szCs w:val="36"/>
          <w:lang w:val="en-US" w:eastAsia="zh-CN"/>
        </w:rPr>
        <w:t>三、区域环境质量现状、环境保护目标及评价标准</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8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488" w:type="dxa"/>
            <w:noWrap w:val="0"/>
            <w:vAlign w:val="center"/>
          </w:tcPr>
          <w:p>
            <w:pPr>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区域环境质量现状</w:t>
            </w:r>
          </w:p>
        </w:tc>
        <w:tc>
          <w:tcPr>
            <w:tcW w:w="80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1、大气环境质量现状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环境质量达标区判定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lang w:bidi="ar"/>
              </w:rPr>
            </w:pPr>
            <w:r>
              <w:rPr>
                <w:rFonts w:hint="default" w:ascii="Times New Roman" w:hAnsi="Times New Roman" w:cs="Times New Roman"/>
                <w:sz w:val="24"/>
                <w:lang w:bidi="ar"/>
              </w:rPr>
              <w:t>根据环境空气质量功能区划分，项目所在区域应执行《环境空气质量标准》（GB3095-2012）二级标准</w:t>
            </w:r>
            <w:r>
              <w:rPr>
                <w:rFonts w:hint="eastAsia" w:ascii="Times New Roman" w:hAnsi="Times New Roman" w:cs="Times New Roman"/>
                <w:sz w:val="24"/>
                <w:lang w:val="en-US" w:eastAsia="zh-CN" w:bidi="ar"/>
              </w:rPr>
              <w:t>及修改单</w:t>
            </w:r>
            <w:r>
              <w:rPr>
                <w:rFonts w:hint="default" w:ascii="Times New Roman" w:hAnsi="Times New Roman" w:cs="Times New Roman"/>
                <w:kern w:val="0"/>
                <w:sz w:val="24"/>
                <w:lang w:bidi="ar"/>
              </w:rPr>
              <w:t>。本次评价引用在线监测数局平台</w:t>
            </w:r>
            <w:r>
              <w:rPr>
                <w:rFonts w:hint="eastAsia" w:ascii="Times New Roman" w:hAnsi="Times New Roman" w:cs="Times New Roman"/>
                <w:kern w:val="0"/>
                <w:sz w:val="24"/>
                <w:lang w:val="en-US" w:eastAsia="zh-CN" w:bidi="ar"/>
              </w:rPr>
              <w:t>永城市政府自动站2023</w:t>
            </w:r>
            <w:r>
              <w:rPr>
                <w:rFonts w:hint="default" w:ascii="Times New Roman" w:hAnsi="Times New Roman" w:cs="Times New Roman"/>
                <w:kern w:val="0"/>
                <w:sz w:val="24"/>
                <w:lang w:bidi="ar"/>
              </w:rPr>
              <w:t>年全年的在线监测数据，对项目所在区域环境空气质量达标情况进行判定，详见下表。</w:t>
            </w:r>
          </w:p>
          <w:p>
            <w:pPr>
              <w:pStyle w:val="2"/>
              <w:bidi w:val="0"/>
              <w:spacing w:line="240" w:lineRule="auto"/>
              <w:jc w:val="center"/>
              <w:rPr>
                <w:rFonts w:hint="default" w:ascii="Times New Roman" w:hAnsi="Times New Roman" w:eastAsia="黑体" w:cs="Times New Roman"/>
                <w:sz w:val="24"/>
              </w:rPr>
            </w:pPr>
            <w:r>
              <w:rPr>
                <w:rFonts w:hint="default" w:ascii="Times New Roman" w:hAnsi="Times New Roman" w:cs="Times New Roman"/>
                <w:color w:val="auto"/>
                <w:sz w:val="24"/>
                <w:szCs w:val="24"/>
                <w:lang w:val="en-US" w:eastAsia="zh-CN"/>
              </w:rPr>
              <w:t xml:space="preserve">  </w:t>
            </w:r>
            <w:r>
              <w:rPr>
                <w:rFonts w:hint="default" w:ascii="Times New Roman" w:hAnsi="Times New Roman" w:eastAsia="黑体" w:cs="Times New Roman"/>
                <w:sz w:val="24"/>
              </w:rPr>
              <w:t xml:space="preserve"> </w:t>
            </w:r>
            <w:r>
              <w:rPr>
                <w:rFonts w:hint="default" w:ascii="Times New Roman" w:hAnsi="Times New Roman" w:eastAsia="宋体" w:cs="Times New Roman"/>
                <w:color w:val="auto"/>
                <w:sz w:val="24"/>
                <w:szCs w:val="24"/>
                <w:lang w:val="en-US" w:eastAsia="zh-CN"/>
              </w:rPr>
              <w:t>永城市20</w:t>
            </w:r>
            <w:r>
              <w:rPr>
                <w:rFonts w:hint="eastAsia"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lang w:val="en-US" w:eastAsia="zh-CN"/>
              </w:rPr>
              <w:t>年区域空气质量现状评价表</w:t>
            </w:r>
          </w:p>
          <w:tbl>
            <w:tblPr>
              <w:tblStyle w:val="27"/>
              <w:tblW w:w="4998"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030"/>
              <w:gridCol w:w="1372"/>
              <w:gridCol w:w="1205"/>
              <w:gridCol w:w="1114"/>
              <w:gridCol w:w="103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72" w:type="pct"/>
                  <w:vMerge w:val="restart"/>
                  <w:noWrap w:val="0"/>
                  <w:vAlign w:val="center"/>
                </w:tcPr>
                <w:p>
                  <w:pPr>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污染物</w:t>
                  </w:r>
                </w:p>
              </w:tc>
              <w:tc>
                <w:tcPr>
                  <w:tcW w:w="1301" w:type="pct"/>
                  <w:vMerge w:val="restart"/>
                  <w:noWrap w:val="0"/>
                  <w:vAlign w:val="center"/>
                </w:tcPr>
                <w:p>
                  <w:pPr>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年评价指标</w:t>
                  </w:r>
                </w:p>
              </w:tc>
              <w:tc>
                <w:tcPr>
                  <w:tcW w:w="879" w:type="pct"/>
                  <w:vMerge w:val="restart"/>
                  <w:noWrap w:val="0"/>
                  <w:vAlign w:val="center"/>
                </w:tcPr>
                <w:p>
                  <w:pPr>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评价标准</w:t>
                  </w:r>
                </w:p>
                <w:p>
                  <w:pPr>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（μg/m</w:t>
                  </w:r>
                  <w:r>
                    <w:rPr>
                      <w:rFonts w:hint="default" w:ascii="Times New Roman" w:hAnsi="Times New Roman" w:cs="Times New Roman"/>
                      <w:b w:val="0"/>
                      <w:bCs w:val="0"/>
                      <w:szCs w:val="21"/>
                      <w:vertAlign w:val="superscript"/>
                    </w:rPr>
                    <w:t>3</w:t>
                  </w:r>
                  <w:r>
                    <w:rPr>
                      <w:rFonts w:hint="default" w:ascii="Times New Roman" w:hAnsi="Times New Roman" w:cs="Times New Roman"/>
                      <w:b w:val="0"/>
                      <w:bCs w:val="0"/>
                      <w:szCs w:val="21"/>
                    </w:rPr>
                    <w:t>）</w:t>
                  </w:r>
                </w:p>
              </w:tc>
              <w:tc>
                <w:tcPr>
                  <w:tcW w:w="772" w:type="pct"/>
                  <w:vMerge w:val="restart"/>
                  <w:noWrap w:val="0"/>
                  <w:vAlign w:val="center"/>
                </w:tcPr>
                <w:p>
                  <w:pPr>
                    <w:jc w:val="center"/>
                    <w:rPr>
                      <w:rFonts w:hint="default" w:ascii="Times New Roman" w:hAnsi="Times New Roman" w:cs="Times New Roman"/>
                      <w:b w:val="0"/>
                      <w:bCs w:val="0"/>
                      <w:spacing w:val="-20"/>
                      <w:szCs w:val="21"/>
                    </w:rPr>
                  </w:pPr>
                  <w:r>
                    <w:rPr>
                      <w:rFonts w:hint="default" w:ascii="Times New Roman" w:hAnsi="Times New Roman" w:cs="Times New Roman"/>
                      <w:b w:val="0"/>
                      <w:bCs w:val="0"/>
                      <w:spacing w:val="-20"/>
                      <w:szCs w:val="21"/>
                    </w:rPr>
                    <w:t>浓度值</w:t>
                  </w:r>
                </w:p>
                <w:p>
                  <w:pPr>
                    <w:jc w:val="center"/>
                    <w:rPr>
                      <w:rFonts w:hint="default" w:ascii="Times New Roman" w:hAnsi="Times New Roman" w:cs="Times New Roman"/>
                      <w:b w:val="0"/>
                      <w:bCs w:val="0"/>
                      <w:spacing w:val="-20"/>
                      <w:szCs w:val="21"/>
                    </w:rPr>
                  </w:pPr>
                  <w:r>
                    <w:rPr>
                      <w:rFonts w:hint="default" w:ascii="Times New Roman" w:hAnsi="Times New Roman" w:cs="Times New Roman"/>
                      <w:b w:val="0"/>
                      <w:bCs w:val="0"/>
                      <w:spacing w:val="-20"/>
                      <w:szCs w:val="21"/>
                    </w:rPr>
                    <w:t>（μg/m</w:t>
                  </w:r>
                  <w:r>
                    <w:rPr>
                      <w:rFonts w:hint="default" w:ascii="Times New Roman" w:hAnsi="Times New Roman" w:cs="Times New Roman"/>
                      <w:b w:val="0"/>
                      <w:bCs w:val="0"/>
                      <w:spacing w:val="-20"/>
                      <w:szCs w:val="21"/>
                      <w:vertAlign w:val="superscript"/>
                    </w:rPr>
                    <w:t>3</w:t>
                  </w:r>
                  <w:r>
                    <w:rPr>
                      <w:rFonts w:hint="default" w:ascii="Times New Roman" w:hAnsi="Times New Roman" w:cs="Times New Roman"/>
                      <w:b w:val="0"/>
                      <w:bCs w:val="0"/>
                      <w:spacing w:val="-20"/>
                      <w:szCs w:val="21"/>
                    </w:rPr>
                    <w:t>）</w:t>
                  </w:r>
                </w:p>
              </w:tc>
              <w:tc>
                <w:tcPr>
                  <w:tcW w:w="714" w:type="pct"/>
                  <w:vMerge w:val="restart"/>
                  <w:noWrap w:val="0"/>
                  <w:vAlign w:val="center"/>
                </w:tcPr>
                <w:p>
                  <w:pPr>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占标率</w:t>
                  </w:r>
                </w:p>
                <w:p>
                  <w:pPr>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w:t>
                  </w:r>
                </w:p>
              </w:tc>
              <w:tc>
                <w:tcPr>
                  <w:tcW w:w="660" w:type="pct"/>
                  <w:vMerge w:val="restart"/>
                  <w:noWrap w:val="0"/>
                  <w:vAlign w:val="center"/>
                </w:tcPr>
                <w:p>
                  <w:pPr>
                    <w:jc w:val="center"/>
                    <w:rPr>
                      <w:rFonts w:hint="default" w:ascii="Times New Roman" w:hAnsi="Times New Roman" w:cs="Times New Roman"/>
                      <w:b w:val="0"/>
                      <w:bCs w:val="0"/>
                      <w:szCs w:val="21"/>
                    </w:rPr>
                  </w:pPr>
                  <w:r>
                    <w:rPr>
                      <w:rFonts w:hint="default" w:ascii="Times New Roman" w:hAnsi="Times New Roman" w:cs="Times New Roman"/>
                      <w:b w:val="0"/>
                      <w:bCs w:val="0"/>
                      <w:szCs w:val="21"/>
                    </w:rPr>
                    <w:t>达标情况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2" w:type="pct"/>
                  <w:vMerge w:val="continue"/>
                  <w:noWrap w:val="0"/>
                  <w:vAlign w:val="center"/>
                </w:tcPr>
                <w:p>
                  <w:pPr>
                    <w:jc w:val="center"/>
                    <w:rPr>
                      <w:rFonts w:hint="default" w:ascii="Times New Roman" w:hAnsi="Times New Roman" w:cs="Times New Roman"/>
                      <w:szCs w:val="21"/>
                    </w:rPr>
                  </w:pPr>
                </w:p>
              </w:tc>
              <w:tc>
                <w:tcPr>
                  <w:tcW w:w="1301" w:type="pct"/>
                  <w:vMerge w:val="continue"/>
                  <w:noWrap w:val="0"/>
                  <w:vAlign w:val="center"/>
                </w:tcPr>
                <w:p>
                  <w:pPr>
                    <w:jc w:val="center"/>
                    <w:rPr>
                      <w:rFonts w:hint="default" w:ascii="Times New Roman" w:hAnsi="Times New Roman" w:cs="Times New Roman"/>
                      <w:szCs w:val="21"/>
                    </w:rPr>
                  </w:pPr>
                </w:p>
              </w:tc>
              <w:tc>
                <w:tcPr>
                  <w:tcW w:w="879" w:type="pct"/>
                  <w:vMerge w:val="continue"/>
                  <w:noWrap w:val="0"/>
                  <w:vAlign w:val="center"/>
                </w:tcPr>
                <w:p>
                  <w:pPr>
                    <w:jc w:val="center"/>
                    <w:rPr>
                      <w:rFonts w:hint="default" w:ascii="Times New Roman" w:hAnsi="Times New Roman" w:cs="Times New Roman"/>
                      <w:szCs w:val="21"/>
                    </w:rPr>
                  </w:pPr>
                </w:p>
              </w:tc>
              <w:tc>
                <w:tcPr>
                  <w:tcW w:w="772" w:type="pct"/>
                  <w:vMerge w:val="continue"/>
                  <w:noWrap w:val="0"/>
                  <w:vAlign w:val="center"/>
                </w:tcPr>
                <w:p>
                  <w:pPr>
                    <w:jc w:val="center"/>
                    <w:rPr>
                      <w:rFonts w:hint="default" w:ascii="Times New Roman" w:hAnsi="Times New Roman" w:cs="Times New Roman"/>
                      <w:szCs w:val="21"/>
                    </w:rPr>
                  </w:pPr>
                </w:p>
              </w:tc>
              <w:tc>
                <w:tcPr>
                  <w:tcW w:w="714" w:type="pct"/>
                  <w:vMerge w:val="continue"/>
                  <w:noWrap w:val="0"/>
                  <w:vAlign w:val="center"/>
                </w:tcPr>
                <w:p>
                  <w:pPr>
                    <w:jc w:val="center"/>
                    <w:rPr>
                      <w:rFonts w:hint="default" w:ascii="Times New Roman" w:hAnsi="Times New Roman" w:cs="Times New Roman"/>
                      <w:szCs w:val="21"/>
                    </w:rPr>
                  </w:pPr>
                </w:p>
              </w:tc>
              <w:tc>
                <w:tcPr>
                  <w:tcW w:w="660" w:type="pct"/>
                  <w:vMerge w:val="continue"/>
                  <w:noWrap w:val="0"/>
                  <w:vAlign w:val="center"/>
                </w:tcPr>
                <w:p>
                  <w:pPr>
                    <w:jc w:val="center"/>
                    <w:rPr>
                      <w:rFonts w:hint="default"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72" w:type="pct"/>
                  <w:noWrap w:val="0"/>
                  <w:vAlign w:val="center"/>
                </w:tcPr>
                <w:p>
                  <w:pPr>
                    <w:jc w:val="center"/>
                    <w:rPr>
                      <w:rFonts w:hint="default" w:ascii="Times New Roman" w:hAnsi="Times New Roman" w:cs="Times New Roman"/>
                      <w:szCs w:val="21"/>
                    </w:rPr>
                  </w:pPr>
                  <w:r>
                    <w:rPr>
                      <w:rFonts w:hint="default" w:ascii="Times New Roman" w:hAnsi="Times New Roman" w:cs="Times New Roman"/>
                      <w:kern w:val="0"/>
                      <w:szCs w:val="21"/>
                    </w:rPr>
                    <w:t>SO</w:t>
                  </w:r>
                  <w:r>
                    <w:rPr>
                      <w:rFonts w:hint="default" w:ascii="Times New Roman" w:hAnsi="Times New Roman" w:cs="Times New Roman"/>
                      <w:kern w:val="0"/>
                      <w:szCs w:val="21"/>
                      <w:vertAlign w:val="subscript"/>
                    </w:rPr>
                    <w:t>2</w:t>
                  </w:r>
                </w:p>
              </w:tc>
              <w:tc>
                <w:tcPr>
                  <w:tcW w:w="1301"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年平均质量浓度</w:t>
                  </w:r>
                </w:p>
              </w:tc>
              <w:tc>
                <w:tcPr>
                  <w:tcW w:w="879"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60</w:t>
                  </w:r>
                </w:p>
              </w:tc>
              <w:tc>
                <w:tcPr>
                  <w:tcW w:w="772"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9</w:t>
                  </w:r>
                </w:p>
              </w:tc>
              <w:tc>
                <w:tcPr>
                  <w:tcW w:w="714"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15</w:t>
                  </w:r>
                </w:p>
              </w:tc>
              <w:tc>
                <w:tcPr>
                  <w:tcW w:w="660"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2" w:type="pct"/>
                  <w:noWrap w:val="0"/>
                  <w:vAlign w:val="center"/>
                </w:tcPr>
                <w:p>
                  <w:pPr>
                    <w:jc w:val="center"/>
                    <w:rPr>
                      <w:rFonts w:hint="default" w:ascii="Times New Roman" w:hAnsi="Times New Roman" w:cs="Times New Roman"/>
                      <w:szCs w:val="21"/>
                    </w:rPr>
                  </w:pPr>
                  <w:r>
                    <w:rPr>
                      <w:rFonts w:hint="default" w:ascii="Times New Roman" w:hAnsi="Times New Roman" w:cs="Times New Roman"/>
                      <w:kern w:val="0"/>
                      <w:szCs w:val="21"/>
                    </w:rPr>
                    <w:t>NO</w:t>
                  </w:r>
                  <w:r>
                    <w:rPr>
                      <w:rFonts w:hint="default" w:ascii="Times New Roman" w:hAnsi="Times New Roman" w:cs="Times New Roman"/>
                      <w:kern w:val="0"/>
                      <w:szCs w:val="21"/>
                      <w:vertAlign w:val="subscript"/>
                    </w:rPr>
                    <w:t>2</w:t>
                  </w:r>
                </w:p>
              </w:tc>
              <w:tc>
                <w:tcPr>
                  <w:tcW w:w="1301"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年平均质量浓度</w:t>
                  </w:r>
                </w:p>
              </w:tc>
              <w:tc>
                <w:tcPr>
                  <w:tcW w:w="879"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40</w:t>
                  </w:r>
                </w:p>
              </w:tc>
              <w:tc>
                <w:tcPr>
                  <w:tcW w:w="772"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r>
                    <w:rPr>
                      <w:rFonts w:hint="default" w:ascii="Times New Roman" w:hAnsi="Times New Roman" w:cs="Times New Roman"/>
                      <w:szCs w:val="21"/>
                      <w:lang w:val="en-US" w:eastAsia="zh-CN"/>
                    </w:rPr>
                    <w:t>5</w:t>
                  </w:r>
                </w:p>
              </w:tc>
              <w:tc>
                <w:tcPr>
                  <w:tcW w:w="714"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63</w:t>
                  </w:r>
                </w:p>
              </w:tc>
              <w:tc>
                <w:tcPr>
                  <w:tcW w:w="660"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72" w:type="pct"/>
                  <w:noWrap w:val="0"/>
                  <w:vAlign w:val="center"/>
                </w:tcPr>
                <w:p>
                  <w:pPr>
                    <w:jc w:val="center"/>
                    <w:rPr>
                      <w:rFonts w:hint="default" w:ascii="Times New Roman" w:hAnsi="Times New Roman" w:cs="Times New Roman"/>
                      <w:szCs w:val="21"/>
                    </w:rPr>
                  </w:pPr>
                  <w:r>
                    <w:rPr>
                      <w:rFonts w:hint="default" w:ascii="Times New Roman" w:hAnsi="Times New Roman" w:cs="Times New Roman"/>
                      <w:kern w:val="0"/>
                      <w:szCs w:val="21"/>
                    </w:rPr>
                    <w:t>PM</w:t>
                  </w:r>
                  <w:r>
                    <w:rPr>
                      <w:rFonts w:hint="default" w:ascii="Times New Roman" w:hAnsi="Times New Roman" w:cs="Times New Roman"/>
                      <w:kern w:val="0"/>
                      <w:szCs w:val="21"/>
                      <w:vertAlign w:val="subscript"/>
                    </w:rPr>
                    <w:t>10</w:t>
                  </w:r>
                </w:p>
              </w:tc>
              <w:tc>
                <w:tcPr>
                  <w:tcW w:w="1301"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年平均质量浓度</w:t>
                  </w:r>
                </w:p>
              </w:tc>
              <w:tc>
                <w:tcPr>
                  <w:tcW w:w="879"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70</w:t>
                  </w:r>
                </w:p>
              </w:tc>
              <w:tc>
                <w:tcPr>
                  <w:tcW w:w="772"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lang w:val="en-US" w:eastAsia="zh-CN"/>
                    </w:rPr>
                    <w:t>105</w:t>
                  </w:r>
                </w:p>
              </w:tc>
              <w:tc>
                <w:tcPr>
                  <w:tcW w:w="714"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1</w:t>
                  </w:r>
                  <w:r>
                    <w:rPr>
                      <w:rFonts w:hint="eastAsia" w:ascii="Times New Roman" w:hAnsi="Times New Roman" w:cs="Times New Roman"/>
                      <w:szCs w:val="21"/>
                      <w:lang w:val="en-US" w:eastAsia="zh-CN"/>
                    </w:rPr>
                    <w:t>50</w:t>
                  </w:r>
                </w:p>
              </w:tc>
              <w:tc>
                <w:tcPr>
                  <w:tcW w:w="660"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超标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72" w:type="pct"/>
                  <w:noWrap w:val="0"/>
                  <w:vAlign w:val="center"/>
                </w:tcPr>
                <w:p>
                  <w:pPr>
                    <w:jc w:val="center"/>
                    <w:rPr>
                      <w:rFonts w:hint="default" w:ascii="Times New Roman" w:hAnsi="Times New Roman" w:cs="Times New Roman"/>
                      <w:szCs w:val="21"/>
                    </w:rPr>
                  </w:pPr>
                  <w:r>
                    <w:rPr>
                      <w:rFonts w:hint="default" w:ascii="Times New Roman" w:hAnsi="Times New Roman" w:cs="Times New Roman"/>
                      <w:kern w:val="0"/>
                      <w:szCs w:val="21"/>
                    </w:rPr>
                    <w:t>PM</w:t>
                  </w:r>
                  <w:r>
                    <w:rPr>
                      <w:rFonts w:hint="default" w:ascii="Times New Roman" w:hAnsi="Times New Roman" w:cs="Times New Roman"/>
                      <w:kern w:val="0"/>
                      <w:szCs w:val="21"/>
                      <w:vertAlign w:val="subscript"/>
                    </w:rPr>
                    <w:t>2.5</w:t>
                  </w:r>
                </w:p>
              </w:tc>
              <w:tc>
                <w:tcPr>
                  <w:tcW w:w="1301"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年平均质量浓度</w:t>
                  </w:r>
                </w:p>
              </w:tc>
              <w:tc>
                <w:tcPr>
                  <w:tcW w:w="879"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35</w:t>
                  </w:r>
                </w:p>
              </w:tc>
              <w:tc>
                <w:tcPr>
                  <w:tcW w:w="772"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lang w:val="en-US" w:eastAsia="zh-CN"/>
                    </w:rPr>
                    <w:t>57</w:t>
                  </w:r>
                </w:p>
              </w:tc>
              <w:tc>
                <w:tcPr>
                  <w:tcW w:w="714"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1</w:t>
                  </w:r>
                  <w:r>
                    <w:rPr>
                      <w:rFonts w:hint="eastAsia" w:ascii="Times New Roman" w:hAnsi="Times New Roman" w:cs="Times New Roman"/>
                      <w:szCs w:val="21"/>
                      <w:lang w:val="en-US" w:eastAsia="zh-CN"/>
                    </w:rPr>
                    <w:t>63</w:t>
                  </w:r>
                </w:p>
              </w:tc>
              <w:tc>
                <w:tcPr>
                  <w:tcW w:w="660"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超标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2" w:type="pct"/>
                  <w:noWrap w:val="0"/>
                  <w:vAlign w:val="center"/>
                </w:tcPr>
                <w:p>
                  <w:pPr>
                    <w:jc w:val="center"/>
                    <w:rPr>
                      <w:rFonts w:hint="default" w:ascii="Times New Roman" w:hAnsi="Times New Roman" w:cs="Times New Roman"/>
                      <w:szCs w:val="21"/>
                    </w:rPr>
                  </w:pPr>
                  <w:r>
                    <w:rPr>
                      <w:rFonts w:hint="default" w:ascii="Times New Roman" w:hAnsi="Times New Roman" w:cs="Times New Roman"/>
                      <w:kern w:val="0"/>
                      <w:szCs w:val="21"/>
                    </w:rPr>
                    <w:t>CO</w:t>
                  </w:r>
                </w:p>
              </w:tc>
              <w:tc>
                <w:tcPr>
                  <w:tcW w:w="1301"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第95百分位数24小时均质量浓度</w:t>
                  </w:r>
                </w:p>
              </w:tc>
              <w:tc>
                <w:tcPr>
                  <w:tcW w:w="879"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4000</w:t>
                  </w:r>
                </w:p>
              </w:tc>
              <w:tc>
                <w:tcPr>
                  <w:tcW w:w="772"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lang w:val="en-US" w:eastAsia="zh-CN"/>
                    </w:rPr>
                    <w:t>960</w:t>
                  </w:r>
                </w:p>
              </w:tc>
              <w:tc>
                <w:tcPr>
                  <w:tcW w:w="714"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24</w:t>
                  </w:r>
                </w:p>
              </w:tc>
              <w:tc>
                <w:tcPr>
                  <w:tcW w:w="660"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达标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72" w:type="pct"/>
                  <w:noWrap w:val="0"/>
                  <w:vAlign w:val="center"/>
                </w:tcPr>
                <w:p>
                  <w:pPr>
                    <w:jc w:val="center"/>
                    <w:rPr>
                      <w:rFonts w:hint="default" w:ascii="Times New Roman" w:hAnsi="Times New Roman" w:cs="Times New Roman"/>
                      <w:szCs w:val="21"/>
                    </w:rPr>
                  </w:pPr>
                  <w:r>
                    <w:rPr>
                      <w:rFonts w:hint="default" w:ascii="Times New Roman" w:hAnsi="Times New Roman" w:cs="Times New Roman"/>
                      <w:kern w:val="0"/>
                      <w:szCs w:val="21"/>
                    </w:rPr>
                    <w:t>O</w:t>
                  </w:r>
                  <w:r>
                    <w:rPr>
                      <w:rFonts w:hint="default" w:ascii="Times New Roman" w:hAnsi="Times New Roman" w:cs="Times New Roman"/>
                      <w:kern w:val="0"/>
                      <w:szCs w:val="21"/>
                      <w:vertAlign w:val="subscript"/>
                    </w:rPr>
                    <w:t>3</w:t>
                  </w:r>
                </w:p>
              </w:tc>
              <w:tc>
                <w:tcPr>
                  <w:tcW w:w="1301"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第90百分位数8h平均浓度</w:t>
                  </w:r>
                </w:p>
              </w:tc>
              <w:tc>
                <w:tcPr>
                  <w:tcW w:w="879"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160</w:t>
                  </w:r>
                </w:p>
              </w:tc>
              <w:tc>
                <w:tcPr>
                  <w:tcW w:w="772"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r>
                    <w:rPr>
                      <w:rFonts w:hint="default" w:ascii="Times New Roman" w:hAnsi="Times New Roman" w:cs="Times New Roman"/>
                      <w:szCs w:val="21"/>
                      <w:lang w:val="en-US" w:eastAsia="zh-CN"/>
                    </w:rPr>
                    <w:t>49</w:t>
                  </w:r>
                </w:p>
              </w:tc>
              <w:tc>
                <w:tcPr>
                  <w:tcW w:w="714"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93</w:t>
                  </w:r>
                </w:p>
              </w:tc>
              <w:tc>
                <w:tcPr>
                  <w:tcW w:w="660" w:type="pc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达标</w:t>
                  </w:r>
                </w:p>
              </w:tc>
            </w:tr>
          </w:tbl>
          <w:p>
            <w:pPr>
              <w:spacing w:line="360" w:lineRule="auto"/>
              <w:ind w:firstLine="600" w:firstLineChars="250"/>
              <w:rPr>
                <w:rFonts w:hint="default" w:ascii="Times New Roman" w:hAnsi="Times New Roman" w:cs="Times New Roman"/>
                <w:b w:val="0"/>
                <w:bCs w:val="0"/>
                <w:color w:val="000000"/>
                <w:sz w:val="24"/>
                <w:szCs w:val="24"/>
                <w:u w:val="none"/>
              </w:rPr>
            </w:pPr>
            <w:r>
              <w:rPr>
                <w:rFonts w:hint="default" w:ascii="Times New Roman" w:hAnsi="Times New Roman" w:cs="Times New Roman"/>
                <w:b w:val="0"/>
                <w:bCs w:val="0"/>
                <w:color w:val="000000"/>
                <w:sz w:val="24"/>
                <w:u w:val="none"/>
              </w:rPr>
              <w:t>由</w:t>
            </w:r>
            <w:r>
              <w:rPr>
                <w:rFonts w:hint="eastAsia" w:ascii="Times New Roman" w:hAnsi="Times New Roman" w:cs="Times New Roman"/>
                <w:b w:val="0"/>
                <w:bCs w:val="0"/>
                <w:color w:val="000000"/>
                <w:sz w:val="24"/>
                <w:u w:val="none"/>
                <w:lang w:val="en-US" w:eastAsia="zh-CN"/>
              </w:rPr>
              <w:t>上表</w:t>
            </w:r>
            <w:r>
              <w:rPr>
                <w:rFonts w:hint="default" w:ascii="Times New Roman" w:hAnsi="Times New Roman" w:cs="Times New Roman"/>
                <w:b w:val="0"/>
                <w:bCs w:val="0"/>
                <w:color w:val="000000"/>
                <w:sz w:val="24"/>
                <w:u w:val="none"/>
              </w:rPr>
              <w:t>可知，</w:t>
            </w:r>
            <w:r>
              <w:rPr>
                <w:rFonts w:hint="default" w:ascii="Times New Roman" w:hAnsi="Times New Roman" w:cs="Times New Roman"/>
                <w:b w:val="0"/>
                <w:bCs w:val="0"/>
                <w:color w:val="000000"/>
                <w:sz w:val="24"/>
                <w:u w:val="none"/>
                <w:lang w:val="en-US" w:eastAsia="zh-CN"/>
              </w:rPr>
              <w:t>永</w:t>
            </w:r>
            <w:r>
              <w:rPr>
                <w:rFonts w:hint="default" w:ascii="Times New Roman" w:hAnsi="Times New Roman" w:cs="Times New Roman"/>
                <w:b w:val="0"/>
                <w:bCs w:val="0"/>
                <w:color w:val="000000"/>
                <w:sz w:val="24"/>
                <w:szCs w:val="24"/>
                <w:u w:val="none"/>
                <w:lang w:val="en-US" w:eastAsia="zh-CN"/>
              </w:rPr>
              <w:t>城市2023年区域空气质量现状评价数据显示，</w:t>
            </w:r>
            <w:r>
              <w:rPr>
                <w:rFonts w:hint="default" w:ascii="Times New Roman" w:hAnsi="Times New Roman" w:cs="Times New Roman"/>
                <w:b w:val="0"/>
                <w:bCs w:val="0"/>
                <w:color w:val="000000"/>
                <w:sz w:val="24"/>
                <w:szCs w:val="24"/>
                <w:u w:val="none"/>
              </w:rPr>
              <w:t>SO</w:t>
            </w:r>
            <w:r>
              <w:rPr>
                <w:rFonts w:hint="default" w:ascii="Times New Roman" w:hAnsi="Times New Roman" w:cs="Times New Roman"/>
                <w:b w:val="0"/>
                <w:bCs w:val="0"/>
                <w:color w:val="000000"/>
                <w:sz w:val="24"/>
                <w:szCs w:val="24"/>
                <w:u w:val="none"/>
                <w:vertAlign w:val="subscript"/>
              </w:rPr>
              <w:t>2</w:t>
            </w:r>
            <w:r>
              <w:rPr>
                <w:rFonts w:hint="default" w:ascii="Times New Roman" w:hAnsi="Times New Roman" w:cs="Times New Roman"/>
                <w:sz w:val="24"/>
                <w:szCs w:val="24"/>
              </w:rPr>
              <w:t>年平均质量浓度</w:t>
            </w:r>
            <w:r>
              <w:rPr>
                <w:rFonts w:hint="default" w:ascii="Times New Roman" w:hAnsi="Times New Roman" w:cs="Times New Roman"/>
                <w:b w:val="0"/>
                <w:bCs w:val="0"/>
                <w:color w:val="000000"/>
                <w:sz w:val="24"/>
                <w:szCs w:val="24"/>
                <w:u w:val="none"/>
              </w:rPr>
              <w:t>、NO</w:t>
            </w:r>
            <w:r>
              <w:rPr>
                <w:rFonts w:hint="default" w:ascii="Times New Roman" w:hAnsi="Times New Roman" w:cs="Times New Roman"/>
                <w:b w:val="0"/>
                <w:bCs w:val="0"/>
                <w:color w:val="000000"/>
                <w:sz w:val="24"/>
                <w:szCs w:val="24"/>
                <w:u w:val="none"/>
                <w:vertAlign w:val="subscript"/>
              </w:rPr>
              <w:t>2</w:t>
            </w:r>
            <w:r>
              <w:rPr>
                <w:rFonts w:hint="default" w:ascii="Times New Roman" w:hAnsi="Times New Roman" w:cs="Times New Roman"/>
                <w:sz w:val="24"/>
                <w:szCs w:val="24"/>
              </w:rPr>
              <w:t>年平均质量浓度</w:t>
            </w:r>
            <w:r>
              <w:rPr>
                <w:rFonts w:hint="default" w:ascii="Times New Roman" w:hAnsi="Times New Roman" w:cs="Times New Roman"/>
                <w:b w:val="0"/>
                <w:bCs w:val="0"/>
                <w:color w:val="000000"/>
                <w:sz w:val="24"/>
                <w:szCs w:val="24"/>
                <w:u w:val="none"/>
                <w:lang w:eastAsia="zh-CN"/>
              </w:rPr>
              <w:t>、</w:t>
            </w:r>
            <w:r>
              <w:rPr>
                <w:rFonts w:hint="default" w:ascii="Times New Roman" w:hAnsi="Times New Roman" w:cs="Times New Roman"/>
                <w:b w:val="0"/>
                <w:bCs w:val="0"/>
                <w:color w:val="000000"/>
                <w:sz w:val="24"/>
                <w:szCs w:val="24"/>
                <w:u w:val="none"/>
              </w:rPr>
              <w:t>CO</w:t>
            </w:r>
            <w:r>
              <w:rPr>
                <w:rFonts w:hint="default" w:ascii="Times New Roman" w:hAnsi="Times New Roman" w:cs="Times New Roman"/>
                <w:sz w:val="24"/>
                <w:szCs w:val="24"/>
              </w:rPr>
              <w:t>第95百分位数24小时均质量浓度</w:t>
            </w:r>
            <w:r>
              <w:rPr>
                <w:rFonts w:hint="default" w:ascii="Times New Roman" w:hAnsi="Times New Roman" w:cs="Times New Roman"/>
                <w:b w:val="0"/>
                <w:bCs w:val="0"/>
                <w:color w:val="000000"/>
                <w:sz w:val="24"/>
                <w:szCs w:val="24"/>
                <w:u w:val="none"/>
                <w:lang w:eastAsia="zh-CN"/>
              </w:rPr>
              <w:t>、</w:t>
            </w:r>
            <w:r>
              <w:rPr>
                <w:rFonts w:hint="default" w:ascii="Times New Roman" w:hAnsi="Times New Roman" w:cs="Times New Roman"/>
                <w:kern w:val="0"/>
                <w:sz w:val="24"/>
                <w:szCs w:val="24"/>
              </w:rPr>
              <w:t>O</w:t>
            </w:r>
            <w:r>
              <w:rPr>
                <w:rFonts w:hint="default" w:ascii="Times New Roman" w:hAnsi="Times New Roman" w:cs="Times New Roman"/>
                <w:kern w:val="0"/>
                <w:sz w:val="24"/>
                <w:szCs w:val="24"/>
                <w:vertAlign w:val="subscript"/>
              </w:rPr>
              <w:t>3</w:t>
            </w:r>
            <w:r>
              <w:rPr>
                <w:rFonts w:hint="default" w:ascii="Times New Roman" w:hAnsi="Times New Roman" w:cs="Times New Roman"/>
                <w:sz w:val="24"/>
                <w:szCs w:val="24"/>
              </w:rPr>
              <w:t>第90百分位数8h平均浓度</w:t>
            </w:r>
            <w:r>
              <w:rPr>
                <w:rFonts w:hint="default" w:ascii="Times New Roman" w:hAnsi="Times New Roman" w:cs="Times New Roman"/>
                <w:sz w:val="24"/>
                <w:szCs w:val="24"/>
                <w:lang w:val="en-US" w:eastAsia="zh-CN"/>
              </w:rPr>
              <w:t>均</w:t>
            </w:r>
            <w:r>
              <w:rPr>
                <w:rFonts w:hint="default" w:ascii="Times New Roman" w:hAnsi="Times New Roman" w:cs="Times New Roman"/>
                <w:b w:val="0"/>
                <w:bCs w:val="0"/>
                <w:color w:val="000000"/>
                <w:sz w:val="24"/>
                <w:szCs w:val="24"/>
                <w:u w:val="none"/>
              </w:rPr>
              <w:t>满足《环境空气质量标准》(GB3095-2012）二级标准，主要超标因子为PM</w:t>
            </w:r>
            <w:r>
              <w:rPr>
                <w:rFonts w:hint="default" w:ascii="Times New Roman" w:hAnsi="Times New Roman" w:cs="Times New Roman"/>
                <w:b w:val="0"/>
                <w:bCs w:val="0"/>
                <w:color w:val="000000"/>
                <w:sz w:val="24"/>
                <w:szCs w:val="24"/>
                <w:u w:val="none"/>
                <w:vertAlign w:val="subscript"/>
              </w:rPr>
              <w:t xml:space="preserve"> 2.5</w:t>
            </w:r>
            <w:r>
              <w:rPr>
                <w:rFonts w:hint="default" w:ascii="Times New Roman" w:hAnsi="Times New Roman" w:cs="Times New Roman"/>
                <w:b w:val="0"/>
                <w:bCs w:val="0"/>
                <w:color w:val="000000"/>
                <w:sz w:val="24"/>
                <w:szCs w:val="24"/>
                <w:u w:val="none"/>
              </w:rPr>
              <w:t>、</w:t>
            </w:r>
            <w:r>
              <w:rPr>
                <w:rFonts w:hint="default" w:ascii="Times New Roman" w:hAnsi="Times New Roman" w:cs="Times New Roman"/>
                <w:kern w:val="0"/>
                <w:sz w:val="24"/>
                <w:szCs w:val="24"/>
              </w:rPr>
              <w:t>PM</w:t>
            </w:r>
            <w:r>
              <w:rPr>
                <w:rFonts w:hint="default" w:ascii="Times New Roman" w:hAnsi="Times New Roman" w:cs="Times New Roman"/>
                <w:kern w:val="0"/>
                <w:sz w:val="24"/>
                <w:szCs w:val="24"/>
                <w:vertAlign w:val="subscript"/>
              </w:rPr>
              <w:t>10</w:t>
            </w:r>
            <w:r>
              <w:rPr>
                <w:rFonts w:hint="default" w:ascii="Times New Roman" w:hAnsi="Times New Roman" w:cs="Times New Roman"/>
                <w:b w:val="0"/>
                <w:bCs w:val="0"/>
                <w:color w:val="000000"/>
                <w:sz w:val="24"/>
                <w:szCs w:val="24"/>
                <w:u w:val="none"/>
              </w:rPr>
              <w:t>，PM</w:t>
            </w:r>
            <w:r>
              <w:rPr>
                <w:rFonts w:hint="default" w:ascii="Times New Roman" w:hAnsi="Times New Roman" w:cs="Times New Roman"/>
                <w:b w:val="0"/>
                <w:bCs w:val="0"/>
                <w:color w:val="000000"/>
                <w:sz w:val="24"/>
                <w:szCs w:val="24"/>
                <w:u w:val="none"/>
                <w:vertAlign w:val="subscript"/>
              </w:rPr>
              <w:t xml:space="preserve"> 2.5</w:t>
            </w:r>
            <w:r>
              <w:rPr>
                <w:rFonts w:hint="default" w:ascii="Times New Roman" w:hAnsi="Times New Roman" w:eastAsia="宋体" w:cs="Times New Roman"/>
                <w:b w:val="0"/>
                <w:bCs w:val="0"/>
                <w:color w:val="000000"/>
                <w:sz w:val="24"/>
                <w:szCs w:val="24"/>
                <w:u w:val="none"/>
                <w:lang w:val="en-US" w:eastAsia="zh-CN"/>
              </w:rPr>
              <w:t>最大占标率</w:t>
            </w:r>
            <w:r>
              <w:rPr>
                <w:rFonts w:hint="eastAsia" w:ascii="Times New Roman" w:hAnsi="Times New Roman" w:eastAsia="宋体" w:cs="Times New Roman"/>
                <w:b w:val="0"/>
                <w:bCs w:val="0"/>
                <w:color w:val="000000"/>
                <w:sz w:val="24"/>
                <w:szCs w:val="24"/>
                <w:u w:val="none"/>
                <w:lang w:val="en-US" w:eastAsia="zh-CN"/>
              </w:rPr>
              <w:t>163</w:t>
            </w:r>
            <w:r>
              <w:rPr>
                <w:rFonts w:hint="default" w:ascii="Times New Roman" w:hAnsi="Times New Roman" w:eastAsia="宋体" w:cs="Times New Roman"/>
                <w:b w:val="0"/>
                <w:bCs w:val="0"/>
                <w:color w:val="000000"/>
                <w:sz w:val="24"/>
                <w:szCs w:val="24"/>
                <w:u w:val="none"/>
                <w:lang w:val="en-US" w:eastAsia="zh-CN"/>
              </w:rPr>
              <w:t>%，</w:t>
            </w:r>
            <w:r>
              <w:rPr>
                <w:rFonts w:hint="default" w:ascii="Times New Roman" w:hAnsi="Times New Roman" w:cs="Times New Roman"/>
                <w:kern w:val="0"/>
                <w:sz w:val="24"/>
                <w:szCs w:val="24"/>
              </w:rPr>
              <w:t>PM</w:t>
            </w:r>
            <w:r>
              <w:rPr>
                <w:rFonts w:hint="default" w:ascii="Times New Roman" w:hAnsi="Times New Roman" w:cs="Times New Roman"/>
                <w:kern w:val="0"/>
                <w:sz w:val="24"/>
                <w:szCs w:val="24"/>
                <w:vertAlign w:val="subscript"/>
              </w:rPr>
              <w:t>10</w:t>
            </w:r>
            <w:r>
              <w:rPr>
                <w:rFonts w:hint="default" w:ascii="Times New Roman" w:hAnsi="Times New Roman" w:eastAsia="宋体" w:cs="Times New Roman"/>
                <w:b w:val="0"/>
                <w:bCs w:val="0"/>
                <w:color w:val="000000"/>
                <w:sz w:val="24"/>
                <w:szCs w:val="24"/>
                <w:u w:val="none"/>
                <w:lang w:val="en-US" w:eastAsia="zh-CN"/>
              </w:rPr>
              <w:t>最大占标率1</w:t>
            </w:r>
            <w:r>
              <w:rPr>
                <w:rFonts w:hint="eastAsia" w:ascii="Times New Roman" w:hAnsi="Times New Roman" w:eastAsia="宋体" w:cs="Times New Roman"/>
                <w:b w:val="0"/>
                <w:bCs w:val="0"/>
                <w:color w:val="000000"/>
                <w:sz w:val="24"/>
                <w:szCs w:val="24"/>
                <w:u w:val="none"/>
                <w:lang w:val="en-US" w:eastAsia="zh-CN"/>
              </w:rPr>
              <w:t>50</w:t>
            </w:r>
            <w:r>
              <w:rPr>
                <w:rFonts w:hint="default" w:ascii="Times New Roman" w:hAnsi="Times New Roman" w:eastAsia="宋体" w:cs="Times New Roman"/>
                <w:b w:val="0"/>
                <w:bCs w:val="0"/>
                <w:color w:val="000000"/>
                <w:sz w:val="24"/>
                <w:szCs w:val="24"/>
                <w:u w:val="none"/>
                <w:lang w:val="en-US" w:eastAsia="zh-CN"/>
              </w:rPr>
              <w:t>%</w:t>
            </w:r>
            <w:r>
              <w:rPr>
                <w:rFonts w:hint="default" w:ascii="Times New Roman" w:hAnsi="Times New Roman" w:cs="Times New Roman"/>
                <w:b w:val="0"/>
                <w:bCs w:val="0"/>
                <w:color w:val="000000"/>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rPr>
              <w:t>针对环境空气质量不达标的现状，永城市严格按照《河南省2023年蓝天保卫战实施方案》（豫环委办〔2023〕4号）</w:t>
            </w:r>
            <w:r>
              <w:rPr>
                <w:rFonts w:hint="eastAsia" w:ascii="Times New Roman" w:hAnsi="Times New Roman" w:cs="Times New Roman"/>
                <w:color w:val="000000"/>
                <w:sz w:val="24"/>
                <w:lang w:eastAsia="zh-CN"/>
              </w:rPr>
              <w:t>、《商丘市2023年蓝天保卫战实施方案的通知》（商环委1号）</w:t>
            </w:r>
            <w:r>
              <w:rPr>
                <w:rFonts w:hint="default" w:ascii="Times New Roman" w:hAnsi="Times New Roman" w:cs="Times New Roman"/>
                <w:color w:val="000000"/>
                <w:sz w:val="24"/>
              </w:rPr>
              <w:t>等相关文件要求，通过控制扬尘污染、推进工</w:t>
            </w:r>
            <w:r>
              <w:rPr>
                <w:rFonts w:hint="default" w:ascii="Times New Roman" w:hAnsi="Times New Roman" w:cs="Times New Roman"/>
                <w:color w:val="000000"/>
                <w:sz w:val="24"/>
                <w:szCs w:val="24"/>
              </w:rPr>
              <w:t>业企业综合治理、深入推进能源结构调整等方面的行动，项目所在区域环境空气质量将会逐步得到改善。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highlight w:val="none"/>
                <w:lang w:eastAsia="zh-CN"/>
              </w:rPr>
            </w:pPr>
            <w:r>
              <w:rPr>
                <w:rFonts w:hint="default" w:ascii="Times New Roman" w:hAnsi="Times New Roman" w:cs="Times New Roman"/>
                <w:b/>
                <w:bCs/>
                <w:color w:val="auto"/>
                <w:sz w:val="24"/>
                <w:szCs w:val="24"/>
                <w:highlight w:val="none"/>
                <w:vertAlign w:val="baseline"/>
                <w:lang w:val="en-US" w:eastAsia="zh-CN"/>
              </w:rPr>
              <w:t>1.2</w:t>
            </w:r>
            <w:r>
              <w:rPr>
                <w:rFonts w:hint="default" w:ascii="Times New Roman" w:hAnsi="Times New Roman" w:cs="Times New Roman"/>
                <w:b/>
                <w:bCs/>
                <w:color w:val="auto"/>
                <w:sz w:val="24"/>
                <w:szCs w:val="24"/>
                <w:highlight w:val="none"/>
                <w:lang w:eastAsia="zh-CN"/>
              </w:rPr>
              <w:t>特征因子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cs="Times New Roman"/>
                <w:b w:val="0"/>
                <w:bCs w:val="0"/>
                <w:color w:val="auto"/>
                <w:sz w:val="24"/>
                <w:szCs w:val="24"/>
                <w:highlight w:val="none"/>
                <w:u w:val="none"/>
                <w:lang w:eastAsia="zh-CN"/>
              </w:rPr>
              <w:t>本项目非甲烷总烃引用《</w:t>
            </w:r>
            <w:r>
              <w:rPr>
                <w:rFonts w:hint="default" w:ascii="Times New Roman" w:hAnsi="Times New Roman" w:eastAsia="宋体" w:cs="Times New Roman"/>
                <w:color w:val="auto"/>
                <w:sz w:val="24"/>
                <w:szCs w:val="24"/>
                <w:vertAlign w:val="baseline"/>
                <w:lang w:val="en-US" w:eastAsia="zh-CN"/>
              </w:rPr>
              <w:t>河南科源电子铝箔有限公司3万吨产能提质增效技术改造项目</w:t>
            </w:r>
            <w:r>
              <w:rPr>
                <w:rFonts w:hint="default" w:ascii="Times New Roman" w:hAnsi="Times New Roman" w:cs="Times New Roman"/>
                <w:color w:val="auto"/>
                <w:sz w:val="24"/>
                <w:szCs w:val="24"/>
                <w:vertAlign w:val="baseline"/>
                <w:lang w:val="en-US" w:eastAsia="zh-CN"/>
              </w:rPr>
              <w:t>环境影响报告表</w:t>
            </w:r>
            <w:r>
              <w:rPr>
                <w:rFonts w:hint="default" w:ascii="Times New Roman" w:hAnsi="Times New Roman" w:cs="Times New Roman"/>
                <w:b w:val="0"/>
                <w:bCs w:val="0"/>
                <w:color w:val="auto"/>
                <w:sz w:val="24"/>
                <w:szCs w:val="24"/>
                <w:highlight w:val="none"/>
                <w:u w:val="none"/>
                <w:lang w:eastAsia="zh-CN"/>
              </w:rPr>
              <w:t>》中</w:t>
            </w:r>
            <w:r>
              <w:rPr>
                <w:rFonts w:hint="default" w:ascii="Times New Roman" w:hAnsi="Times New Roman" w:eastAsia="宋体" w:cs="Times New Roman"/>
                <w:b w:val="0"/>
                <w:bCs w:val="0"/>
                <w:color w:val="auto"/>
                <w:sz w:val="24"/>
                <w:szCs w:val="24"/>
                <w:highlight w:val="none"/>
                <w:u w:val="none"/>
                <w:lang w:eastAsia="zh-CN"/>
              </w:rPr>
              <w:t>河南中玖环保科技有限公司</w:t>
            </w:r>
            <w:r>
              <w:rPr>
                <w:rFonts w:hint="default" w:ascii="Times New Roman" w:hAnsi="Times New Roman" w:cs="Times New Roman"/>
                <w:b w:val="0"/>
                <w:bCs w:val="0"/>
                <w:color w:val="auto"/>
                <w:sz w:val="24"/>
                <w:szCs w:val="24"/>
                <w:highlight w:val="none"/>
                <w:u w:val="none"/>
                <w:lang w:eastAsia="zh-CN"/>
              </w:rPr>
              <w:t>于</w:t>
            </w:r>
            <w:r>
              <w:rPr>
                <w:rFonts w:hint="default" w:ascii="Times New Roman" w:hAnsi="Times New Roman" w:eastAsia="宋体" w:cs="Times New Roman"/>
                <w:b w:val="0"/>
                <w:bCs w:val="0"/>
                <w:color w:val="auto"/>
                <w:sz w:val="24"/>
                <w:szCs w:val="24"/>
                <w:highlight w:val="none"/>
                <w:u w:val="none"/>
                <w:lang w:eastAsia="zh-CN"/>
              </w:rPr>
              <w:t>202</w:t>
            </w:r>
            <w:r>
              <w:rPr>
                <w:rFonts w:hint="default" w:ascii="Times New Roman" w:hAnsi="Times New Roman" w:eastAsia="宋体" w:cs="Times New Roman"/>
                <w:b w:val="0"/>
                <w:bCs w:val="0"/>
                <w:color w:val="auto"/>
                <w:sz w:val="24"/>
                <w:szCs w:val="24"/>
                <w:highlight w:val="none"/>
                <w:u w:val="none"/>
                <w:lang w:val="en-US" w:eastAsia="zh-CN"/>
              </w:rPr>
              <w:t>1</w:t>
            </w:r>
            <w:r>
              <w:rPr>
                <w:rFonts w:hint="default" w:ascii="Times New Roman" w:hAnsi="Times New Roman" w:eastAsia="宋体" w:cs="Times New Roman"/>
                <w:b w:val="0"/>
                <w:bCs w:val="0"/>
                <w:color w:val="auto"/>
                <w:sz w:val="24"/>
                <w:szCs w:val="24"/>
                <w:highlight w:val="none"/>
                <w:u w:val="none"/>
                <w:lang w:eastAsia="zh-CN"/>
              </w:rPr>
              <w:t>年</w:t>
            </w:r>
            <w:r>
              <w:rPr>
                <w:rFonts w:hint="default" w:ascii="Times New Roman" w:hAnsi="Times New Roman" w:eastAsia="宋体" w:cs="Times New Roman"/>
                <w:b w:val="0"/>
                <w:bCs w:val="0"/>
                <w:color w:val="auto"/>
                <w:sz w:val="24"/>
                <w:szCs w:val="24"/>
                <w:highlight w:val="none"/>
                <w:u w:val="none"/>
                <w:lang w:val="en-US" w:eastAsia="zh-CN"/>
              </w:rPr>
              <w:t>12</w:t>
            </w:r>
            <w:r>
              <w:rPr>
                <w:rFonts w:hint="default" w:ascii="Times New Roman" w:hAnsi="Times New Roman" w:eastAsia="宋体" w:cs="Times New Roman"/>
                <w:b w:val="0"/>
                <w:bCs w:val="0"/>
                <w:color w:val="auto"/>
                <w:sz w:val="24"/>
                <w:szCs w:val="24"/>
                <w:highlight w:val="none"/>
                <w:u w:val="none"/>
                <w:lang w:eastAsia="zh-CN"/>
              </w:rPr>
              <w:t>月</w:t>
            </w:r>
            <w:r>
              <w:rPr>
                <w:rFonts w:hint="default" w:ascii="Times New Roman" w:hAnsi="Times New Roman" w:eastAsia="宋体" w:cs="Times New Roman"/>
                <w:b w:val="0"/>
                <w:bCs w:val="0"/>
                <w:color w:val="auto"/>
                <w:sz w:val="24"/>
                <w:szCs w:val="24"/>
                <w:highlight w:val="none"/>
                <w:u w:val="none"/>
                <w:lang w:val="en-US" w:eastAsia="zh-CN"/>
              </w:rPr>
              <w:t>10</w:t>
            </w:r>
            <w:r>
              <w:rPr>
                <w:rFonts w:hint="default" w:ascii="Times New Roman" w:hAnsi="Times New Roman" w:eastAsia="宋体" w:cs="Times New Roman"/>
                <w:b w:val="0"/>
                <w:bCs w:val="0"/>
                <w:color w:val="auto"/>
                <w:sz w:val="24"/>
                <w:szCs w:val="24"/>
                <w:highlight w:val="none"/>
                <w:u w:val="none"/>
                <w:lang w:eastAsia="zh-CN"/>
              </w:rPr>
              <w:t>日</w:t>
            </w:r>
            <w:r>
              <w:rPr>
                <w:rFonts w:hint="default" w:ascii="Times New Roman" w:hAnsi="Times New Roman" w:eastAsia="宋体" w:cs="Times New Roman"/>
                <w:b w:val="0"/>
                <w:bCs w:val="0"/>
                <w:color w:val="auto"/>
                <w:sz w:val="24"/>
                <w:szCs w:val="24"/>
                <w:highlight w:val="none"/>
                <w:u w:val="none"/>
                <w:lang w:val="en-US" w:eastAsia="zh-CN"/>
              </w:rPr>
              <w:t>-2021年12月12日</w:t>
            </w:r>
            <w:r>
              <w:rPr>
                <w:rFonts w:hint="default" w:ascii="Times New Roman" w:hAnsi="Times New Roman" w:eastAsia="宋体" w:cs="Times New Roman"/>
                <w:b w:val="0"/>
                <w:bCs w:val="0"/>
                <w:color w:val="auto"/>
                <w:sz w:val="24"/>
                <w:szCs w:val="24"/>
                <w:highlight w:val="none"/>
                <w:u w:val="none"/>
                <w:lang w:eastAsia="zh-CN"/>
              </w:rPr>
              <w:t>对单庄村</w:t>
            </w:r>
            <w:r>
              <w:rPr>
                <w:rFonts w:hint="default" w:ascii="Times New Roman" w:hAnsi="Times New Roman" w:cs="Times New Roman"/>
                <w:b w:val="0"/>
                <w:bCs w:val="0"/>
                <w:color w:val="auto"/>
                <w:sz w:val="24"/>
                <w:szCs w:val="24"/>
                <w:highlight w:val="none"/>
                <w:u w:val="none"/>
                <w:lang w:eastAsia="zh-CN"/>
              </w:rPr>
              <w:t>（南</w:t>
            </w:r>
            <w:r>
              <w:rPr>
                <w:rFonts w:hint="eastAsia" w:ascii="Times New Roman" w:hAnsi="Times New Roman" w:cs="Times New Roman"/>
                <w:b w:val="0"/>
                <w:bCs w:val="0"/>
                <w:color w:val="auto"/>
                <w:sz w:val="24"/>
                <w:szCs w:val="24"/>
                <w:highlight w:val="none"/>
                <w:u w:val="none"/>
                <w:lang w:val="en-US" w:eastAsia="zh-CN"/>
              </w:rPr>
              <w:t>356</w:t>
            </w:r>
            <w:r>
              <w:rPr>
                <w:rFonts w:hint="default" w:ascii="Times New Roman" w:hAnsi="Times New Roman" w:cs="Times New Roman"/>
                <w:b w:val="0"/>
                <w:bCs w:val="0"/>
                <w:color w:val="auto"/>
                <w:sz w:val="24"/>
                <w:szCs w:val="24"/>
                <w:highlight w:val="none"/>
                <w:u w:val="none"/>
                <w:lang w:val="en-US" w:eastAsia="zh-CN"/>
              </w:rPr>
              <w:t>m</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eastAsia="zh-CN"/>
              </w:rPr>
              <w:t>进行</w:t>
            </w:r>
            <w:r>
              <w:rPr>
                <w:rFonts w:hint="default" w:ascii="Times New Roman" w:hAnsi="Times New Roman" w:cs="Times New Roman"/>
                <w:b w:val="0"/>
                <w:bCs w:val="0"/>
                <w:color w:val="auto"/>
                <w:sz w:val="24"/>
                <w:szCs w:val="24"/>
                <w:highlight w:val="none"/>
                <w:u w:val="none"/>
                <w:lang w:eastAsia="zh-CN"/>
              </w:rPr>
              <w:t>的</w:t>
            </w:r>
            <w:r>
              <w:rPr>
                <w:rFonts w:hint="default" w:ascii="Times New Roman" w:hAnsi="Times New Roman" w:eastAsia="宋体" w:cs="Times New Roman"/>
                <w:b w:val="0"/>
                <w:bCs w:val="0"/>
                <w:color w:val="auto"/>
                <w:sz w:val="24"/>
                <w:szCs w:val="24"/>
                <w:highlight w:val="none"/>
                <w:u w:val="none"/>
                <w:lang w:eastAsia="zh-CN"/>
              </w:rPr>
              <w:t>监测</w:t>
            </w:r>
            <w:r>
              <w:rPr>
                <w:rFonts w:hint="default" w:ascii="Times New Roman" w:hAnsi="Times New Roman" w:cs="Times New Roman"/>
                <w:b w:val="0"/>
                <w:bCs w:val="0"/>
                <w:color w:val="auto"/>
                <w:sz w:val="24"/>
                <w:szCs w:val="24"/>
                <w:highlight w:val="none"/>
                <w:u w:val="none"/>
                <w:lang w:eastAsia="zh-CN"/>
              </w:rPr>
              <w:t>数据，</w:t>
            </w:r>
            <w:r>
              <w:rPr>
                <w:rFonts w:hint="eastAsia" w:ascii="Times New Roman" w:hAnsi="Times New Roman" w:cs="Times New Roman"/>
                <w:b w:val="0"/>
                <w:bCs w:val="0"/>
                <w:color w:val="auto"/>
                <w:sz w:val="24"/>
                <w:szCs w:val="24"/>
                <w:highlight w:val="none"/>
                <w:u w:val="none"/>
                <w:lang w:val="en-US" w:eastAsia="zh-CN"/>
              </w:rPr>
              <w:t>铅及其化合物委托河南析源环境检测有限公司于2024年5月16日-5月18日对单庄村进行了监测，</w:t>
            </w:r>
            <w:r>
              <w:rPr>
                <w:rFonts w:hint="default" w:ascii="Times New Roman" w:hAnsi="Times New Roman" w:eastAsia="宋体" w:cs="Times New Roman"/>
                <w:b w:val="0"/>
                <w:bCs w:val="0"/>
                <w:color w:val="auto"/>
                <w:sz w:val="24"/>
                <w:szCs w:val="24"/>
                <w:highlight w:val="none"/>
                <w:u w:val="none"/>
                <w:lang w:eastAsia="zh-CN"/>
              </w:rPr>
              <w:t>具体监测结果见下表。</w:t>
            </w:r>
          </w:p>
          <w:p>
            <w:pPr>
              <w:pStyle w:val="2"/>
              <w:bidi w:val="0"/>
              <w:spacing w:line="240" w:lineRule="auto"/>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 xml:space="preserve">  特征因子</w:t>
            </w:r>
            <w:r>
              <w:rPr>
                <w:rFonts w:hint="default" w:ascii="Times New Roman" w:hAnsi="Times New Roman" w:cs="Times New Roman"/>
                <w:color w:val="auto"/>
                <w:sz w:val="24"/>
                <w:szCs w:val="24"/>
                <w:lang w:eastAsia="zh-CN"/>
              </w:rPr>
              <w:t>监测结果统计及评价</w:t>
            </w:r>
          </w:p>
          <w:tbl>
            <w:tblPr>
              <w:tblStyle w:val="27"/>
              <w:tblW w:w="77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82"/>
              <w:gridCol w:w="1759"/>
              <w:gridCol w:w="1716"/>
              <w:gridCol w:w="1227"/>
              <w:gridCol w:w="15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7" w:hRule="atLeast"/>
                <w:tblHeader/>
                <w:jc w:val="center"/>
              </w:trPr>
              <w:tc>
                <w:tcPr>
                  <w:tcW w:w="1482" w:type="dxa"/>
                  <w:vMerge w:val="restart"/>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w:t>
                  </w:r>
                </w:p>
              </w:tc>
              <w:tc>
                <w:tcPr>
                  <w:tcW w:w="6293" w:type="dxa"/>
                  <w:gridSpan w:val="4"/>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单庄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1482" w:type="dxa"/>
                  <w:vMerge w:val="continue"/>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rPr>
                  </w:pPr>
                </w:p>
              </w:tc>
              <w:tc>
                <w:tcPr>
                  <w:tcW w:w="1759" w:type="dxa"/>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1小时平均值范围(</w:t>
                  </w:r>
                  <w:r>
                    <w:rPr>
                      <w:rFonts w:hint="default" w:ascii="Times New Roman" w:hAnsi="Times New Roman" w:cs="Times New Roman"/>
                      <w:color w:val="auto"/>
                      <w:sz w:val="21"/>
                      <w:szCs w:val="21"/>
                      <w:lang w:val="en-US" w:eastAsia="zh-CN"/>
                    </w:rPr>
                    <w:t>m</w:t>
                  </w:r>
                  <w:r>
                    <w:rPr>
                      <w:rFonts w:hint="default" w:ascii="Times New Roman" w:hAnsi="Times New Roman" w:eastAsia="宋体" w:cs="Times New Roman"/>
                      <w:color w:val="auto"/>
                      <w:sz w:val="21"/>
                      <w:szCs w:val="21"/>
                      <w:lang w:eastAsia="zh-CN"/>
                    </w:rPr>
                    <w:t>g/m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lang w:eastAsia="zh-CN"/>
                    </w:rPr>
                    <w:t>)</w:t>
                  </w:r>
                </w:p>
              </w:tc>
              <w:tc>
                <w:tcPr>
                  <w:tcW w:w="1716" w:type="dxa"/>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标准指数范围</w:t>
                  </w:r>
                </w:p>
              </w:tc>
              <w:tc>
                <w:tcPr>
                  <w:tcW w:w="1227" w:type="dxa"/>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超标率(%)</w:t>
                  </w:r>
                </w:p>
              </w:tc>
              <w:tc>
                <w:tcPr>
                  <w:tcW w:w="1591" w:type="dxa"/>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标准限值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82" w:type="dxa"/>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val="en-US" w:eastAsia="zh-CN"/>
                    </w:rPr>
                    <w:t>非甲烷总烃</w:t>
                  </w:r>
                </w:p>
              </w:tc>
              <w:tc>
                <w:tcPr>
                  <w:tcW w:w="1759" w:type="dxa"/>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lang w:val="en-US"/>
                    </w:rPr>
                  </w:pPr>
                  <w:r>
                    <w:rPr>
                      <w:rFonts w:hint="default" w:ascii="Times New Roman" w:hAnsi="Times New Roman" w:cs="Times New Roman"/>
                      <w:color w:val="auto"/>
                      <w:sz w:val="21"/>
                      <w:szCs w:val="21"/>
                      <w:lang w:val="en-US" w:eastAsia="zh-CN" w:bidi="ar"/>
                    </w:rPr>
                    <w:t>0.32-0.43</w:t>
                  </w:r>
                </w:p>
              </w:tc>
              <w:tc>
                <w:tcPr>
                  <w:tcW w:w="1716" w:type="dxa"/>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lang w:val="en-US"/>
                    </w:rPr>
                  </w:pPr>
                  <w:r>
                    <w:rPr>
                      <w:rFonts w:hint="default" w:ascii="Times New Roman" w:hAnsi="Times New Roman" w:cs="Times New Roman"/>
                      <w:color w:val="auto"/>
                      <w:sz w:val="21"/>
                      <w:szCs w:val="21"/>
                      <w:lang w:val="en-US" w:eastAsia="zh-CN" w:bidi="ar"/>
                    </w:rPr>
                    <w:t>0.16-0.215</w:t>
                  </w:r>
                </w:p>
              </w:tc>
              <w:tc>
                <w:tcPr>
                  <w:tcW w:w="1227" w:type="dxa"/>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bidi="ar"/>
                    </w:rPr>
                    <w:t>0</w:t>
                  </w:r>
                </w:p>
              </w:tc>
              <w:tc>
                <w:tcPr>
                  <w:tcW w:w="1591" w:type="dxa"/>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2.0</w:t>
                  </w:r>
                  <w:r>
                    <w:rPr>
                      <w:rFonts w:hint="default" w:ascii="Times New Roman" w:hAnsi="Times New Roman" w:cs="Times New Roman"/>
                      <w:color w:val="auto"/>
                      <w:sz w:val="21"/>
                      <w:szCs w:val="21"/>
                      <w:lang w:val="en-US" w:eastAsia="zh-CN"/>
                    </w:rPr>
                    <w:t>m</w:t>
                  </w:r>
                  <w:r>
                    <w:rPr>
                      <w:rFonts w:hint="default" w:ascii="Times New Roman" w:hAnsi="Times New Roman" w:eastAsia="宋体" w:cs="Times New Roman"/>
                      <w:color w:val="auto"/>
                      <w:sz w:val="21"/>
                      <w:szCs w:val="21"/>
                      <w:lang w:eastAsia="zh-CN"/>
                    </w:rPr>
                    <w:t>g/m</w:t>
                  </w:r>
                  <w:r>
                    <w:rPr>
                      <w:rFonts w:hint="default" w:ascii="Times New Roman" w:hAnsi="Times New Roman" w:eastAsia="宋体" w:cs="Times New Roman"/>
                      <w:color w:val="auto"/>
                      <w:sz w:val="21"/>
                      <w:szCs w:val="21"/>
                      <w:vertAlign w:val="superscript"/>
                      <w:lang w:eastAsia="zh-CN"/>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482" w:type="dxa"/>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铅及其化合物</w:t>
                  </w:r>
                </w:p>
              </w:tc>
              <w:tc>
                <w:tcPr>
                  <w:tcW w:w="1759" w:type="dxa"/>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未检出</w:t>
                  </w:r>
                </w:p>
              </w:tc>
              <w:tc>
                <w:tcPr>
                  <w:tcW w:w="1716" w:type="dxa"/>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w:t>
                  </w:r>
                </w:p>
              </w:tc>
              <w:tc>
                <w:tcPr>
                  <w:tcW w:w="1227" w:type="dxa"/>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w:t>
                  </w:r>
                </w:p>
              </w:tc>
              <w:tc>
                <w:tcPr>
                  <w:tcW w:w="1591" w:type="dxa"/>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cs="Times New Roman"/>
                      <w:color w:val="auto"/>
                      <w:sz w:val="21"/>
                      <w:szCs w:val="21"/>
                      <w:lang w:val="en-US" w:eastAsia="zh-CN" w:bidi="ar"/>
                    </w:rPr>
                  </w:pPr>
                  <w:r>
                    <w:rPr>
                      <w:rFonts w:hint="eastAsia" w:ascii="Times New Roman" w:hAnsi="Times New Roman" w:cs="Times New Roman"/>
                      <w:color w:val="auto"/>
                      <w:sz w:val="21"/>
                      <w:szCs w:val="21"/>
                      <w:lang w:val="en-US" w:eastAsia="zh-CN" w:bidi="ar"/>
                    </w:rPr>
                    <w:t>3.0</w:t>
                  </w:r>
                  <w:r>
                    <w:rPr>
                      <w:rFonts w:hint="default" w:ascii="Times New Roman" w:hAnsi="Times New Roman" w:eastAsia="宋体" w:cs="Times New Roman"/>
                      <w:b w:val="0"/>
                      <w:bCs w:val="0"/>
                      <w:sz w:val="21"/>
                      <w:szCs w:val="21"/>
                      <w:vertAlign w:val="baseline"/>
                      <w:lang w:val="en-US" w:eastAsia="zh-CN"/>
                    </w:rPr>
                    <w:t>μg/m</w:t>
                  </w:r>
                  <w:r>
                    <w:rPr>
                      <w:rFonts w:hint="default" w:ascii="Times New Roman" w:hAnsi="Times New Roman" w:eastAsia="宋体" w:cs="Times New Roman"/>
                      <w:b w:val="0"/>
                      <w:bCs w:val="0"/>
                      <w:sz w:val="21"/>
                      <w:szCs w:val="21"/>
                      <w:vertAlign w:val="superscript"/>
                      <w:lang w:val="en-US" w:eastAsia="zh-CN"/>
                    </w:rPr>
                    <w:t>3</w:t>
                  </w:r>
                </w:p>
              </w:tc>
            </w:tr>
          </w:tbl>
          <w:p>
            <w:pPr>
              <w:spacing w:line="360" w:lineRule="auto"/>
              <w:ind w:firstLine="420" w:firstLineChars="20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标准限值</w:t>
            </w:r>
            <w:r>
              <w:rPr>
                <w:rFonts w:hint="default" w:ascii="Times New Roman" w:hAnsi="Times New Roman" w:cs="Times New Roman"/>
                <w:color w:val="auto"/>
              </w:rPr>
              <w:t>一般取GB3095中1h平均质量浓度的二级浓度限值；对该标准中未包含的污染物，可参照附录D中的浓度限值；对仅有8h平均质量浓度限值、日平均质量浓度限值或年平均质量浓度限值的，可分别按2倍、3倍、6倍折算为1h平均质量浓度限值</w:t>
            </w:r>
            <w:r>
              <w:rPr>
                <w:rFonts w:hint="eastAsia" w:ascii="Times New Roman" w:hAnsi="Times New Roman" w:cs="Times New Roman"/>
                <w:color w:val="auto"/>
                <w:lang w:eastAsia="zh-CN"/>
              </w:rPr>
              <w:t>。</w:t>
            </w:r>
            <w:r>
              <w:rPr>
                <w:rFonts w:hint="default" w:ascii="Times New Roman" w:hAnsi="Times New Roman" w:eastAsia="宋体" w:cs="Times New Roman"/>
                <w:bCs/>
                <w:color w:val="auto"/>
                <w:sz w:val="21"/>
                <w:szCs w:val="21"/>
                <w:lang w:val="en-US" w:eastAsia="zh-CN"/>
              </w:rPr>
              <w:t>铅及其化合物</w:t>
            </w:r>
            <w:r>
              <w:rPr>
                <w:rFonts w:hint="eastAsia" w:ascii="Times New Roman" w:hAnsi="Times New Roman" w:eastAsia="宋体" w:cs="Times New Roman"/>
                <w:bCs/>
                <w:color w:val="auto"/>
                <w:sz w:val="21"/>
                <w:szCs w:val="21"/>
                <w:lang w:val="en-US" w:eastAsia="zh-CN"/>
              </w:rPr>
              <w:t>按照6倍折算。</w:t>
            </w:r>
          </w:p>
          <w:p>
            <w:pPr>
              <w:spacing w:line="360"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eastAsia="zh-CN"/>
              </w:rPr>
              <w:t>由上表可知，</w:t>
            </w:r>
            <w:r>
              <w:rPr>
                <w:rFonts w:hint="default" w:ascii="Times New Roman" w:hAnsi="Times New Roman" w:cs="Times New Roman"/>
                <w:color w:val="auto"/>
                <w:sz w:val="24"/>
                <w:szCs w:val="24"/>
                <w:highlight w:val="none"/>
                <w:lang w:val="en-US" w:eastAsia="zh-CN"/>
              </w:rPr>
              <w:t>非甲烷总烃</w:t>
            </w:r>
            <w:r>
              <w:rPr>
                <w:rFonts w:hint="default" w:ascii="Times New Roman" w:hAnsi="Times New Roman" w:cs="Times New Roman"/>
                <w:color w:val="auto"/>
                <w:sz w:val="24"/>
                <w:szCs w:val="24"/>
                <w:highlight w:val="none"/>
                <w:lang w:eastAsia="zh-CN"/>
              </w:rPr>
              <w:t>的1小时平均浓度最大为</w:t>
            </w:r>
            <w:r>
              <w:rPr>
                <w:rFonts w:hint="default" w:ascii="Times New Roman" w:hAnsi="Times New Roman" w:cs="Times New Roman"/>
                <w:color w:val="auto"/>
                <w:sz w:val="24"/>
                <w:szCs w:val="24"/>
                <w:highlight w:val="none"/>
                <w:lang w:val="en-US" w:eastAsia="zh-CN"/>
              </w:rPr>
              <w:t>0.43m</w:t>
            </w:r>
            <w:r>
              <w:rPr>
                <w:rFonts w:hint="default" w:ascii="Times New Roman" w:hAnsi="Times New Roman" w:eastAsia="宋体" w:cs="Times New Roman"/>
                <w:color w:val="auto"/>
                <w:sz w:val="24"/>
                <w:szCs w:val="24"/>
                <w:highlight w:val="none"/>
                <w:lang w:eastAsia="zh-CN"/>
              </w:rPr>
              <w:t>g/m</w:t>
            </w:r>
            <w:r>
              <w:rPr>
                <w:rFonts w:hint="default" w:ascii="Times New Roman" w:hAnsi="Times New Roman" w:eastAsia="宋体" w:cs="Times New Roman"/>
                <w:color w:val="auto"/>
                <w:sz w:val="24"/>
                <w:szCs w:val="24"/>
                <w:highlight w:val="none"/>
                <w:vertAlign w:val="superscript"/>
                <w:lang w:eastAsia="zh-CN"/>
              </w:rPr>
              <w:t>3</w:t>
            </w:r>
            <w:r>
              <w:rPr>
                <w:rFonts w:hint="default" w:ascii="Times New Roman" w:hAnsi="Times New Roman" w:cs="Times New Roman"/>
                <w:color w:val="auto"/>
                <w:sz w:val="24"/>
                <w:szCs w:val="24"/>
                <w:highlight w:val="none"/>
                <w:lang w:eastAsia="zh-CN"/>
              </w:rPr>
              <w:t>，可以满足</w:t>
            </w:r>
            <w:r>
              <w:rPr>
                <w:rFonts w:hint="default" w:ascii="Times New Roman" w:hAnsi="Times New Roman" w:cs="Times New Roman"/>
                <w:color w:val="auto"/>
                <w:sz w:val="24"/>
                <w:szCs w:val="24"/>
                <w:highlight w:val="none"/>
              </w:rPr>
              <w:t>《大气污染物综合排放标准详解》</w:t>
            </w:r>
            <w:r>
              <w:rPr>
                <w:rFonts w:hint="default" w:ascii="Times New Roman" w:hAnsi="Times New Roman" w:cs="Times New Roman"/>
                <w:color w:val="auto"/>
                <w:sz w:val="24"/>
                <w:szCs w:val="24"/>
                <w:highlight w:val="none"/>
                <w:lang w:eastAsia="zh-CN"/>
              </w:rPr>
              <w:t>参考限值</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铅及其化合物未检出，可以满足《环境空气质量标准》（GB3095-2012）及其修改单标准要求</w:t>
            </w:r>
            <w:r>
              <w:rPr>
                <w:rFonts w:hint="default"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2、地表水环境质量现状</w:t>
            </w:r>
          </w:p>
          <w:p>
            <w:pPr>
              <w:widowControl/>
              <w:spacing w:line="360" w:lineRule="auto"/>
              <w:ind w:firstLine="482"/>
              <w:jc w:val="left"/>
              <w:rPr>
                <w:rFonts w:hint="default" w:ascii="Times New Roman" w:hAnsi="Times New Roman" w:cs="Times New Roman"/>
                <w:b w:val="0"/>
                <w:bCs/>
                <w:color w:val="auto"/>
                <w:kern w:val="0"/>
                <w:sz w:val="24"/>
                <w:szCs w:val="24"/>
                <w:highlight w:val="none"/>
                <w:u w:val="none"/>
              </w:rPr>
            </w:pPr>
            <w:r>
              <w:rPr>
                <w:rFonts w:hint="eastAsia" w:ascii="Times New Roman" w:hAnsi="Times New Roman" w:cs="Times New Roman"/>
                <w:color w:val="auto"/>
                <w:sz w:val="24"/>
                <w:szCs w:val="24"/>
                <w:highlight w:val="none"/>
                <w:lang w:val="en-US" w:eastAsia="zh-CN"/>
              </w:rPr>
              <w:t>现有项目产生的废水</w:t>
            </w:r>
            <w:r>
              <w:rPr>
                <w:rFonts w:hint="default" w:ascii="Times New Roman" w:hAnsi="Times New Roman" w:cs="Times New Roman"/>
                <w:color w:val="auto"/>
                <w:sz w:val="24"/>
                <w:szCs w:val="24"/>
                <w:highlight w:val="none"/>
              </w:rPr>
              <w:t>最终排入沱河</w:t>
            </w:r>
            <w:r>
              <w:rPr>
                <w:rFonts w:hint="default" w:ascii="Times New Roman" w:hAnsi="Times New Roman" w:eastAsia="宋体" w:cs="Times New Roman"/>
                <w:b w:val="0"/>
                <w:bCs/>
                <w:color w:val="auto"/>
                <w:sz w:val="24"/>
                <w:szCs w:val="24"/>
                <w:highlight w:val="none"/>
                <w:u w:val="none"/>
                <w:lang w:val="en-US" w:eastAsia="zh-CN"/>
              </w:rPr>
              <w:t>。</w:t>
            </w:r>
            <w:r>
              <w:rPr>
                <w:rFonts w:hint="default" w:ascii="Times New Roman" w:hAnsi="Times New Roman" w:cs="Times New Roman"/>
                <w:b w:val="0"/>
                <w:bCs/>
                <w:color w:val="auto"/>
                <w:sz w:val="24"/>
                <w:szCs w:val="24"/>
                <w:highlight w:val="none"/>
                <w:u w:val="none"/>
                <w:lang w:val="en-US" w:eastAsia="zh-CN"/>
              </w:rPr>
              <w:t>沱河</w:t>
            </w:r>
            <w:r>
              <w:rPr>
                <w:rFonts w:hint="default" w:ascii="Times New Roman" w:hAnsi="Times New Roman" w:eastAsia="宋体" w:cs="Times New Roman"/>
                <w:b w:val="0"/>
                <w:bCs/>
                <w:color w:val="auto"/>
                <w:sz w:val="24"/>
                <w:szCs w:val="24"/>
                <w:highlight w:val="none"/>
                <w:u w:val="none"/>
              </w:rPr>
              <w:t>属淮河流域，规划为IV类标准要求，</w:t>
            </w:r>
            <w:r>
              <w:rPr>
                <w:rFonts w:hint="default" w:ascii="Times New Roman" w:hAnsi="Times New Roman" w:cs="Times New Roman"/>
                <w:b w:val="0"/>
                <w:bCs/>
                <w:color w:val="auto"/>
                <w:spacing w:val="4"/>
                <w:sz w:val="24"/>
                <w:szCs w:val="24"/>
                <w:highlight w:val="none"/>
                <w:u w:val="none"/>
                <w:lang w:val="en-US" w:eastAsia="zh-CN"/>
              </w:rPr>
              <w:t>本次评价直接引用202</w:t>
            </w:r>
            <w:r>
              <w:rPr>
                <w:rFonts w:hint="eastAsia" w:ascii="Times New Roman" w:hAnsi="Times New Roman" w:cs="Times New Roman"/>
                <w:b w:val="0"/>
                <w:bCs/>
                <w:color w:val="auto"/>
                <w:spacing w:val="4"/>
                <w:sz w:val="24"/>
                <w:szCs w:val="24"/>
                <w:highlight w:val="none"/>
                <w:u w:val="none"/>
                <w:lang w:val="en-US" w:eastAsia="zh-CN"/>
              </w:rPr>
              <w:t>4</w:t>
            </w:r>
            <w:r>
              <w:rPr>
                <w:rFonts w:hint="default" w:ascii="Times New Roman" w:hAnsi="Times New Roman" w:cs="Times New Roman"/>
                <w:b w:val="0"/>
                <w:bCs/>
                <w:color w:val="auto"/>
                <w:spacing w:val="4"/>
                <w:sz w:val="24"/>
                <w:szCs w:val="24"/>
                <w:highlight w:val="none"/>
                <w:u w:val="none"/>
                <w:lang w:val="en-US" w:eastAsia="zh-CN"/>
              </w:rPr>
              <w:t>年</w:t>
            </w:r>
            <w:r>
              <w:rPr>
                <w:rFonts w:hint="eastAsia" w:ascii="Times New Roman" w:hAnsi="Times New Roman" w:cs="Times New Roman"/>
                <w:b w:val="0"/>
                <w:bCs/>
                <w:color w:val="auto"/>
                <w:spacing w:val="4"/>
                <w:sz w:val="24"/>
                <w:szCs w:val="24"/>
                <w:highlight w:val="none"/>
                <w:u w:val="none"/>
                <w:lang w:val="en-US" w:eastAsia="zh-CN"/>
              </w:rPr>
              <w:t>2</w:t>
            </w:r>
            <w:r>
              <w:rPr>
                <w:rFonts w:hint="default" w:ascii="Times New Roman" w:hAnsi="Times New Roman" w:cs="Times New Roman"/>
                <w:b w:val="0"/>
                <w:bCs/>
                <w:color w:val="auto"/>
                <w:spacing w:val="4"/>
                <w:sz w:val="24"/>
                <w:szCs w:val="24"/>
                <w:highlight w:val="none"/>
                <w:u w:val="none"/>
                <w:lang w:val="en-US" w:eastAsia="zh-CN"/>
              </w:rPr>
              <w:t>月</w:t>
            </w:r>
            <w:r>
              <w:rPr>
                <w:rFonts w:hint="default" w:ascii="Times New Roman" w:hAnsi="Times New Roman" w:cs="Times New Roman"/>
                <w:b w:val="0"/>
                <w:bCs/>
                <w:color w:val="auto"/>
                <w:spacing w:val="4"/>
                <w:sz w:val="24"/>
                <w:szCs w:val="24"/>
                <w:u w:val="none"/>
                <w:lang w:val="en-US" w:eastAsia="zh-CN"/>
              </w:rPr>
              <w:t>沱河小王桥断面的监测结果，监测数据统计结果见</w:t>
            </w:r>
            <w:r>
              <w:rPr>
                <w:rFonts w:hint="eastAsia" w:ascii="Times New Roman" w:hAnsi="Times New Roman" w:cs="Times New Roman"/>
                <w:b w:val="0"/>
                <w:bCs/>
                <w:color w:val="auto"/>
                <w:spacing w:val="4"/>
                <w:sz w:val="24"/>
                <w:szCs w:val="24"/>
                <w:u w:val="none"/>
                <w:lang w:val="en-US" w:eastAsia="zh-CN"/>
              </w:rPr>
              <w:t>下</w:t>
            </w:r>
            <w:r>
              <w:rPr>
                <w:rFonts w:hint="default" w:ascii="Times New Roman" w:hAnsi="Times New Roman" w:cs="Times New Roman"/>
                <w:b w:val="0"/>
                <w:bCs/>
                <w:color w:val="auto"/>
                <w:spacing w:val="4"/>
                <w:sz w:val="24"/>
                <w:szCs w:val="24"/>
                <w:u w:val="none"/>
                <w:lang w:val="en-US" w:eastAsia="zh-CN"/>
              </w:rPr>
              <w:t>表。</w:t>
            </w:r>
          </w:p>
          <w:p>
            <w:pPr>
              <w:pStyle w:val="2"/>
              <w:bidi w:val="0"/>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地表水环境质量监测结果统计一览表   单位:mg/L(pH除外)</w:t>
            </w:r>
          </w:p>
          <w:tbl>
            <w:tblPr>
              <w:tblStyle w:val="27"/>
              <w:tblW w:w="7818" w:type="dxa"/>
              <w:tblInd w:w="1"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037"/>
              <w:gridCol w:w="1650"/>
              <w:gridCol w:w="1665"/>
              <w:gridCol w:w="1032"/>
              <w:gridCol w:w="143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7" w:hRule="atLeast"/>
              </w:trPr>
              <w:tc>
                <w:tcPr>
                  <w:tcW w:w="3687" w:type="dxa"/>
                  <w:gridSpan w:val="2"/>
                  <w:tcBorders>
                    <w:top w:val="single" w:color="auto" w:sz="6" w:space="0"/>
                    <w:left w:val="single" w:color="auto" w:sz="6" w:space="0"/>
                    <w:bottom w:val="single" w:color="auto" w:sz="6" w:space="0"/>
                  </w:tcBorders>
                  <w:noWrap w:val="0"/>
                  <w:vAlign w:val="center"/>
                </w:tcPr>
                <w:p>
                  <w:pPr>
                    <w:widowControl/>
                    <w:jc w:val="center"/>
                    <w:rPr>
                      <w:rFonts w:hint="default" w:ascii="Times New Roman" w:hAnsi="Times New Roman" w:cs="Times New Roman"/>
                      <w:b w:val="0"/>
                      <w:bCs/>
                      <w:color w:val="auto"/>
                      <w:kern w:val="0"/>
                      <w:sz w:val="21"/>
                      <w:szCs w:val="21"/>
                      <w:highlight w:val="none"/>
                      <w:u w:val="none"/>
                    </w:rPr>
                  </w:pPr>
                  <w:r>
                    <w:rPr>
                      <w:rFonts w:hint="default" w:ascii="Times New Roman" w:hAnsi="Times New Roman" w:cs="Times New Roman"/>
                      <w:b w:val="0"/>
                      <w:bCs/>
                      <w:color w:val="auto"/>
                      <w:kern w:val="0"/>
                      <w:sz w:val="21"/>
                      <w:szCs w:val="21"/>
                      <w:highlight w:val="none"/>
                      <w:u w:val="none"/>
                    </w:rPr>
                    <w:t>监测点位</w:t>
                  </w:r>
                </w:p>
              </w:tc>
              <w:tc>
                <w:tcPr>
                  <w:tcW w:w="1665" w:type="dxa"/>
                  <w:tcBorders>
                    <w:top w:val="single" w:color="auto" w:sz="6" w:space="0"/>
                    <w:bottom w:val="single" w:color="auto" w:sz="6" w:space="0"/>
                  </w:tcBorders>
                  <w:noWrap w:val="0"/>
                  <w:vAlign w:val="center"/>
                </w:tcPr>
                <w:p>
                  <w:pPr>
                    <w:widowControl/>
                    <w:jc w:val="center"/>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kern w:val="0"/>
                      <w:sz w:val="21"/>
                      <w:szCs w:val="21"/>
                      <w:highlight w:val="none"/>
                      <w:u w:val="none"/>
                      <w:lang w:val="en-US" w:eastAsia="zh-CN"/>
                    </w:rPr>
                    <w:t>高锰酸盐指数</w:t>
                  </w:r>
                </w:p>
              </w:tc>
              <w:tc>
                <w:tcPr>
                  <w:tcW w:w="1032" w:type="dxa"/>
                  <w:tcBorders>
                    <w:top w:val="single" w:color="auto" w:sz="6" w:space="0"/>
                    <w:bottom w:val="single" w:color="auto" w:sz="6" w:space="0"/>
                    <w:right w:val="single" w:color="auto" w:sz="4" w:space="0"/>
                  </w:tcBorders>
                  <w:noWrap w:val="0"/>
                  <w:vAlign w:val="center"/>
                </w:tcPr>
                <w:p>
                  <w:pPr>
                    <w:widowControl/>
                    <w:jc w:val="center"/>
                    <w:rPr>
                      <w:rFonts w:hint="default" w:ascii="Times New Roman" w:hAnsi="Times New Roman" w:cs="Times New Roman"/>
                      <w:b w:val="0"/>
                      <w:bCs/>
                      <w:color w:val="auto"/>
                      <w:kern w:val="0"/>
                      <w:sz w:val="21"/>
                      <w:szCs w:val="21"/>
                      <w:highlight w:val="none"/>
                      <w:u w:val="none"/>
                    </w:rPr>
                  </w:pPr>
                  <w:r>
                    <w:rPr>
                      <w:rFonts w:hint="default" w:ascii="Times New Roman" w:hAnsi="Times New Roman" w:cs="Times New Roman"/>
                      <w:b w:val="0"/>
                      <w:bCs/>
                      <w:color w:val="auto"/>
                      <w:kern w:val="0"/>
                      <w:sz w:val="21"/>
                      <w:szCs w:val="21"/>
                      <w:highlight w:val="none"/>
                      <w:u w:val="none"/>
                    </w:rPr>
                    <w:t>NH</w:t>
                  </w:r>
                  <w:r>
                    <w:rPr>
                      <w:rFonts w:hint="default" w:ascii="Times New Roman" w:hAnsi="Times New Roman" w:cs="Times New Roman"/>
                      <w:b w:val="0"/>
                      <w:bCs/>
                      <w:color w:val="auto"/>
                      <w:kern w:val="0"/>
                      <w:sz w:val="21"/>
                      <w:szCs w:val="21"/>
                      <w:highlight w:val="none"/>
                      <w:u w:val="none"/>
                      <w:vertAlign w:val="subscript"/>
                    </w:rPr>
                    <w:t>3</w:t>
                  </w:r>
                  <w:r>
                    <w:rPr>
                      <w:rFonts w:hint="default" w:ascii="Times New Roman" w:hAnsi="Times New Roman" w:cs="Times New Roman"/>
                      <w:b w:val="0"/>
                      <w:bCs/>
                      <w:color w:val="auto"/>
                      <w:kern w:val="0"/>
                      <w:sz w:val="21"/>
                      <w:szCs w:val="21"/>
                      <w:highlight w:val="none"/>
                      <w:u w:val="none"/>
                    </w:rPr>
                    <w:t>-N</w:t>
                  </w:r>
                </w:p>
              </w:tc>
              <w:tc>
                <w:tcPr>
                  <w:tcW w:w="1434"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default" w:ascii="Times New Roman" w:hAnsi="Times New Roman" w:cs="Times New Roman"/>
                      <w:b w:val="0"/>
                      <w:bCs/>
                      <w:color w:val="auto"/>
                      <w:kern w:val="0"/>
                      <w:sz w:val="21"/>
                      <w:szCs w:val="21"/>
                      <w:highlight w:val="none"/>
                      <w:u w:val="none"/>
                    </w:rPr>
                  </w:pPr>
                  <w:r>
                    <w:rPr>
                      <w:rFonts w:hint="default" w:ascii="Times New Roman" w:hAnsi="Times New Roman" w:cs="Times New Roman"/>
                      <w:b w:val="0"/>
                      <w:bCs/>
                      <w:color w:val="auto"/>
                      <w:kern w:val="0"/>
                      <w:sz w:val="21"/>
                      <w:szCs w:val="21"/>
                      <w:highlight w:val="none"/>
                      <w:u w:val="none"/>
                    </w:rPr>
                    <w:t>总磷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7" w:hRule="atLeast"/>
              </w:trPr>
              <w:tc>
                <w:tcPr>
                  <w:tcW w:w="2037" w:type="dxa"/>
                  <w:tcBorders>
                    <w:top w:val="single" w:color="auto" w:sz="6" w:space="0"/>
                    <w:left w:val="single" w:color="auto" w:sz="6" w:space="0"/>
                    <w:bottom w:val="single" w:color="auto" w:sz="6" w:space="0"/>
                  </w:tcBorders>
                  <w:noWrap w:val="0"/>
                  <w:vAlign w:val="center"/>
                </w:tcPr>
                <w:p>
                  <w:pPr>
                    <w:widowControl/>
                    <w:jc w:val="center"/>
                    <w:rPr>
                      <w:rFonts w:hint="default" w:ascii="Times New Roman" w:hAnsi="Times New Roman" w:cs="Times New Roman"/>
                      <w:b w:val="0"/>
                      <w:bCs/>
                      <w:color w:val="auto"/>
                      <w:kern w:val="0"/>
                      <w:sz w:val="21"/>
                      <w:szCs w:val="21"/>
                      <w:highlight w:val="none"/>
                      <w:u w:val="none"/>
                      <w:lang w:val="en-US"/>
                    </w:rPr>
                  </w:pPr>
                  <w:r>
                    <w:rPr>
                      <w:rFonts w:hint="default" w:ascii="Times New Roman" w:hAnsi="Times New Roman" w:cs="Times New Roman"/>
                      <w:b w:val="0"/>
                      <w:bCs/>
                      <w:color w:val="auto"/>
                      <w:spacing w:val="4"/>
                      <w:sz w:val="21"/>
                      <w:szCs w:val="21"/>
                      <w:u w:val="none"/>
                      <w:lang w:val="en-US" w:eastAsia="zh-CN"/>
                    </w:rPr>
                    <w:t>小王桥</w:t>
                  </w:r>
                </w:p>
              </w:tc>
              <w:tc>
                <w:tcPr>
                  <w:tcW w:w="1650" w:type="dxa"/>
                  <w:tcBorders>
                    <w:top w:val="single" w:color="auto" w:sz="6" w:space="0"/>
                  </w:tcBorders>
                  <w:noWrap w:val="0"/>
                  <w:vAlign w:val="center"/>
                </w:tcPr>
                <w:p>
                  <w:pPr>
                    <w:widowControl/>
                    <w:jc w:val="center"/>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kern w:val="0"/>
                      <w:sz w:val="21"/>
                      <w:szCs w:val="21"/>
                      <w:highlight w:val="none"/>
                      <w:u w:val="none"/>
                    </w:rPr>
                    <w:t>20</w:t>
                  </w:r>
                  <w:r>
                    <w:rPr>
                      <w:rFonts w:hint="default" w:ascii="Times New Roman" w:hAnsi="Times New Roman" w:cs="Times New Roman"/>
                      <w:b w:val="0"/>
                      <w:bCs/>
                      <w:color w:val="auto"/>
                      <w:kern w:val="0"/>
                      <w:sz w:val="21"/>
                      <w:szCs w:val="21"/>
                      <w:highlight w:val="none"/>
                      <w:u w:val="none"/>
                      <w:lang w:val="en-US" w:eastAsia="zh-CN"/>
                    </w:rPr>
                    <w:t>2</w:t>
                  </w:r>
                  <w:r>
                    <w:rPr>
                      <w:rFonts w:hint="eastAsia" w:ascii="Times New Roman" w:hAnsi="Times New Roman" w:cs="Times New Roman"/>
                      <w:b w:val="0"/>
                      <w:bCs/>
                      <w:color w:val="auto"/>
                      <w:kern w:val="0"/>
                      <w:sz w:val="21"/>
                      <w:szCs w:val="21"/>
                      <w:highlight w:val="none"/>
                      <w:u w:val="none"/>
                      <w:lang w:val="en-US" w:eastAsia="zh-CN"/>
                    </w:rPr>
                    <w:t>4</w:t>
                  </w:r>
                  <w:r>
                    <w:rPr>
                      <w:rFonts w:hint="default" w:ascii="Times New Roman" w:hAnsi="Times New Roman" w:cs="Times New Roman"/>
                      <w:b w:val="0"/>
                      <w:bCs/>
                      <w:color w:val="auto"/>
                      <w:kern w:val="0"/>
                      <w:sz w:val="21"/>
                      <w:szCs w:val="21"/>
                      <w:highlight w:val="none"/>
                      <w:u w:val="none"/>
                    </w:rPr>
                    <w:t>年</w:t>
                  </w:r>
                  <w:r>
                    <w:rPr>
                      <w:rFonts w:hint="eastAsia" w:ascii="Times New Roman" w:hAnsi="Times New Roman" w:cs="Times New Roman"/>
                      <w:b w:val="0"/>
                      <w:bCs/>
                      <w:color w:val="auto"/>
                      <w:kern w:val="0"/>
                      <w:sz w:val="21"/>
                      <w:szCs w:val="21"/>
                      <w:highlight w:val="none"/>
                      <w:u w:val="none"/>
                      <w:lang w:val="en-US" w:eastAsia="zh-CN"/>
                    </w:rPr>
                    <w:t>2</w:t>
                  </w:r>
                  <w:r>
                    <w:rPr>
                      <w:rFonts w:hint="default" w:ascii="Times New Roman" w:hAnsi="Times New Roman" w:cs="Times New Roman"/>
                      <w:b w:val="0"/>
                      <w:bCs/>
                      <w:color w:val="auto"/>
                      <w:kern w:val="0"/>
                      <w:sz w:val="21"/>
                      <w:szCs w:val="21"/>
                      <w:highlight w:val="none"/>
                      <w:u w:val="none"/>
                      <w:lang w:val="en-US" w:eastAsia="zh-CN"/>
                    </w:rPr>
                    <w:t>月</w:t>
                  </w:r>
                </w:p>
              </w:tc>
              <w:tc>
                <w:tcPr>
                  <w:tcW w:w="1665" w:type="dxa"/>
                  <w:tcBorders>
                    <w:top w:val="single" w:color="auto" w:sz="6" w:space="0"/>
                  </w:tcBorders>
                  <w:noWrap w:val="0"/>
                  <w:vAlign w:val="center"/>
                </w:tcPr>
                <w:p>
                  <w:pPr>
                    <w:jc w:val="center"/>
                    <w:rPr>
                      <w:rFonts w:hint="default" w:ascii="Times New Roman" w:hAnsi="Times New Roman" w:eastAsia="宋体" w:cs="Times New Roman"/>
                      <w:b w:val="0"/>
                      <w:bCs/>
                      <w:color w:val="auto"/>
                      <w:kern w:val="0"/>
                      <w:sz w:val="21"/>
                      <w:szCs w:val="21"/>
                      <w:highlight w:val="none"/>
                      <w:u w:val="none"/>
                      <w:lang w:val="en-US" w:eastAsia="zh-CN"/>
                    </w:rPr>
                  </w:pPr>
                  <w:r>
                    <w:rPr>
                      <w:rFonts w:hint="eastAsia" w:ascii="Times New Roman" w:hAnsi="Times New Roman" w:cs="Times New Roman"/>
                      <w:b w:val="0"/>
                      <w:bCs/>
                      <w:color w:val="auto"/>
                      <w:sz w:val="21"/>
                      <w:szCs w:val="21"/>
                      <w:u w:val="none"/>
                      <w:lang w:val="en-US" w:eastAsia="zh-CN"/>
                    </w:rPr>
                    <w:t>3.9</w:t>
                  </w:r>
                </w:p>
              </w:tc>
              <w:tc>
                <w:tcPr>
                  <w:tcW w:w="1032" w:type="dxa"/>
                  <w:tcBorders>
                    <w:top w:val="single" w:color="auto" w:sz="6" w:space="0"/>
                    <w:right w:val="single" w:color="auto" w:sz="4" w:space="0"/>
                  </w:tcBorders>
                  <w:noWrap w:val="0"/>
                  <w:vAlign w:val="center"/>
                </w:tcPr>
                <w:p>
                  <w:pPr>
                    <w:jc w:val="center"/>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sz w:val="21"/>
                      <w:szCs w:val="21"/>
                      <w:u w:val="none"/>
                    </w:rPr>
                    <w:t>0.</w:t>
                  </w:r>
                  <w:r>
                    <w:rPr>
                      <w:rFonts w:hint="eastAsia" w:ascii="Times New Roman" w:hAnsi="Times New Roman" w:cs="Times New Roman"/>
                      <w:b w:val="0"/>
                      <w:bCs/>
                      <w:color w:val="auto"/>
                      <w:sz w:val="21"/>
                      <w:szCs w:val="21"/>
                      <w:u w:val="none"/>
                      <w:lang w:val="en-US" w:eastAsia="zh-CN"/>
                    </w:rPr>
                    <w:t>22</w:t>
                  </w:r>
                </w:p>
              </w:tc>
              <w:tc>
                <w:tcPr>
                  <w:tcW w:w="1434"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sz w:val="21"/>
                      <w:szCs w:val="21"/>
                      <w:u w:val="none"/>
                    </w:rPr>
                    <w:t>0.</w:t>
                  </w:r>
                  <w:r>
                    <w:rPr>
                      <w:rFonts w:hint="eastAsia" w:ascii="Times New Roman" w:hAnsi="Times New Roman" w:cs="Times New Roman"/>
                      <w:b w:val="0"/>
                      <w:bCs/>
                      <w:color w:val="auto"/>
                      <w:sz w:val="21"/>
                      <w:szCs w:val="21"/>
                      <w:u w:val="none"/>
                      <w:lang w:val="en-US" w:eastAsia="zh-CN"/>
                    </w:rPr>
                    <w:t>09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3687" w:type="dxa"/>
                  <w:gridSpan w:val="2"/>
                  <w:tcBorders>
                    <w:top w:val="single" w:color="auto" w:sz="6" w:space="0"/>
                    <w:left w:val="single" w:color="auto" w:sz="6" w:space="0"/>
                    <w:bottom w:val="single" w:color="auto" w:sz="6" w:space="0"/>
                  </w:tcBorders>
                  <w:noWrap w:val="0"/>
                  <w:vAlign w:val="center"/>
                </w:tcPr>
                <w:p>
                  <w:pPr>
                    <w:widowControl/>
                    <w:jc w:val="center"/>
                    <w:rPr>
                      <w:rFonts w:hint="default" w:ascii="Times New Roman" w:hAnsi="Times New Roman" w:cs="Times New Roman"/>
                      <w:b w:val="0"/>
                      <w:bCs/>
                      <w:color w:val="auto"/>
                      <w:kern w:val="0"/>
                      <w:sz w:val="21"/>
                      <w:szCs w:val="21"/>
                      <w:u w:val="none"/>
                    </w:rPr>
                  </w:pPr>
                  <w:r>
                    <w:rPr>
                      <w:rFonts w:hint="default" w:ascii="Times New Roman" w:hAnsi="Times New Roman" w:cs="Times New Roman"/>
                      <w:b w:val="0"/>
                      <w:bCs/>
                      <w:color w:val="auto"/>
                      <w:kern w:val="0"/>
                      <w:sz w:val="21"/>
                      <w:szCs w:val="21"/>
                      <w:u w:val="none"/>
                    </w:rPr>
                    <w:t>标准值</w:t>
                  </w:r>
                </w:p>
              </w:tc>
              <w:tc>
                <w:tcPr>
                  <w:tcW w:w="1665" w:type="dxa"/>
                  <w:tcBorders>
                    <w:top w:val="single" w:color="auto" w:sz="6" w:space="0"/>
                    <w:bottom w:val="single" w:color="auto" w:sz="6" w:space="0"/>
                  </w:tcBorders>
                  <w:noWrap w:val="0"/>
                  <w:vAlign w:val="center"/>
                </w:tcPr>
                <w:p>
                  <w:pPr>
                    <w:widowControl/>
                    <w:jc w:val="center"/>
                    <w:rPr>
                      <w:rFonts w:hint="default" w:ascii="Times New Roman" w:hAnsi="Times New Roman" w:cs="Times New Roman"/>
                      <w:b w:val="0"/>
                      <w:bCs/>
                      <w:color w:val="auto"/>
                      <w:kern w:val="0"/>
                      <w:sz w:val="21"/>
                      <w:szCs w:val="21"/>
                      <w:u w:val="none"/>
                    </w:rPr>
                  </w:pPr>
                  <w:r>
                    <w:rPr>
                      <w:rFonts w:hint="default" w:ascii="Times New Roman" w:hAnsi="Times New Roman" w:cs="Times New Roman"/>
                      <w:b w:val="0"/>
                      <w:bCs/>
                      <w:color w:val="auto"/>
                      <w:kern w:val="0"/>
                      <w:sz w:val="21"/>
                      <w:szCs w:val="21"/>
                      <w:u w:val="none"/>
                      <w:lang w:val="en-US" w:eastAsia="zh-CN"/>
                    </w:rPr>
                    <w:t>1</w:t>
                  </w:r>
                  <w:r>
                    <w:rPr>
                      <w:rFonts w:hint="default" w:ascii="Times New Roman" w:hAnsi="Times New Roman" w:cs="Times New Roman"/>
                      <w:b w:val="0"/>
                      <w:bCs/>
                      <w:color w:val="auto"/>
                      <w:kern w:val="0"/>
                      <w:sz w:val="21"/>
                      <w:szCs w:val="21"/>
                      <w:u w:val="none"/>
                    </w:rPr>
                    <w:t>0</w:t>
                  </w:r>
                </w:p>
              </w:tc>
              <w:tc>
                <w:tcPr>
                  <w:tcW w:w="1032" w:type="dxa"/>
                  <w:tcBorders>
                    <w:top w:val="single" w:color="auto" w:sz="6" w:space="0"/>
                    <w:bottom w:val="single" w:color="auto" w:sz="6"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21"/>
                      <w:szCs w:val="21"/>
                      <w:u w:val="none"/>
                      <w:lang w:val="en-US" w:eastAsia="zh-CN"/>
                    </w:rPr>
                  </w:pPr>
                  <w:r>
                    <w:rPr>
                      <w:rFonts w:hint="default" w:ascii="Times New Roman" w:hAnsi="Times New Roman" w:cs="Times New Roman"/>
                      <w:b w:val="0"/>
                      <w:bCs/>
                      <w:color w:val="auto"/>
                      <w:kern w:val="0"/>
                      <w:sz w:val="21"/>
                      <w:szCs w:val="21"/>
                      <w:u w:val="none"/>
                      <w:lang w:val="en-US" w:eastAsia="zh-CN"/>
                    </w:rPr>
                    <w:t>1.5</w:t>
                  </w:r>
                </w:p>
              </w:tc>
              <w:tc>
                <w:tcPr>
                  <w:tcW w:w="1434"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21"/>
                      <w:szCs w:val="21"/>
                      <w:u w:val="none"/>
                      <w:lang w:eastAsia="zh-CN"/>
                    </w:rPr>
                  </w:pPr>
                  <w:r>
                    <w:rPr>
                      <w:rFonts w:hint="default" w:ascii="Times New Roman" w:hAnsi="Times New Roman" w:cs="Times New Roman"/>
                      <w:b w:val="0"/>
                      <w:bCs/>
                      <w:color w:val="auto"/>
                      <w:kern w:val="0"/>
                      <w:sz w:val="21"/>
                      <w:szCs w:val="21"/>
                      <w:u w:val="none"/>
                    </w:rPr>
                    <w:t>0.</w:t>
                  </w:r>
                  <w:r>
                    <w:rPr>
                      <w:rFonts w:hint="default" w:ascii="Times New Roman" w:hAnsi="Times New Roman" w:cs="Times New Roman"/>
                      <w:b w:val="0"/>
                      <w:bCs/>
                      <w:color w:val="auto"/>
                      <w:kern w:val="0"/>
                      <w:sz w:val="21"/>
                      <w:szCs w:val="21"/>
                      <w:u w:val="none"/>
                      <w:lang w:val="en-US" w:eastAsia="zh-CN"/>
                    </w:rPr>
                    <w:t>3</w:t>
                  </w:r>
                </w:p>
              </w:tc>
            </w:tr>
          </w:tbl>
          <w:p>
            <w:pPr>
              <w:spacing w:line="360" w:lineRule="auto"/>
              <w:ind w:firstLine="448" w:firstLineChars="187"/>
              <w:rPr>
                <w:rFonts w:hint="default" w:ascii="Times New Roman" w:hAnsi="Times New Roman" w:eastAsia="宋体" w:cs="Times New Roman"/>
                <w:b w:val="0"/>
                <w:bCs/>
                <w:color w:val="auto"/>
                <w:sz w:val="24"/>
                <w:szCs w:val="24"/>
                <w:u w:val="none"/>
                <w:lang w:val="en-US" w:eastAsia="zh-CN"/>
              </w:rPr>
            </w:pPr>
            <w:r>
              <w:rPr>
                <w:rFonts w:hint="default" w:ascii="Times New Roman" w:hAnsi="Times New Roman" w:cs="Times New Roman"/>
                <w:b w:val="0"/>
                <w:bCs/>
                <w:color w:val="auto"/>
                <w:sz w:val="24"/>
                <w:szCs w:val="24"/>
                <w:u w:val="none"/>
              </w:rPr>
              <w:t>由上述统计结果可知，</w:t>
            </w:r>
            <w:r>
              <w:rPr>
                <w:rFonts w:hint="default" w:ascii="Times New Roman" w:hAnsi="Times New Roman" w:cs="Times New Roman"/>
                <w:b w:val="0"/>
                <w:bCs/>
                <w:color w:val="auto"/>
                <w:sz w:val="24"/>
                <w:szCs w:val="24"/>
                <w:u w:val="none"/>
                <w:lang w:val="en-US" w:eastAsia="zh-CN"/>
              </w:rPr>
              <w:t>沱河</w:t>
            </w:r>
            <w:r>
              <w:rPr>
                <w:rFonts w:hint="default" w:ascii="Times New Roman" w:hAnsi="Times New Roman" w:cs="Times New Roman"/>
                <w:b w:val="0"/>
                <w:bCs/>
                <w:color w:val="auto"/>
                <w:sz w:val="24"/>
                <w:szCs w:val="24"/>
                <w:u w:val="none"/>
              </w:rPr>
              <w:t>水质满足《地表水环境质量标准》（GB3838－2002）</w:t>
            </w:r>
            <w:r>
              <w:rPr>
                <w:rFonts w:hint="default" w:ascii="Times New Roman" w:hAnsi="Times New Roman" w:cs="Times New Roman"/>
                <w:b w:val="0"/>
                <w:bCs/>
                <w:color w:val="auto"/>
                <w:sz w:val="24"/>
                <w:szCs w:val="24"/>
                <w:highlight w:val="none"/>
                <w:u w:val="none"/>
              </w:rPr>
              <w:t>IV</w:t>
            </w:r>
            <w:r>
              <w:rPr>
                <w:rFonts w:hint="default" w:ascii="Times New Roman" w:hAnsi="Times New Roman" w:cs="Times New Roman"/>
                <w:b w:val="0"/>
                <w:bCs/>
                <w:color w:val="auto"/>
                <w:sz w:val="24"/>
                <w:szCs w:val="24"/>
                <w:u w:val="none"/>
              </w:rPr>
              <w:t>类标准</w:t>
            </w:r>
            <w:r>
              <w:rPr>
                <w:rFonts w:hint="default" w:ascii="Times New Roman" w:hAnsi="Times New Roman" w:cs="Times New Roman"/>
                <w:b w:val="0"/>
                <w:bCs/>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u w:val="none"/>
                <w:vertAlign w:val="baseline"/>
                <w:lang w:val="en-US" w:eastAsia="zh-CN"/>
              </w:rPr>
            </w:pPr>
            <w:r>
              <w:rPr>
                <w:rFonts w:hint="default" w:ascii="Times New Roman" w:hAnsi="Times New Roman" w:eastAsia="宋体" w:cs="Times New Roman"/>
                <w:b/>
                <w:bCs/>
                <w:color w:val="auto"/>
                <w:sz w:val="24"/>
                <w:szCs w:val="24"/>
                <w:highlight w:val="none"/>
                <w:u w:val="none"/>
                <w:vertAlign w:val="baseline"/>
                <w:lang w:val="en-US" w:eastAsia="zh-CN"/>
              </w:rPr>
              <w:t>3、地下水环境质量现状</w:t>
            </w:r>
          </w:p>
          <w:p>
            <w:pPr>
              <w:spacing w:line="480" w:lineRule="exact"/>
              <w:ind w:firstLine="480" w:firstLineChars="200"/>
              <w:rPr>
                <w:rFonts w:ascii="Times New Roman" w:hAnsi="Times New Roman"/>
                <w:bCs/>
                <w:sz w:val="24"/>
              </w:rPr>
            </w:pPr>
            <w:r>
              <w:rPr>
                <w:rFonts w:hint="eastAsia" w:ascii="Times New Roman" w:hAnsi="Times New Roman"/>
                <w:bCs/>
                <w:sz w:val="24"/>
              </w:rPr>
              <w:t>根据《环境影响评价技术导则-地下水环境》（HJ610-2016）附录A“地下水环境影响评价行业分类表”，项目属于“H有色技术，50、压延加工”中的“全部”，属于地下水环境评价IV类项目，IV类项目不开展地下水环境影响评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4、</w:t>
            </w:r>
            <w:r>
              <w:rPr>
                <w:rFonts w:hint="default" w:ascii="Times New Roman" w:hAnsi="Times New Roman" w:eastAsia="宋体" w:cs="Times New Roman"/>
                <w:b/>
                <w:bCs/>
                <w:color w:val="auto"/>
                <w:sz w:val="24"/>
                <w:szCs w:val="24"/>
                <w:vertAlign w:val="baseline"/>
                <w:lang w:val="en-US" w:eastAsia="zh-CN"/>
              </w:rPr>
              <w:t>声环境质量现状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highlight w:val="none"/>
              </w:rPr>
              <w:t>本项目厂界外50m范围内不存在声环境敏感目标，不进行声环境现状评价</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5、土壤环境质量现状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eastAsia" w:ascii="Times New Roman" w:hAnsi="Times New Roman" w:cs="Times New Roman"/>
                <w:b w:val="0"/>
                <w:bCs w:val="0"/>
                <w:color w:val="auto"/>
                <w:sz w:val="24"/>
                <w:szCs w:val="24"/>
                <w:highlight w:val="none"/>
                <w:lang w:val="en-US" w:eastAsia="zh-CN"/>
              </w:rPr>
              <w:t>本次土壤质量现状引用</w:t>
            </w:r>
            <w:r>
              <w:rPr>
                <w:rFonts w:hint="default" w:ascii="Times New Roman" w:hAnsi="Times New Roman" w:cs="Times New Roman"/>
                <w:b w:val="0"/>
                <w:bCs w:val="0"/>
                <w:color w:val="auto"/>
                <w:sz w:val="24"/>
                <w:szCs w:val="24"/>
                <w:highlight w:val="none"/>
                <w:lang w:val="en-US" w:eastAsia="zh-CN"/>
              </w:rPr>
              <w:t>青岛康环</w:t>
            </w:r>
            <w:r>
              <w:rPr>
                <w:rFonts w:hint="default" w:ascii="Times New Roman" w:hAnsi="Times New Roman" w:eastAsia="宋体" w:cs="Times New Roman"/>
                <w:b w:val="0"/>
                <w:bCs w:val="0"/>
                <w:color w:val="auto"/>
                <w:sz w:val="24"/>
                <w:szCs w:val="24"/>
                <w:highlight w:val="none"/>
                <w:lang w:val="en-US" w:eastAsia="zh-CN"/>
              </w:rPr>
              <w:t>检测科技有限公司于20</w:t>
            </w:r>
            <w:r>
              <w:rPr>
                <w:rFonts w:hint="default" w:ascii="Times New Roman" w:hAnsi="Times New Roman" w:cs="Times New Roman"/>
                <w:b w:val="0"/>
                <w:bCs w:val="0"/>
                <w:color w:val="auto"/>
                <w:sz w:val="24"/>
                <w:szCs w:val="24"/>
                <w:highlight w:val="none"/>
                <w:lang w:val="en-US" w:eastAsia="zh-CN"/>
              </w:rPr>
              <w:t>21</w:t>
            </w:r>
            <w:r>
              <w:rPr>
                <w:rFonts w:hint="default" w:ascii="Times New Roman" w:hAnsi="Times New Roman" w:eastAsia="宋体" w:cs="Times New Roman"/>
                <w:b w:val="0"/>
                <w:bCs w:val="0"/>
                <w:color w:val="auto"/>
                <w:sz w:val="24"/>
                <w:szCs w:val="24"/>
                <w:highlight w:val="none"/>
                <w:lang w:val="en-US" w:eastAsia="zh-CN"/>
              </w:rPr>
              <w:t>年1</w:t>
            </w:r>
            <w:r>
              <w:rPr>
                <w:rFonts w:hint="eastAsia" w:ascii="Times New Roman" w:hAnsi="Times New Roman"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月</w:t>
            </w:r>
            <w:r>
              <w:rPr>
                <w:rFonts w:hint="default" w:ascii="Times New Roman" w:hAnsi="Times New Roman" w:cs="Times New Roman"/>
                <w:b w:val="0"/>
                <w:bCs w:val="0"/>
                <w:color w:val="auto"/>
                <w:sz w:val="24"/>
                <w:szCs w:val="24"/>
                <w:highlight w:val="none"/>
                <w:lang w:val="en-US" w:eastAsia="zh-CN"/>
              </w:rPr>
              <w:t>1</w:t>
            </w:r>
            <w:r>
              <w:rPr>
                <w:rFonts w:hint="eastAsia" w:ascii="Times New Roman" w:hAnsi="Times New Roman" w:cs="Times New Roman"/>
                <w:b w:val="0"/>
                <w:bCs w:val="0"/>
                <w:color w:val="auto"/>
                <w:sz w:val="24"/>
                <w:szCs w:val="24"/>
                <w:highlight w:val="none"/>
                <w:lang w:val="en-US" w:eastAsia="zh-CN"/>
              </w:rPr>
              <w:t>6</w:t>
            </w:r>
            <w:r>
              <w:rPr>
                <w:rFonts w:hint="default" w:ascii="Times New Roman" w:hAnsi="Times New Roman" w:eastAsia="宋体" w:cs="Times New Roman"/>
                <w:b w:val="0"/>
                <w:bCs w:val="0"/>
                <w:color w:val="auto"/>
                <w:sz w:val="24"/>
                <w:szCs w:val="24"/>
                <w:highlight w:val="none"/>
                <w:lang w:val="en-US" w:eastAsia="zh-CN"/>
              </w:rPr>
              <w:t>日对本厂区土壤表层样进行</w:t>
            </w:r>
            <w:r>
              <w:rPr>
                <w:rFonts w:hint="eastAsia" w:ascii="Times New Roman" w:hAnsi="Times New Roman" w:eastAsia="宋体" w:cs="Times New Roman"/>
                <w:b w:val="0"/>
                <w:bCs w:val="0"/>
                <w:color w:val="auto"/>
                <w:sz w:val="24"/>
                <w:szCs w:val="24"/>
                <w:highlight w:val="none"/>
                <w:lang w:val="en-US" w:eastAsia="zh-CN"/>
              </w:rPr>
              <w:t>的</w:t>
            </w:r>
            <w:r>
              <w:rPr>
                <w:rFonts w:hint="default" w:ascii="Times New Roman" w:hAnsi="Times New Roman" w:eastAsia="宋体" w:cs="Times New Roman"/>
                <w:b w:val="0"/>
                <w:bCs w:val="0"/>
                <w:color w:val="auto"/>
                <w:sz w:val="24"/>
                <w:szCs w:val="24"/>
                <w:highlight w:val="none"/>
                <w:lang w:val="en-US" w:eastAsia="zh-CN"/>
              </w:rPr>
              <w:t>检测，检测点位共设有3个土壤表层样点。监测数据如下：</w:t>
            </w:r>
          </w:p>
          <w:p>
            <w:pPr>
              <w:pStyle w:val="2"/>
              <w:bidi w:val="0"/>
              <w:spacing w:line="360" w:lineRule="auto"/>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  本厂区土壤表层样检测数据</w:t>
            </w:r>
          </w:p>
          <w:tbl>
            <w:tblPr>
              <w:tblStyle w:val="27"/>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64"/>
              <w:gridCol w:w="1666"/>
              <w:gridCol w:w="1468"/>
              <w:gridCol w:w="1625"/>
              <w:gridCol w:w="932"/>
              <w:gridCol w:w="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exact"/>
                <w:jc w:val="center"/>
              </w:trPr>
              <w:tc>
                <w:tcPr>
                  <w:tcW w:w="1002" w:type="pct"/>
                  <w:vMerge w:val="restar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监测点位、深度</w:t>
                  </w:r>
                </w:p>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106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现有厂房区域内东侧</w:t>
                  </w:r>
                </w:p>
              </w:tc>
              <w:tc>
                <w:tcPr>
                  <w:tcW w:w="940"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现有厂房区域内北侧</w:t>
                  </w:r>
                </w:p>
              </w:tc>
              <w:tc>
                <w:tcPr>
                  <w:tcW w:w="104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现有厂房区域内南侧</w:t>
                  </w:r>
                </w:p>
              </w:tc>
              <w:tc>
                <w:tcPr>
                  <w:tcW w:w="597" w:type="pct"/>
                  <w:vMerge w:val="restar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标准限值mg/kg</w:t>
                  </w:r>
                </w:p>
              </w:tc>
              <w:tc>
                <w:tcPr>
                  <w:tcW w:w="351" w:type="pct"/>
                  <w:vMerge w:val="restar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达标 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exact"/>
                <w:jc w:val="center"/>
              </w:trPr>
              <w:tc>
                <w:tcPr>
                  <w:tcW w:w="1002" w:type="pct"/>
                  <w:vMerge w:val="continue"/>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106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0-20cm</w:t>
                  </w:r>
                </w:p>
              </w:tc>
              <w:tc>
                <w:tcPr>
                  <w:tcW w:w="940"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0-20cm</w:t>
                  </w:r>
                </w:p>
              </w:tc>
              <w:tc>
                <w:tcPr>
                  <w:tcW w:w="104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0-20cm</w:t>
                  </w:r>
                </w:p>
              </w:tc>
              <w:tc>
                <w:tcPr>
                  <w:tcW w:w="597" w:type="pct"/>
                  <w:vMerge w:val="continue"/>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351" w:type="pct"/>
                  <w:vMerge w:val="continue"/>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val="en-US" w:eastAsia="zh-CN"/>
                    </w:rPr>
                    <w:t>7</w:t>
                  </w:r>
                  <w:r>
                    <w:rPr>
                      <w:rFonts w:hint="default" w:ascii="Times New Roman" w:hAnsi="Times New Roman" w:eastAsia="黑体" w:cs="Times New Roman"/>
                      <w:color w:val="auto"/>
                      <w:sz w:val="21"/>
                      <w:szCs w:val="21"/>
                      <w:lang w:eastAsia="zh-CN"/>
                    </w:rPr>
                    <w:t>mg/kg</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8.54</w:t>
                  </w:r>
                  <w:r>
                    <w:rPr>
                      <w:rFonts w:hint="default" w:ascii="Times New Roman" w:hAnsi="Times New Roman" w:eastAsia="黑体" w:cs="Times New Roman"/>
                      <w:color w:val="auto"/>
                      <w:sz w:val="21"/>
                      <w:szCs w:val="21"/>
                      <w:lang w:eastAsia="zh-CN"/>
                    </w:rPr>
                    <w:t>mg/kg</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8.53</w:t>
                  </w:r>
                  <w:r>
                    <w:rPr>
                      <w:rFonts w:hint="default" w:ascii="Times New Roman" w:hAnsi="Times New Roman" w:eastAsia="黑体" w:cs="Times New Roman"/>
                      <w:color w:val="auto"/>
                      <w:sz w:val="21"/>
                      <w:szCs w:val="21"/>
                      <w:lang w:eastAsia="zh-CN"/>
                    </w:rPr>
                    <w:t>mg/kg</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60</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镉</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07</w:t>
                  </w:r>
                  <w:r>
                    <w:rPr>
                      <w:rFonts w:hint="default" w:ascii="Times New Roman" w:hAnsi="Times New Roman" w:eastAsia="黑体" w:cs="Times New Roman"/>
                      <w:color w:val="auto"/>
                      <w:sz w:val="21"/>
                      <w:szCs w:val="21"/>
                      <w:lang w:eastAsia="zh-CN"/>
                    </w:rPr>
                    <w:t>mg/kg</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w:t>
                  </w:r>
                  <w:r>
                    <w:rPr>
                      <w:rFonts w:hint="eastAsia" w:ascii="Times New Roman" w:hAnsi="Times New Roman" w:cs="Times New Roman"/>
                      <w:color w:val="auto"/>
                      <w:sz w:val="21"/>
                      <w:szCs w:val="21"/>
                      <w:lang w:val="en-US" w:eastAsia="zh-CN"/>
                    </w:rPr>
                    <w:t>07</w:t>
                  </w:r>
                  <w:r>
                    <w:rPr>
                      <w:rFonts w:hint="default" w:ascii="Times New Roman" w:hAnsi="Times New Roman" w:eastAsia="黑体" w:cs="Times New Roman"/>
                      <w:color w:val="auto"/>
                      <w:sz w:val="21"/>
                      <w:szCs w:val="21"/>
                      <w:lang w:eastAsia="zh-CN"/>
                    </w:rPr>
                    <w:t>mg/kg</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eastAsia" w:ascii="Times New Roman" w:hAnsi="Times New Roman" w:cs="Times New Roman"/>
                      <w:color w:val="auto"/>
                      <w:sz w:val="21"/>
                      <w:szCs w:val="21"/>
                      <w:lang w:val="en-US" w:eastAsia="zh-CN"/>
                    </w:rPr>
                    <w:t>07</w:t>
                  </w:r>
                  <w:r>
                    <w:rPr>
                      <w:rFonts w:hint="default" w:ascii="Times New Roman" w:hAnsi="Times New Roman" w:eastAsia="黑体" w:cs="Times New Roman"/>
                      <w:color w:val="auto"/>
                      <w:sz w:val="21"/>
                      <w:szCs w:val="21"/>
                      <w:lang w:eastAsia="zh-CN"/>
                    </w:rPr>
                    <w:t>mg/kg</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65</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铬（六价）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ND</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5.7</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铜</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12</w:t>
                  </w:r>
                  <w:r>
                    <w:rPr>
                      <w:rFonts w:hint="default" w:ascii="Times New Roman" w:hAnsi="Times New Roman" w:eastAsia="黑体" w:cs="Times New Roman"/>
                      <w:color w:val="auto"/>
                      <w:sz w:val="21"/>
                      <w:szCs w:val="21"/>
                      <w:lang w:eastAsia="zh-CN"/>
                    </w:rPr>
                    <w:t>mg/kg</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3</w:t>
                  </w:r>
                  <w:r>
                    <w:rPr>
                      <w:rFonts w:hint="default" w:ascii="Times New Roman" w:hAnsi="Times New Roman" w:eastAsia="黑体" w:cs="Times New Roman"/>
                      <w:color w:val="auto"/>
                      <w:sz w:val="21"/>
                      <w:szCs w:val="21"/>
                      <w:lang w:eastAsia="zh-CN"/>
                    </w:rPr>
                    <w:t>mg/kg</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4</w:t>
                  </w:r>
                  <w:r>
                    <w:rPr>
                      <w:rFonts w:hint="default" w:ascii="Times New Roman" w:hAnsi="Times New Roman" w:eastAsia="黑体" w:cs="Times New Roman"/>
                      <w:color w:val="auto"/>
                      <w:sz w:val="21"/>
                      <w:szCs w:val="21"/>
                      <w:lang w:eastAsia="zh-CN"/>
                    </w:rPr>
                    <w:t>mg/kg</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18000</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铅</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5.4</w:t>
                  </w:r>
                  <w:r>
                    <w:rPr>
                      <w:rFonts w:hint="default" w:ascii="Times New Roman" w:hAnsi="Times New Roman" w:eastAsia="黑体" w:cs="Times New Roman"/>
                      <w:color w:val="auto"/>
                      <w:sz w:val="21"/>
                      <w:szCs w:val="21"/>
                      <w:lang w:eastAsia="zh-CN"/>
                    </w:rPr>
                    <w:t>mg/kg</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5.1</w:t>
                  </w:r>
                  <w:r>
                    <w:rPr>
                      <w:rFonts w:hint="default" w:ascii="Times New Roman" w:hAnsi="Times New Roman" w:eastAsia="黑体" w:cs="Times New Roman"/>
                      <w:color w:val="auto"/>
                      <w:sz w:val="21"/>
                      <w:szCs w:val="21"/>
                      <w:lang w:eastAsia="zh-CN"/>
                    </w:rPr>
                    <w:t>mg/kg</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val="en-US" w:eastAsia="zh-CN"/>
                    </w:rPr>
                    <w:t>8.8</w:t>
                  </w:r>
                  <w:r>
                    <w:rPr>
                      <w:rFonts w:hint="default" w:ascii="Times New Roman" w:hAnsi="Times New Roman" w:eastAsia="黑体" w:cs="Times New Roman"/>
                      <w:color w:val="auto"/>
                      <w:sz w:val="21"/>
                      <w:szCs w:val="21"/>
                      <w:lang w:eastAsia="zh-CN"/>
                    </w:rPr>
                    <w:t>mg/kg</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800</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汞</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w:t>
                  </w:r>
                  <w:r>
                    <w:rPr>
                      <w:rFonts w:hint="eastAsia" w:ascii="Times New Roman" w:hAnsi="Times New Roman" w:cs="Times New Roman"/>
                      <w:color w:val="auto"/>
                      <w:sz w:val="21"/>
                      <w:szCs w:val="21"/>
                      <w:lang w:val="en-US" w:eastAsia="zh-CN"/>
                    </w:rPr>
                    <w:t>05</w:t>
                  </w:r>
                  <w:r>
                    <w:rPr>
                      <w:rFonts w:hint="default" w:ascii="Times New Roman" w:hAnsi="Times New Roman" w:eastAsia="黑体" w:cs="Times New Roman"/>
                      <w:color w:val="auto"/>
                      <w:sz w:val="21"/>
                      <w:szCs w:val="21"/>
                      <w:lang w:eastAsia="zh-CN"/>
                    </w:rPr>
                    <w:t>mg/kg</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0.0</w:t>
                  </w:r>
                  <w:r>
                    <w:rPr>
                      <w:rFonts w:hint="eastAsia" w:ascii="Times New Roman" w:hAnsi="Times New Roman" w:cs="Times New Roman"/>
                      <w:color w:val="auto"/>
                      <w:sz w:val="21"/>
                      <w:szCs w:val="21"/>
                      <w:lang w:val="en-US" w:eastAsia="zh-CN"/>
                    </w:rPr>
                    <w:t>25</w:t>
                  </w:r>
                  <w:r>
                    <w:rPr>
                      <w:rFonts w:hint="default" w:ascii="Times New Roman" w:hAnsi="Times New Roman" w:eastAsia="黑体" w:cs="Times New Roman"/>
                      <w:color w:val="auto"/>
                      <w:sz w:val="21"/>
                      <w:szCs w:val="21"/>
                      <w:lang w:eastAsia="zh-CN"/>
                    </w:rPr>
                    <w:t>mg/kg</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w:t>
                  </w:r>
                  <w:r>
                    <w:rPr>
                      <w:rFonts w:hint="eastAsia" w:ascii="Times New Roman" w:hAnsi="Times New Roman" w:cs="Times New Roman"/>
                      <w:color w:val="auto"/>
                      <w:sz w:val="21"/>
                      <w:szCs w:val="21"/>
                      <w:lang w:val="en-US" w:eastAsia="zh-CN"/>
                    </w:rPr>
                    <w:t>17</w:t>
                  </w:r>
                  <w:r>
                    <w:rPr>
                      <w:rFonts w:hint="default" w:ascii="Times New Roman" w:hAnsi="Times New Roman" w:eastAsia="黑体" w:cs="Times New Roman"/>
                      <w:color w:val="auto"/>
                      <w:sz w:val="21"/>
                      <w:szCs w:val="21"/>
                      <w:lang w:eastAsia="zh-CN"/>
                    </w:rPr>
                    <w:t>mg/kg</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38</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镍</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eastAsia="zh-CN"/>
                    </w:rPr>
                    <w:t>0</w:t>
                  </w:r>
                  <w:r>
                    <w:rPr>
                      <w:rFonts w:hint="default" w:ascii="Times New Roman" w:hAnsi="Times New Roman" w:eastAsia="黑体" w:cs="Times New Roman"/>
                      <w:color w:val="auto"/>
                      <w:sz w:val="21"/>
                      <w:szCs w:val="21"/>
                      <w:lang w:eastAsia="zh-CN"/>
                    </w:rPr>
                    <w:t>mg/kg</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eastAsia="zh-CN"/>
                    </w:rPr>
                    <w:t>4</w:t>
                  </w:r>
                  <w:r>
                    <w:rPr>
                      <w:rFonts w:hint="default" w:ascii="Times New Roman" w:hAnsi="Times New Roman" w:eastAsia="黑体" w:cs="Times New Roman"/>
                      <w:color w:val="auto"/>
                      <w:sz w:val="21"/>
                      <w:szCs w:val="21"/>
                      <w:lang w:eastAsia="zh-CN"/>
                    </w:rPr>
                    <w:t>mg/kg</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val="en-US" w:eastAsia="zh-CN"/>
                    </w:rPr>
                    <w:t>3</w:t>
                  </w:r>
                  <w:r>
                    <w:rPr>
                      <w:rFonts w:hint="default" w:ascii="Times New Roman" w:hAnsi="Times New Roman" w:eastAsia="黑体" w:cs="Times New Roman"/>
                      <w:color w:val="auto"/>
                      <w:sz w:val="21"/>
                      <w:szCs w:val="21"/>
                      <w:lang w:eastAsia="zh-CN"/>
                    </w:rPr>
                    <w:t>mg/kg</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900</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四氯化碳</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pacing w:val="-1"/>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氯仿</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0.9</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1"/>
                      <w:sz w:val="21"/>
                      <w:szCs w:val="21"/>
                      <w:highlight w:val="none"/>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1,1-二氯乙烷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1,2-二氯乙烷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1,1-二氯乙烯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66</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顺-1,2-二氯乙烯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596</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反-1,2-二氯乙烯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54</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二氯甲烷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616</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1,2-二氯丙烷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1,1,1,2-四氯乙烷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1,1,2,2-四氯乙烷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6.8</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四氯乙烯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53</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1,1,1-三氯乙烷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840</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1,1,2-三氯乙烷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351"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三氯乙烯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1,2,3-三氯丙烷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0.5</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氯乙烯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0.43</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氯苯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乙苯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苯乙烯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1290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甲苯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1200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间二甲苯+对二甲苯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570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邻-二甲苯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640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1,2-二氯苯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560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1,4-二氯苯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硝基苯</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76</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苯胺</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260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苯并（a）蒽</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苯并（a）芘</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苯并（b）荧蒽</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苯并（k）荧蒽</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151</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䓛</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1293</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二苯并[a,h]蒽</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萘</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exact"/>
                <w:jc w:val="center"/>
              </w:trPr>
              <w:tc>
                <w:tcPr>
                  <w:tcW w:w="1002"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氯甲烷</w:t>
                  </w:r>
                </w:p>
              </w:tc>
              <w:tc>
                <w:tcPr>
                  <w:tcW w:w="1067"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940"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w:t>
                  </w:r>
                </w:p>
              </w:tc>
              <w:tc>
                <w:tcPr>
                  <w:tcW w:w="1041"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597" w:type="pct"/>
                  <w:tcBorders>
                    <w:tl2br w:val="nil"/>
                    <w:tr2bl w:val="nil"/>
                  </w:tcBorders>
                  <w:noWrap w:val="0"/>
                  <w:vAlign w:val="center"/>
                </w:tcPr>
                <w:p>
                  <w:pPr>
                    <w:pStyle w:val="53"/>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37</w:t>
                  </w:r>
                </w:p>
              </w:tc>
              <w:tc>
                <w:tcPr>
                  <w:tcW w:w="351"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1"/>
                      <w:sz w:val="21"/>
                      <w:szCs w:val="21"/>
                    </w:rPr>
                    <w:t>达标</w:t>
                  </w:r>
                </w:p>
              </w:tc>
            </w:tr>
          </w:tbl>
          <w:p>
            <w:pPr>
              <w:autoSpaceDE w:val="0"/>
              <w:autoSpaceDN w:val="0"/>
              <w:adjustRightInd w:val="0"/>
              <w:spacing w:line="360" w:lineRule="auto"/>
              <w:ind w:firstLine="480" w:firstLineChars="20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由土壤监测结果可知，重金属、挥发性有机物、半挥发性有机物的监测结果均满足《土壤环境质量 建设用地土壤污染风险管控标准》（试行[GB36600-2018]）第二类 用地筛选值，对人体健康威胁可以忽略。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6</w:t>
            </w:r>
            <w:r>
              <w:rPr>
                <w:rFonts w:hint="default" w:ascii="Times New Roman" w:hAnsi="Times New Roman" w:eastAsia="宋体" w:cs="Times New Roman"/>
                <w:b/>
                <w:bCs/>
                <w:color w:val="auto"/>
                <w:sz w:val="24"/>
                <w:szCs w:val="24"/>
                <w:vertAlign w:val="baseline"/>
                <w:lang w:val="en-US" w:eastAsia="zh-CN"/>
              </w:rPr>
              <w:t>、生态环境质量现状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本项目位于</w:t>
            </w:r>
            <w:r>
              <w:rPr>
                <w:rFonts w:hint="default" w:ascii="Times New Roman" w:hAnsi="Times New Roman" w:cs="Times New Roman"/>
                <w:color w:val="auto"/>
                <w:sz w:val="24"/>
                <w:szCs w:val="24"/>
                <w:highlight w:val="none"/>
                <w:vertAlign w:val="baseline"/>
                <w:lang w:val="en-US" w:eastAsia="zh-CN"/>
              </w:rPr>
              <w:t>永城市产业集聚区</w:t>
            </w:r>
            <w:r>
              <w:rPr>
                <w:rFonts w:hint="default" w:ascii="Times New Roman" w:hAnsi="Times New Roman" w:eastAsia="宋体" w:cs="Times New Roman"/>
                <w:color w:val="auto"/>
                <w:sz w:val="24"/>
                <w:szCs w:val="24"/>
                <w:highlight w:val="none"/>
                <w:vertAlign w:val="baseline"/>
                <w:lang w:val="en-US" w:eastAsia="zh-CN"/>
              </w:rPr>
              <w:t>内</w:t>
            </w:r>
            <w:r>
              <w:rPr>
                <w:rFonts w:hint="default" w:ascii="Times New Roman" w:hAnsi="Times New Roman" w:cs="Times New Roman"/>
                <w:color w:val="auto"/>
                <w:sz w:val="24"/>
                <w:szCs w:val="24"/>
                <w:highlight w:val="none"/>
                <w:vertAlign w:val="baseline"/>
                <w:lang w:val="en-US" w:eastAsia="zh-CN"/>
              </w:rPr>
              <w:t>且不新增用地</w:t>
            </w:r>
            <w:r>
              <w:rPr>
                <w:rFonts w:hint="default" w:ascii="Times New Roman" w:hAnsi="Times New Roman" w:eastAsia="宋体" w:cs="Times New Roman"/>
                <w:color w:val="auto"/>
                <w:sz w:val="24"/>
                <w:szCs w:val="24"/>
                <w:highlight w:val="none"/>
                <w:vertAlign w:val="baseline"/>
                <w:lang w:val="en-US" w:eastAsia="zh-CN"/>
              </w:rPr>
              <w:t>，因此无需进行生态现状调查</w:t>
            </w:r>
            <w:r>
              <w:rPr>
                <w:rFonts w:hint="default" w:ascii="Times New Roman" w:hAnsi="Times New Roman" w:eastAsia="宋体" w:cs="Times New Roman"/>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noWrap w:val="0"/>
            <w:vAlign w:val="center"/>
          </w:tcPr>
          <w:p>
            <w:pPr>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环境保护目标</w:t>
            </w:r>
          </w:p>
        </w:tc>
        <w:tc>
          <w:tcPr>
            <w:tcW w:w="80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1、大气环境保护目标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厂界</w:t>
            </w:r>
            <w:r>
              <w:rPr>
                <w:rFonts w:hint="default" w:ascii="Times New Roman" w:hAnsi="Times New Roman" w:cs="Times New Roman"/>
                <w:color w:val="auto"/>
                <w:sz w:val="24"/>
                <w:szCs w:val="24"/>
                <w:highlight w:val="none"/>
                <w:vertAlign w:val="baseline"/>
                <w:lang w:val="en-US" w:eastAsia="zh-CN"/>
              </w:rPr>
              <w:t>外</w:t>
            </w:r>
            <w:r>
              <w:rPr>
                <w:rFonts w:hint="default" w:ascii="Times New Roman" w:hAnsi="Times New Roman" w:cs="Times New Roman"/>
                <w:color w:val="auto"/>
                <w:sz w:val="24"/>
                <w:szCs w:val="24"/>
                <w:vertAlign w:val="baseline"/>
                <w:lang w:val="en-US" w:eastAsia="zh-CN"/>
              </w:rPr>
              <w:t>500m范围内大气环境敏感点主要为居住区，具体情况详见下表。</w:t>
            </w:r>
          </w:p>
          <w:p>
            <w:pPr>
              <w:pStyle w:val="2"/>
              <w:bidi w:val="0"/>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项目环境敏感保护目标一览表</w:t>
            </w:r>
          </w:p>
          <w:tbl>
            <w:tblPr>
              <w:tblStyle w:val="27"/>
              <w:tblW w:w="7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412"/>
              <w:gridCol w:w="1319"/>
              <w:gridCol w:w="1042"/>
              <w:gridCol w:w="764"/>
              <w:gridCol w:w="769"/>
              <w:gridCol w:w="1020"/>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15" w:type="dxa"/>
                  <w:vMerge w:val="restart"/>
                  <w:vAlign w:val="center"/>
                </w:tcPr>
                <w:p>
                  <w:pPr>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环境</w:t>
                  </w:r>
                </w:p>
                <w:p>
                  <w:pPr>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类别</w:t>
                  </w:r>
                </w:p>
              </w:tc>
              <w:tc>
                <w:tcPr>
                  <w:tcW w:w="2731" w:type="dxa"/>
                  <w:gridSpan w:val="2"/>
                  <w:vAlign w:val="center"/>
                </w:tcPr>
                <w:p>
                  <w:pPr>
                    <w:tabs>
                      <w:tab w:val="left" w:pos="538"/>
                    </w:tabs>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经纬度</w:t>
                  </w:r>
                </w:p>
              </w:tc>
              <w:tc>
                <w:tcPr>
                  <w:tcW w:w="1042" w:type="dxa"/>
                  <w:vMerge w:val="restart"/>
                  <w:vAlign w:val="center"/>
                </w:tcPr>
                <w:p>
                  <w:pPr>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环境保护目标</w:t>
                  </w:r>
                </w:p>
              </w:tc>
              <w:tc>
                <w:tcPr>
                  <w:tcW w:w="764" w:type="dxa"/>
                  <w:vMerge w:val="restart"/>
                  <w:vAlign w:val="center"/>
                </w:tcPr>
                <w:p>
                  <w:pPr>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功能</w:t>
                  </w:r>
                </w:p>
              </w:tc>
              <w:tc>
                <w:tcPr>
                  <w:tcW w:w="769" w:type="dxa"/>
                  <w:vMerge w:val="restart"/>
                  <w:vAlign w:val="center"/>
                </w:tcPr>
                <w:p>
                  <w:pPr>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相对方位</w:t>
                  </w:r>
                </w:p>
              </w:tc>
              <w:tc>
                <w:tcPr>
                  <w:tcW w:w="1020" w:type="dxa"/>
                  <w:vMerge w:val="restart"/>
                  <w:vAlign w:val="center"/>
                </w:tcPr>
                <w:p>
                  <w:pPr>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距项目距离（m）</w:t>
                  </w:r>
                </w:p>
              </w:tc>
              <w:tc>
                <w:tcPr>
                  <w:tcW w:w="767" w:type="dxa"/>
                  <w:vMerge w:val="restart"/>
                  <w:vAlign w:val="center"/>
                </w:tcPr>
                <w:p>
                  <w:pPr>
                    <w:spacing w:line="360" w:lineRule="exact"/>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rPr>
                    <w:t>规模</w:t>
                  </w:r>
                  <w:r>
                    <w:rPr>
                      <w:rFonts w:hint="eastAsia" w:ascii="Times New Roman" w:hAnsi="Times New Roman" w:cs="Times New Roman"/>
                      <w:b/>
                      <w:bCs/>
                      <w:color w:val="auto"/>
                      <w:sz w:val="21"/>
                      <w:szCs w:val="21"/>
                      <w:u w:val="singl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15" w:type="dxa"/>
                  <w:vMerge w:val="continue"/>
                  <w:vAlign w:val="center"/>
                </w:tcPr>
                <w:p>
                  <w:pPr>
                    <w:spacing w:line="360" w:lineRule="exact"/>
                    <w:jc w:val="center"/>
                    <w:rPr>
                      <w:rFonts w:hint="default" w:ascii="Times New Roman" w:hAnsi="Times New Roman" w:cs="Times New Roman"/>
                      <w:b/>
                      <w:bCs/>
                      <w:color w:val="auto"/>
                      <w:sz w:val="21"/>
                      <w:szCs w:val="21"/>
                      <w:u w:val="single"/>
                    </w:rPr>
                  </w:pPr>
                </w:p>
              </w:tc>
              <w:tc>
                <w:tcPr>
                  <w:tcW w:w="1412" w:type="dxa"/>
                  <w:vAlign w:val="center"/>
                </w:tcPr>
                <w:p>
                  <w:pPr>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经度</w:t>
                  </w:r>
                </w:p>
              </w:tc>
              <w:tc>
                <w:tcPr>
                  <w:tcW w:w="1319" w:type="dxa"/>
                  <w:vAlign w:val="center"/>
                </w:tcPr>
                <w:p>
                  <w:pPr>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纬度</w:t>
                  </w:r>
                </w:p>
              </w:tc>
              <w:tc>
                <w:tcPr>
                  <w:tcW w:w="1042" w:type="dxa"/>
                  <w:vMerge w:val="continue"/>
                  <w:vAlign w:val="center"/>
                </w:tcPr>
                <w:p>
                  <w:pPr>
                    <w:spacing w:line="360" w:lineRule="exact"/>
                    <w:jc w:val="center"/>
                    <w:rPr>
                      <w:rFonts w:hint="default" w:ascii="Times New Roman" w:hAnsi="Times New Roman" w:cs="Times New Roman"/>
                      <w:b/>
                      <w:bCs/>
                      <w:color w:val="auto"/>
                      <w:sz w:val="21"/>
                      <w:szCs w:val="21"/>
                      <w:u w:val="single"/>
                    </w:rPr>
                  </w:pPr>
                </w:p>
              </w:tc>
              <w:tc>
                <w:tcPr>
                  <w:tcW w:w="764" w:type="dxa"/>
                  <w:vMerge w:val="continue"/>
                  <w:vAlign w:val="center"/>
                </w:tcPr>
                <w:p>
                  <w:pPr>
                    <w:spacing w:line="360" w:lineRule="exact"/>
                    <w:jc w:val="center"/>
                    <w:rPr>
                      <w:rFonts w:hint="default" w:ascii="Times New Roman" w:hAnsi="Times New Roman" w:cs="Times New Roman"/>
                      <w:b/>
                      <w:bCs/>
                      <w:color w:val="auto"/>
                      <w:sz w:val="21"/>
                      <w:szCs w:val="21"/>
                      <w:u w:val="single"/>
                    </w:rPr>
                  </w:pPr>
                </w:p>
              </w:tc>
              <w:tc>
                <w:tcPr>
                  <w:tcW w:w="769" w:type="dxa"/>
                  <w:vMerge w:val="continue"/>
                  <w:vAlign w:val="center"/>
                </w:tcPr>
                <w:p>
                  <w:pPr>
                    <w:spacing w:line="360" w:lineRule="exact"/>
                    <w:jc w:val="center"/>
                    <w:rPr>
                      <w:rFonts w:hint="default" w:ascii="Times New Roman" w:hAnsi="Times New Roman" w:cs="Times New Roman"/>
                      <w:b/>
                      <w:bCs/>
                      <w:color w:val="auto"/>
                      <w:sz w:val="21"/>
                      <w:szCs w:val="21"/>
                      <w:u w:val="single"/>
                    </w:rPr>
                  </w:pPr>
                </w:p>
              </w:tc>
              <w:tc>
                <w:tcPr>
                  <w:tcW w:w="1020" w:type="dxa"/>
                  <w:vMerge w:val="continue"/>
                  <w:vAlign w:val="center"/>
                </w:tcPr>
                <w:p>
                  <w:pPr>
                    <w:spacing w:line="360" w:lineRule="exact"/>
                    <w:jc w:val="center"/>
                    <w:rPr>
                      <w:rFonts w:hint="default" w:ascii="Times New Roman" w:hAnsi="Times New Roman" w:cs="Times New Roman"/>
                      <w:b/>
                      <w:bCs/>
                      <w:color w:val="auto"/>
                      <w:sz w:val="21"/>
                      <w:szCs w:val="21"/>
                      <w:u w:val="single"/>
                    </w:rPr>
                  </w:pPr>
                </w:p>
              </w:tc>
              <w:tc>
                <w:tcPr>
                  <w:tcW w:w="767" w:type="dxa"/>
                  <w:vMerge w:val="continue"/>
                  <w:vAlign w:val="center"/>
                </w:tcPr>
                <w:p>
                  <w:pPr>
                    <w:spacing w:line="360" w:lineRule="exact"/>
                    <w:jc w:val="center"/>
                    <w:rPr>
                      <w:rFonts w:hint="default" w:ascii="Times New Roman" w:hAnsi="Times New Roman" w:cs="Times New Roman"/>
                      <w:b/>
                      <w:bCs/>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15" w:type="dxa"/>
                  <w:vMerge w:val="restart"/>
                  <w:vAlign w:val="center"/>
                </w:tcPr>
                <w:p>
                  <w:pPr>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大气环境</w:t>
                  </w:r>
                </w:p>
              </w:tc>
              <w:tc>
                <w:tcPr>
                  <w:tcW w:w="1412" w:type="dxa"/>
                  <w:vAlign w:val="center"/>
                </w:tcPr>
                <w:p>
                  <w:pPr>
                    <w:autoSpaceDE w:val="0"/>
                    <w:autoSpaceDN w:val="0"/>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116.54203299</w:t>
                  </w:r>
                </w:p>
              </w:tc>
              <w:tc>
                <w:tcPr>
                  <w:tcW w:w="1319" w:type="dxa"/>
                  <w:vAlign w:val="center"/>
                </w:tcPr>
                <w:p>
                  <w:pPr>
                    <w:autoSpaceDE w:val="0"/>
                    <w:autoSpaceDN w:val="0"/>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33.89987197</w:t>
                  </w:r>
                </w:p>
              </w:tc>
              <w:tc>
                <w:tcPr>
                  <w:tcW w:w="1042" w:type="dxa"/>
                  <w:vAlign w:val="center"/>
                </w:tcPr>
                <w:p>
                  <w:pPr>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小刘庄</w:t>
                  </w:r>
                </w:p>
              </w:tc>
              <w:tc>
                <w:tcPr>
                  <w:tcW w:w="764" w:type="dxa"/>
                  <w:vAlign w:val="center"/>
                </w:tcPr>
                <w:p>
                  <w:pPr>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居民</w:t>
                  </w:r>
                </w:p>
              </w:tc>
              <w:tc>
                <w:tcPr>
                  <w:tcW w:w="769" w:type="dxa"/>
                  <w:vAlign w:val="center"/>
                </w:tcPr>
                <w:p>
                  <w:pPr>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N</w:t>
                  </w:r>
                </w:p>
              </w:tc>
              <w:tc>
                <w:tcPr>
                  <w:tcW w:w="1020" w:type="dxa"/>
                  <w:vAlign w:val="center"/>
                </w:tcPr>
                <w:p>
                  <w:pPr>
                    <w:spacing w:line="360" w:lineRule="exact"/>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102</w:t>
                  </w:r>
                </w:p>
              </w:tc>
              <w:tc>
                <w:tcPr>
                  <w:tcW w:w="767" w:type="dxa"/>
                  <w:vAlign w:val="center"/>
                </w:tcPr>
                <w:p>
                  <w:pPr>
                    <w:pStyle w:val="15"/>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15" w:type="dxa"/>
                  <w:vMerge w:val="continue"/>
                  <w:vAlign w:val="center"/>
                </w:tcPr>
                <w:p>
                  <w:pPr>
                    <w:spacing w:line="360" w:lineRule="exact"/>
                    <w:jc w:val="center"/>
                    <w:rPr>
                      <w:rFonts w:hint="default" w:ascii="Times New Roman" w:hAnsi="Times New Roman" w:cs="Times New Roman"/>
                      <w:b/>
                      <w:bCs/>
                      <w:color w:val="auto"/>
                      <w:sz w:val="21"/>
                      <w:szCs w:val="21"/>
                      <w:u w:val="single"/>
                    </w:rPr>
                  </w:pPr>
                </w:p>
              </w:tc>
              <w:tc>
                <w:tcPr>
                  <w:tcW w:w="1412" w:type="dxa"/>
                  <w:vAlign w:val="center"/>
                </w:tcPr>
                <w:p>
                  <w:pPr>
                    <w:autoSpaceDE w:val="0"/>
                    <w:autoSpaceDN w:val="0"/>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116.54524731</w:t>
                  </w:r>
                </w:p>
              </w:tc>
              <w:tc>
                <w:tcPr>
                  <w:tcW w:w="1319" w:type="dxa"/>
                  <w:vAlign w:val="center"/>
                </w:tcPr>
                <w:p>
                  <w:pPr>
                    <w:autoSpaceDE w:val="0"/>
                    <w:autoSpaceDN w:val="0"/>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33.89141560</w:t>
                  </w:r>
                </w:p>
              </w:tc>
              <w:tc>
                <w:tcPr>
                  <w:tcW w:w="1042" w:type="dxa"/>
                  <w:vAlign w:val="center"/>
                </w:tcPr>
                <w:p>
                  <w:pPr>
                    <w:spacing w:line="360" w:lineRule="exact"/>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单庄村</w:t>
                  </w:r>
                </w:p>
              </w:tc>
              <w:tc>
                <w:tcPr>
                  <w:tcW w:w="764" w:type="dxa"/>
                  <w:vAlign w:val="center"/>
                </w:tcPr>
                <w:p>
                  <w:pPr>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居民</w:t>
                  </w:r>
                </w:p>
              </w:tc>
              <w:tc>
                <w:tcPr>
                  <w:tcW w:w="769" w:type="dxa"/>
                  <w:vAlign w:val="center"/>
                </w:tcPr>
                <w:p>
                  <w:pPr>
                    <w:spacing w:line="360" w:lineRule="exact"/>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S</w:t>
                  </w:r>
                </w:p>
              </w:tc>
              <w:tc>
                <w:tcPr>
                  <w:tcW w:w="1020" w:type="dxa"/>
                  <w:vAlign w:val="center"/>
                </w:tcPr>
                <w:p>
                  <w:pPr>
                    <w:spacing w:line="360" w:lineRule="exact"/>
                    <w:jc w:val="center"/>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356</w:t>
                  </w:r>
                </w:p>
              </w:tc>
              <w:tc>
                <w:tcPr>
                  <w:tcW w:w="767" w:type="dxa"/>
                  <w:vAlign w:val="center"/>
                </w:tcPr>
                <w:p>
                  <w:pPr>
                    <w:pStyle w:val="15"/>
                    <w:spacing w:line="360" w:lineRule="exact"/>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15" w:type="dxa"/>
                  <w:vMerge w:val="continue"/>
                  <w:vAlign w:val="center"/>
                </w:tcPr>
                <w:p>
                  <w:pPr>
                    <w:spacing w:line="360" w:lineRule="exact"/>
                    <w:jc w:val="center"/>
                    <w:rPr>
                      <w:rFonts w:hint="default" w:ascii="Times New Roman" w:hAnsi="Times New Roman" w:cs="Times New Roman"/>
                      <w:b/>
                      <w:bCs/>
                      <w:color w:val="auto"/>
                      <w:sz w:val="21"/>
                      <w:szCs w:val="21"/>
                      <w:u w:val="single"/>
                    </w:rPr>
                  </w:pPr>
                </w:p>
              </w:tc>
              <w:tc>
                <w:tcPr>
                  <w:tcW w:w="1412" w:type="dxa"/>
                  <w:vAlign w:val="center"/>
                </w:tcPr>
                <w:p>
                  <w:pPr>
                    <w:autoSpaceDE w:val="0"/>
                    <w:autoSpaceDN w:val="0"/>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116.55175379</w:t>
                  </w:r>
                </w:p>
              </w:tc>
              <w:tc>
                <w:tcPr>
                  <w:tcW w:w="1319" w:type="dxa"/>
                  <w:vAlign w:val="center"/>
                </w:tcPr>
                <w:p>
                  <w:pPr>
                    <w:autoSpaceDE w:val="0"/>
                    <w:autoSpaceDN w:val="0"/>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33.89250541</w:t>
                  </w:r>
                </w:p>
              </w:tc>
              <w:tc>
                <w:tcPr>
                  <w:tcW w:w="1042" w:type="dxa"/>
                  <w:vAlign w:val="center"/>
                </w:tcPr>
                <w:p>
                  <w:pPr>
                    <w:spacing w:line="360" w:lineRule="exact"/>
                    <w:jc w:val="center"/>
                    <w:rPr>
                      <w:rFonts w:hint="eastAsia"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张刘庄</w:t>
                  </w:r>
                </w:p>
              </w:tc>
              <w:tc>
                <w:tcPr>
                  <w:tcW w:w="764" w:type="dxa"/>
                  <w:vAlign w:val="center"/>
                </w:tcPr>
                <w:p>
                  <w:pPr>
                    <w:spacing w:line="360" w:lineRule="exact"/>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居民</w:t>
                  </w:r>
                </w:p>
              </w:tc>
              <w:tc>
                <w:tcPr>
                  <w:tcW w:w="769" w:type="dxa"/>
                  <w:vAlign w:val="center"/>
                </w:tcPr>
                <w:p>
                  <w:pPr>
                    <w:spacing w:line="360" w:lineRule="exact"/>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SE</w:t>
                  </w:r>
                </w:p>
              </w:tc>
              <w:tc>
                <w:tcPr>
                  <w:tcW w:w="1020" w:type="dxa"/>
                  <w:vAlign w:val="center"/>
                </w:tcPr>
                <w:p>
                  <w:pPr>
                    <w:spacing w:line="360" w:lineRule="exact"/>
                    <w:jc w:val="center"/>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491</w:t>
                  </w:r>
                </w:p>
              </w:tc>
              <w:tc>
                <w:tcPr>
                  <w:tcW w:w="767" w:type="dxa"/>
                  <w:vAlign w:val="center"/>
                </w:tcPr>
                <w:p>
                  <w:pPr>
                    <w:pStyle w:val="15"/>
                    <w:spacing w:line="360" w:lineRule="exact"/>
                    <w:jc w:val="center"/>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520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2、地下水环境保护目标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厂界外500m范围内无地下水集中式饮用水水源和热水、矿泉水、温泉等特殊地下水资源。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3、声环境保护目标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厂界外50m范围内无声环境保护目标。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4、生态环境保护目标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厂界外500m范围内无生态环境保护目标。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noWrap w:val="0"/>
            <w:vAlign w:val="center"/>
          </w:tcPr>
          <w:p>
            <w:pPr>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污染物排放控制标准</w:t>
            </w:r>
          </w:p>
        </w:tc>
        <w:tc>
          <w:tcPr>
            <w:tcW w:w="803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szCs w:val="24"/>
                <w:u w:val="none"/>
              </w:rPr>
            </w:pPr>
            <w:r>
              <w:rPr>
                <w:rFonts w:hint="default" w:ascii="Times New Roman" w:hAnsi="Times New Roman" w:eastAsia="宋体" w:cs="Times New Roman"/>
                <w:b/>
                <w:bCs w:val="0"/>
                <w:color w:val="auto"/>
                <w:sz w:val="24"/>
                <w:szCs w:val="24"/>
                <w:u w:val="none"/>
              </w:rPr>
              <w:t>1、废气</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运营期非甲烷总烃</w:t>
            </w:r>
            <w:r>
              <w:rPr>
                <w:rFonts w:hint="default" w:ascii="Times New Roman" w:hAnsi="Times New Roman" w:eastAsia="宋体" w:cs="Times New Roman"/>
                <w:color w:val="auto"/>
                <w:sz w:val="24"/>
                <w:szCs w:val="24"/>
                <w:highlight w:val="none"/>
                <w:lang w:eastAsia="zh-CN"/>
              </w:rPr>
              <w:t>执行</w:t>
            </w:r>
            <w:r>
              <w:rPr>
                <w:rFonts w:hint="default" w:ascii="Times New Roman" w:hAnsi="Times New Roman" w:eastAsia="宋体" w:cs="Times New Roman"/>
                <w:color w:val="auto"/>
                <w:sz w:val="24"/>
                <w:szCs w:val="24"/>
                <w:highlight w:val="none"/>
              </w:rPr>
              <w:t>《大气污染物综合排放标准》（GB16297-1996）表2二级标准</w:t>
            </w:r>
            <w:r>
              <w:rPr>
                <w:rFonts w:hint="default" w:ascii="Times New Roman" w:hAnsi="Times New Roman" w:eastAsia="宋体" w:cs="Times New Roman"/>
                <w:color w:val="auto"/>
                <w:sz w:val="24"/>
                <w:szCs w:val="24"/>
                <w:highlight w:val="none"/>
                <w:lang w:eastAsia="zh-CN"/>
              </w:rPr>
              <w:t>及无组织排放监控点浓度限值</w:t>
            </w:r>
            <w:r>
              <w:rPr>
                <w:rFonts w:hint="default" w:ascii="Times New Roman" w:hAnsi="Times New Roman" w:cs="Times New Roman"/>
                <w:color w:val="auto"/>
                <w:sz w:val="24"/>
                <w:szCs w:val="24"/>
                <w:highlight w:val="none"/>
                <w:lang w:eastAsia="zh-CN"/>
              </w:rPr>
              <w:t>同时满足</w:t>
            </w:r>
            <w:r>
              <w:rPr>
                <w:rFonts w:hint="default" w:ascii="Times New Roman" w:hAnsi="Times New Roman" w:eastAsia="宋体" w:cs="Times New Roman"/>
                <w:color w:val="auto"/>
                <w:sz w:val="24"/>
                <w:szCs w:val="24"/>
                <w:lang w:eastAsia="zh-CN"/>
              </w:rPr>
              <w:t>《关于全省开展工业企业挥发性有机物专项治理工作中排放建议值的通知》（豫环攻坚办〔</w:t>
            </w:r>
            <w:r>
              <w:rPr>
                <w:rFonts w:hint="default" w:ascii="Times New Roman" w:hAnsi="Times New Roman" w:eastAsia="宋体" w:cs="Times New Roman"/>
                <w:color w:val="auto"/>
                <w:sz w:val="24"/>
                <w:szCs w:val="24"/>
                <w:lang w:val="en-US" w:eastAsia="zh-CN"/>
              </w:rPr>
              <w:t>2017〕162号）排放建议限值与厂界排放建议值</w:t>
            </w:r>
            <w:r>
              <w:rPr>
                <w:rFonts w:hint="default" w:ascii="Times New Roman" w:hAnsi="Times New Roman" w:cs="Times New Roman"/>
                <w:color w:val="auto"/>
                <w:sz w:val="24"/>
                <w:szCs w:val="24"/>
                <w:highlight w:val="none"/>
                <w:lang w:eastAsia="zh-CN"/>
              </w:rPr>
              <w:t>；倾动炉废气颗粒物、二氧化硫、氮氧化物排放浓度满足</w:t>
            </w:r>
            <w:r>
              <w:rPr>
                <w:rFonts w:hint="default" w:ascii="Times New Roman" w:hAnsi="Times New Roman" w:cs="Times New Roman"/>
                <w:b w:val="0"/>
                <w:bCs/>
                <w:color w:val="auto"/>
                <w:sz w:val="24"/>
                <w:szCs w:val="24"/>
                <w:highlight w:val="none"/>
                <w:u w:val="none"/>
              </w:rPr>
              <w:t>河南省《工业炉窑大气污染物排放标准》（DB41/1066-2020）表1标准限值要求</w:t>
            </w:r>
            <w:r>
              <w:rPr>
                <w:rFonts w:hint="default" w:ascii="Times New Roman" w:hAnsi="Times New Roman" w:cs="Times New Roman"/>
                <w:b w:val="0"/>
                <w:bCs/>
                <w:color w:val="auto"/>
                <w:sz w:val="24"/>
                <w:szCs w:val="24"/>
                <w:highlight w:val="none"/>
                <w:u w:val="none"/>
                <w:lang w:eastAsia="zh-CN"/>
              </w:rPr>
              <w:t>，同时满</w:t>
            </w:r>
            <w:r>
              <w:rPr>
                <w:rFonts w:hint="default" w:ascii="Times New Roman" w:hAnsi="Times New Roman" w:cs="Times New Roman"/>
                <w:b w:val="0"/>
                <w:bCs/>
                <w:color w:val="auto"/>
                <w:sz w:val="24"/>
                <w:szCs w:val="24"/>
                <w:u w:val="none"/>
                <w:lang w:eastAsia="zh-CN"/>
              </w:rPr>
              <w:t>足</w:t>
            </w:r>
            <w:r>
              <w:rPr>
                <w:rFonts w:hint="default" w:ascii="Times New Roman" w:hAnsi="Times New Roman" w:cs="Times New Roman"/>
                <w:color w:val="auto"/>
                <w:sz w:val="24"/>
                <w:szCs w:val="24"/>
                <w:lang w:val="en-US" w:eastAsia="zh-CN"/>
              </w:rPr>
              <w:t>《重污染天气重点行业应急减排措施制定技术指南</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2020</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年修订版》第十四、有色金属压延行业A级标准限值</w:t>
            </w:r>
            <w:r>
              <w:rPr>
                <w:rFonts w:hint="default" w:ascii="Times New Roman" w:hAnsi="Times New Roman" w:cs="Times New Roman"/>
                <w:color w:val="auto"/>
                <w:sz w:val="24"/>
                <w:szCs w:val="24"/>
                <w:highlight w:val="none"/>
                <w:lang w:eastAsia="zh-CN"/>
              </w:rPr>
              <w:t>。</w:t>
            </w:r>
          </w:p>
          <w:p>
            <w:pPr>
              <w:pStyle w:val="2"/>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大气污染物</w:t>
            </w:r>
            <w:r>
              <w:rPr>
                <w:rFonts w:hint="default" w:ascii="Times New Roman" w:hAnsi="Times New Roman" w:cs="Times New Roman"/>
                <w:color w:val="auto"/>
                <w:sz w:val="24"/>
                <w:szCs w:val="24"/>
                <w:lang w:eastAsia="zh-CN"/>
              </w:rPr>
              <w:t>综合</w:t>
            </w:r>
            <w:r>
              <w:rPr>
                <w:rFonts w:hint="default" w:ascii="Times New Roman" w:hAnsi="Times New Roman" w:cs="Times New Roman"/>
                <w:color w:val="auto"/>
                <w:sz w:val="24"/>
                <w:szCs w:val="24"/>
              </w:rPr>
              <w:t>排放标准</w:t>
            </w:r>
          </w:p>
          <w:tbl>
            <w:tblPr>
              <w:tblStyle w:val="27"/>
              <w:tblW w:w="7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224"/>
              <w:gridCol w:w="1808"/>
              <w:gridCol w:w="1391"/>
              <w:gridCol w:w="1201"/>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982"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1224"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排放浓度</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mg/</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sz w:val="21"/>
                      <w:szCs w:val="21"/>
                      <w:highlight w:val="none"/>
                      <w:lang w:eastAsia="zh-CN"/>
                    </w:rPr>
                    <w:t>）</w:t>
                  </w:r>
                </w:p>
              </w:tc>
              <w:tc>
                <w:tcPr>
                  <w:tcW w:w="3199" w:type="dxa"/>
                  <w:gridSpan w:val="2"/>
                  <w:tcBorders>
                    <w:bottom w:val="nil"/>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二级标准最高允许排放速率</w:t>
                  </w:r>
                </w:p>
              </w:tc>
              <w:tc>
                <w:tcPr>
                  <w:tcW w:w="2400" w:type="dxa"/>
                  <w:gridSpan w:val="2"/>
                  <w:tcBorders>
                    <w:bottom w:val="nil"/>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无组织排放监控点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82"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c>
                <w:tcPr>
                  <w:tcW w:w="1224"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c>
                <w:tcPr>
                  <w:tcW w:w="180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排气筒高度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lang w:eastAsia="zh-CN"/>
                    </w:rPr>
                    <w:t>）</w:t>
                  </w:r>
                </w:p>
              </w:tc>
              <w:tc>
                <w:tcPr>
                  <w:tcW w:w="139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kg/h</w:t>
                  </w:r>
                  <w:r>
                    <w:rPr>
                      <w:rFonts w:hint="default" w:ascii="Times New Roman" w:hAnsi="Times New Roman" w:eastAsia="宋体" w:cs="Times New Roman"/>
                      <w:color w:val="auto"/>
                      <w:sz w:val="21"/>
                      <w:szCs w:val="21"/>
                      <w:highlight w:val="none"/>
                      <w:lang w:eastAsia="zh-CN"/>
                    </w:rPr>
                    <w:t>）</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监控点</w:t>
                  </w:r>
                </w:p>
              </w:tc>
              <w:tc>
                <w:tcPr>
                  <w:tcW w:w="119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浓度限值</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82"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非甲烷总烃</w:t>
                  </w:r>
                </w:p>
              </w:tc>
              <w:tc>
                <w:tcPr>
                  <w:tcW w:w="1224"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120</w:t>
                  </w:r>
                </w:p>
              </w:tc>
              <w:tc>
                <w:tcPr>
                  <w:tcW w:w="1808"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w:t>
                  </w:r>
                </w:p>
              </w:tc>
              <w:tc>
                <w:tcPr>
                  <w:tcW w:w="1391"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17</w:t>
                  </w:r>
                </w:p>
              </w:tc>
              <w:tc>
                <w:tcPr>
                  <w:tcW w:w="1201"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周界外浓度最高点</w:t>
                  </w:r>
                </w:p>
              </w:tc>
              <w:tc>
                <w:tcPr>
                  <w:tcW w:w="1199"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2"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w:t>
                  </w:r>
                </w:p>
              </w:tc>
              <w:tc>
                <w:tcPr>
                  <w:tcW w:w="1224"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120</w:t>
                  </w:r>
                </w:p>
              </w:tc>
              <w:tc>
                <w:tcPr>
                  <w:tcW w:w="1808"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w:t>
                  </w:r>
                </w:p>
              </w:tc>
              <w:tc>
                <w:tcPr>
                  <w:tcW w:w="1391"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5.9</w:t>
                  </w:r>
                </w:p>
              </w:tc>
              <w:tc>
                <w:tcPr>
                  <w:tcW w:w="1201"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p>
              </w:tc>
              <w:tc>
                <w:tcPr>
                  <w:tcW w:w="1199"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r>
          </w:tbl>
          <w:p>
            <w:pPr>
              <w:pStyle w:val="2"/>
              <w:bidi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河南省工业炉窑大气污染物排放标准</w:t>
            </w:r>
          </w:p>
          <w:tbl>
            <w:tblPr>
              <w:tblStyle w:val="27"/>
              <w:tblW w:w="7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2"/>
              <w:gridCol w:w="4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3752"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污染物</w:t>
                  </w:r>
                </w:p>
              </w:tc>
              <w:tc>
                <w:tcPr>
                  <w:tcW w:w="4053"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排放浓度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mg/</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752"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w:t>
                  </w:r>
                </w:p>
              </w:tc>
              <w:tc>
                <w:tcPr>
                  <w:tcW w:w="4053"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752"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二氧化硫</w:t>
                  </w:r>
                </w:p>
              </w:tc>
              <w:tc>
                <w:tcPr>
                  <w:tcW w:w="4053"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752"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氮氧化物</w:t>
                  </w:r>
                </w:p>
              </w:tc>
              <w:tc>
                <w:tcPr>
                  <w:tcW w:w="4053"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color w:val="auto"/>
                      <w:sz w:val="21"/>
                      <w:szCs w:val="21"/>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752"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b w:val="0"/>
                      <w:bCs/>
                      <w:color w:val="auto"/>
                      <w:sz w:val="21"/>
                      <w:szCs w:val="21"/>
                      <w:u w:val="none"/>
                      <w:vertAlign w:val="baseline"/>
                      <w:lang w:eastAsia="zh-CN"/>
                    </w:rPr>
                    <w:t>铅及其化合物</w:t>
                  </w:r>
                </w:p>
              </w:tc>
              <w:tc>
                <w:tcPr>
                  <w:tcW w:w="4053"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 w:val="0"/>
                      <w:bCs/>
                      <w:color w:val="auto"/>
                      <w:sz w:val="21"/>
                      <w:szCs w:val="21"/>
                      <w:u w:val="none"/>
                      <w:vertAlign w:val="baseline"/>
                      <w:lang w:val="en-US" w:eastAsia="zh-CN"/>
                    </w:rPr>
                    <w:t>0.7</w:t>
                  </w:r>
                </w:p>
              </w:tc>
            </w:tr>
          </w:tbl>
          <w:p>
            <w:pPr>
              <w:pStyle w:val="2"/>
              <w:bidi w:val="0"/>
              <w:spacing w:line="360" w:lineRule="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eastAsia="zh-CN"/>
              </w:rPr>
              <w:t xml:space="preserve">  排放建议限值</w:t>
            </w:r>
            <w:r>
              <w:rPr>
                <w:rFonts w:hint="default" w:ascii="Times New Roman" w:hAnsi="Times New Roman" w:cs="Times New Roman"/>
                <w:color w:val="auto"/>
                <w:sz w:val="24"/>
                <w:szCs w:val="24"/>
                <w:lang w:eastAsia="zh-CN"/>
              </w:rPr>
              <w:t>（豫环攻坚办〔</w:t>
            </w:r>
            <w:r>
              <w:rPr>
                <w:rFonts w:hint="default" w:ascii="Times New Roman" w:hAnsi="Times New Roman" w:cs="Times New Roman"/>
                <w:color w:val="auto"/>
                <w:sz w:val="24"/>
                <w:szCs w:val="24"/>
                <w:lang w:val="en-US" w:eastAsia="zh-CN"/>
              </w:rPr>
              <w:t>2017〕162号及绩效分级A级）</w:t>
            </w:r>
          </w:p>
          <w:tbl>
            <w:tblPr>
              <w:tblStyle w:val="27"/>
              <w:tblW w:w="7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1925"/>
              <w:gridCol w:w="1700"/>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81"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污染物</w:t>
                  </w:r>
                </w:p>
              </w:tc>
              <w:tc>
                <w:tcPr>
                  <w:tcW w:w="1925"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豫环攻坚办〔</w:t>
                  </w:r>
                  <w:r>
                    <w:rPr>
                      <w:rFonts w:hint="default" w:ascii="Times New Roman" w:hAnsi="Times New Roman" w:eastAsia="宋体" w:cs="Times New Roman"/>
                      <w:color w:val="auto"/>
                      <w:sz w:val="21"/>
                      <w:szCs w:val="21"/>
                      <w:highlight w:val="none"/>
                      <w:lang w:val="en-US" w:eastAsia="zh-CN"/>
                    </w:rPr>
                    <w:t>2017〕162号</w:t>
                  </w:r>
                  <w:r>
                    <w:rPr>
                      <w:rFonts w:hint="default" w:ascii="Times New Roman" w:hAnsi="Times New Roman" w:eastAsia="宋体" w:cs="Times New Roman"/>
                      <w:color w:val="auto"/>
                      <w:sz w:val="21"/>
                      <w:szCs w:val="21"/>
                      <w:highlight w:val="none"/>
                      <w:lang w:eastAsia="zh-CN"/>
                    </w:rPr>
                    <w:t>排放建议值（mg/m</w:t>
                  </w:r>
                  <w:r>
                    <w:rPr>
                      <w:rFonts w:hint="default" w:ascii="Times New Roman" w:hAnsi="Times New Roman" w:eastAsia="宋体" w:cs="Times New Roman"/>
                      <w:color w:val="auto"/>
                      <w:sz w:val="21"/>
                      <w:szCs w:val="21"/>
                      <w:highlight w:val="none"/>
                      <w:vertAlign w:val="superscript"/>
                      <w:lang w:eastAsia="zh-CN"/>
                    </w:rPr>
                    <w:t>3</w:t>
                  </w:r>
                  <w:r>
                    <w:rPr>
                      <w:rFonts w:hint="default" w:ascii="Times New Roman" w:hAnsi="Times New Roman" w:eastAsia="宋体" w:cs="Times New Roman"/>
                      <w:color w:val="auto"/>
                      <w:sz w:val="21"/>
                      <w:szCs w:val="21"/>
                      <w:highlight w:val="none"/>
                      <w:lang w:eastAsia="zh-CN"/>
                    </w:rPr>
                    <w:t>）</w:t>
                  </w:r>
                </w:p>
              </w:tc>
              <w:tc>
                <w:tcPr>
                  <w:tcW w:w="1700"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b w:val="0"/>
                      <w:bCs w:val="0"/>
                      <w:color w:val="auto"/>
                      <w:sz w:val="21"/>
                      <w:szCs w:val="21"/>
                      <w:lang w:val="en-US" w:eastAsia="zh-CN"/>
                    </w:rPr>
                    <w:t>绩效分级A级</w:t>
                  </w:r>
                  <w:r>
                    <w:rPr>
                      <w:rFonts w:hint="default" w:ascii="Times New Roman" w:hAnsi="Times New Roman" w:eastAsia="宋体" w:cs="Times New Roman"/>
                      <w:color w:val="auto"/>
                      <w:sz w:val="21"/>
                      <w:szCs w:val="21"/>
                      <w:highlight w:val="none"/>
                      <w:lang w:eastAsia="zh-CN"/>
                    </w:rPr>
                    <w:t>排放建议值（mg/m</w:t>
                  </w:r>
                  <w:r>
                    <w:rPr>
                      <w:rFonts w:hint="default" w:ascii="Times New Roman" w:hAnsi="Times New Roman" w:eastAsia="宋体" w:cs="Times New Roman"/>
                      <w:color w:val="auto"/>
                      <w:sz w:val="21"/>
                      <w:szCs w:val="21"/>
                      <w:highlight w:val="none"/>
                      <w:vertAlign w:val="superscript"/>
                      <w:lang w:eastAsia="zh-CN"/>
                    </w:rPr>
                    <w:t>3</w:t>
                  </w:r>
                  <w:r>
                    <w:rPr>
                      <w:rFonts w:hint="default" w:ascii="Times New Roman" w:hAnsi="Times New Roman" w:eastAsia="宋体" w:cs="Times New Roman"/>
                      <w:color w:val="auto"/>
                      <w:sz w:val="21"/>
                      <w:szCs w:val="21"/>
                      <w:highlight w:val="none"/>
                      <w:lang w:eastAsia="zh-CN"/>
                    </w:rPr>
                    <w:t>）</w:t>
                  </w:r>
                </w:p>
              </w:tc>
              <w:tc>
                <w:tcPr>
                  <w:tcW w:w="2392"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厂界排放建议值（mg/m</w:t>
                  </w:r>
                  <w:r>
                    <w:rPr>
                      <w:rFonts w:hint="default" w:ascii="Times New Roman" w:hAnsi="Times New Roman" w:eastAsia="宋体" w:cs="Times New Roman"/>
                      <w:color w:val="auto"/>
                      <w:sz w:val="21"/>
                      <w:szCs w:val="21"/>
                      <w:highlight w:val="none"/>
                      <w:vertAlign w:val="superscript"/>
                      <w:lang w:eastAsia="zh-CN"/>
                    </w:rPr>
                    <w:t>3</w:t>
                  </w:r>
                  <w:r>
                    <w:rPr>
                      <w:rFonts w:hint="default" w:ascii="Times New Roman" w:hAnsi="Times New Roman"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81"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p>
              </w:tc>
              <w:tc>
                <w:tcPr>
                  <w:tcW w:w="1925"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p>
              </w:tc>
              <w:tc>
                <w:tcPr>
                  <w:tcW w:w="1700"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p>
              </w:tc>
              <w:tc>
                <w:tcPr>
                  <w:tcW w:w="2392"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81"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非甲烷总烃</w:t>
                  </w:r>
                </w:p>
              </w:tc>
              <w:tc>
                <w:tcPr>
                  <w:tcW w:w="1925"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w:t>
                  </w:r>
                </w:p>
              </w:tc>
              <w:tc>
                <w:tcPr>
                  <w:tcW w:w="1700"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2392"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81"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w:t>
                  </w:r>
                </w:p>
              </w:tc>
              <w:tc>
                <w:tcPr>
                  <w:tcW w:w="1925"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1700"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2392"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81"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二氧化硫</w:t>
                  </w:r>
                </w:p>
              </w:tc>
              <w:tc>
                <w:tcPr>
                  <w:tcW w:w="1925"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1700"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50</w:t>
                  </w:r>
                </w:p>
              </w:tc>
              <w:tc>
                <w:tcPr>
                  <w:tcW w:w="2392"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81"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氮氧化物</w:t>
                  </w:r>
                </w:p>
              </w:tc>
              <w:tc>
                <w:tcPr>
                  <w:tcW w:w="1925"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1700"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50</w:t>
                  </w:r>
                </w:p>
              </w:tc>
              <w:tc>
                <w:tcPr>
                  <w:tcW w:w="2392"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bl>
          <w:p>
            <w:pPr>
              <w:adjustRightInd w:val="0"/>
              <w:snapToGrid w:val="0"/>
              <w:spacing w:line="360" w:lineRule="auto"/>
              <w:ind w:firstLine="477" w:firstLineChars="199"/>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color w:val="auto"/>
                <w:sz w:val="24"/>
                <w:szCs w:val="24"/>
                <w:vertAlign w:val="baseline"/>
                <w:lang w:val="en-US" w:eastAsia="zh-CN"/>
              </w:rPr>
              <w:t>《挥发性有机物无组织排放控制标准》（GB37822-2019）特别排放限值（厂房外设置监控点）（监控点处任意一次浓度值20mg/m</w:t>
            </w:r>
            <w:r>
              <w:rPr>
                <w:rFonts w:hint="default" w:ascii="Times New Roman" w:hAnsi="Times New Roman" w:cs="Times New Roman"/>
                <w:b w:val="0"/>
                <w:bCs/>
                <w:color w:val="auto"/>
                <w:sz w:val="24"/>
                <w:szCs w:val="24"/>
                <w:vertAlign w:val="superscript"/>
                <w:lang w:val="en-US" w:eastAsia="zh-CN"/>
              </w:rPr>
              <w:t>3</w:t>
            </w:r>
            <w:r>
              <w:rPr>
                <w:rFonts w:hint="default" w:ascii="Times New Roman" w:hAnsi="Times New Roman" w:cs="Times New Roman"/>
                <w:b w:val="0"/>
                <w:bCs/>
                <w:color w:val="auto"/>
                <w:sz w:val="24"/>
                <w:szCs w:val="24"/>
                <w:vertAlign w:val="baseline"/>
                <w:lang w:val="en-US" w:eastAsia="zh-CN"/>
              </w:rPr>
              <w:t>、监控点处1h平均浓度值6mg/m</w:t>
            </w:r>
            <w:r>
              <w:rPr>
                <w:rFonts w:hint="default" w:ascii="Times New Roman" w:hAnsi="Times New Roman" w:cs="Times New Roman"/>
                <w:b w:val="0"/>
                <w:bCs/>
                <w:color w:val="auto"/>
                <w:sz w:val="24"/>
                <w:szCs w:val="24"/>
                <w:vertAlign w:val="superscript"/>
                <w:lang w:val="en-US" w:eastAsia="zh-CN"/>
              </w:rPr>
              <w:t>3</w:t>
            </w:r>
            <w:r>
              <w:rPr>
                <w:rFonts w:hint="default" w:ascii="Times New Roman" w:hAnsi="Times New Roman" w:cs="Times New Roman"/>
                <w:b w:val="0"/>
                <w:bCs/>
                <w:color w:val="auto"/>
                <w:sz w:val="24"/>
                <w:szCs w:val="24"/>
                <w:vertAlign w:val="baseline"/>
                <w:lang w:val="en-US" w:eastAsia="zh-CN"/>
              </w:rPr>
              <w:t>）。</w:t>
            </w:r>
          </w:p>
          <w:p>
            <w:pPr>
              <w:pStyle w:val="16"/>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color w:val="auto"/>
                <w:sz w:val="24"/>
                <w:szCs w:val="24"/>
              </w:rPr>
            </w:pPr>
            <w:r>
              <w:rPr>
                <w:rFonts w:hint="eastAsia" w:ascii="Times New Roman" w:hAnsi="Times New Roman" w:cs="Times New Roman"/>
                <w:b/>
                <w:color w:val="auto"/>
                <w:sz w:val="24"/>
                <w:szCs w:val="24"/>
                <w:lang w:val="en-US" w:eastAsia="zh-CN"/>
              </w:rPr>
              <w:t>2</w:t>
            </w:r>
            <w:r>
              <w:rPr>
                <w:rFonts w:hint="default" w:ascii="Times New Roman" w:hAnsi="Times New Roman" w:eastAsia="宋体" w:cs="Times New Roman"/>
                <w:b/>
                <w:color w:val="auto"/>
                <w:sz w:val="24"/>
                <w:szCs w:val="24"/>
              </w:rPr>
              <w:t>、噪声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kern w:val="2"/>
                <w:sz w:val="24"/>
                <w:szCs w:val="24"/>
                <w:highlight w:val="none"/>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营运期</w:t>
            </w:r>
            <w:r>
              <w:rPr>
                <w:rFonts w:hint="eastAsia" w:ascii="Times New Roman" w:hAnsi="Times New Roman" w:cs="Times New Roman"/>
                <w:b w:val="0"/>
                <w:bCs/>
                <w:color w:val="auto"/>
                <w:kern w:val="2"/>
                <w:sz w:val="24"/>
                <w:szCs w:val="24"/>
                <w:highlight w:val="none"/>
                <w:lang w:val="en-US" w:eastAsia="zh-CN" w:bidi="ar-SA"/>
              </w:rPr>
              <w:t>东、南、北厂界</w:t>
            </w:r>
            <w:r>
              <w:rPr>
                <w:rFonts w:hint="default" w:ascii="Times New Roman" w:hAnsi="Times New Roman" w:eastAsia="宋体" w:cs="Times New Roman"/>
                <w:b w:val="0"/>
                <w:bCs/>
                <w:color w:val="auto"/>
                <w:kern w:val="2"/>
                <w:sz w:val="24"/>
                <w:szCs w:val="24"/>
                <w:highlight w:val="none"/>
                <w:lang w:val="en-US" w:eastAsia="zh-CN" w:bidi="ar-SA"/>
              </w:rPr>
              <w:t>执行《工业企业厂界环境噪声排放标准》（GB12348-2008）3类标准（昼间≦65dB(A)、夜间≦55dB(A)）</w:t>
            </w:r>
            <w:r>
              <w:rPr>
                <w:rFonts w:hint="eastAsia" w:ascii="Times New Roman" w:hAnsi="Times New Roman" w:cs="Times New Roman"/>
                <w:b w:val="0"/>
                <w:bCs/>
                <w:color w:val="auto"/>
                <w:kern w:val="2"/>
                <w:sz w:val="24"/>
                <w:szCs w:val="24"/>
                <w:highlight w:val="none"/>
                <w:lang w:val="en-US" w:eastAsia="zh-CN" w:bidi="ar-SA"/>
              </w:rPr>
              <w:t>，西厂界执行</w:t>
            </w:r>
            <w:r>
              <w:rPr>
                <w:rFonts w:hint="default" w:ascii="Times New Roman" w:hAnsi="Times New Roman" w:eastAsia="宋体" w:cs="Times New Roman"/>
                <w:b w:val="0"/>
                <w:bCs/>
                <w:color w:val="auto"/>
                <w:kern w:val="2"/>
                <w:sz w:val="24"/>
                <w:szCs w:val="24"/>
                <w:highlight w:val="none"/>
                <w:lang w:val="en-US" w:eastAsia="zh-CN" w:bidi="ar-SA"/>
              </w:rPr>
              <w:t>《工业企业厂界环境噪声排放标准》（GB12348-2008）</w:t>
            </w:r>
            <w:r>
              <w:rPr>
                <w:rFonts w:hint="eastAsia" w:ascii="Times New Roman" w:hAnsi="Times New Roman" w:eastAsia="宋体" w:cs="Times New Roman"/>
                <w:b w:val="0"/>
                <w:bCs/>
                <w:color w:val="auto"/>
                <w:kern w:val="2"/>
                <w:sz w:val="24"/>
                <w:szCs w:val="24"/>
                <w:highlight w:val="none"/>
                <w:lang w:val="en-US" w:eastAsia="zh-CN" w:bidi="ar-SA"/>
              </w:rPr>
              <w:t>4</w:t>
            </w:r>
            <w:r>
              <w:rPr>
                <w:rFonts w:hint="default" w:ascii="Times New Roman" w:hAnsi="Times New Roman" w:eastAsia="宋体" w:cs="Times New Roman"/>
                <w:b w:val="0"/>
                <w:bCs/>
                <w:color w:val="auto"/>
                <w:kern w:val="2"/>
                <w:sz w:val="24"/>
                <w:szCs w:val="24"/>
                <w:highlight w:val="none"/>
                <w:lang w:val="en-US" w:eastAsia="zh-CN" w:bidi="ar-SA"/>
              </w:rPr>
              <w:t>类标准（昼间≦</w:t>
            </w:r>
            <w:r>
              <w:rPr>
                <w:rFonts w:hint="eastAsia" w:ascii="Times New Roman" w:hAnsi="Times New Roman" w:eastAsia="宋体" w:cs="Times New Roman"/>
                <w:b w:val="0"/>
                <w:bCs/>
                <w:color w:val="auto"/>
                <w:kern w:val="2"/>
                <w:sz w:val="24"/>
                <w:szCs w:val="24"/>
                <w:highlight w:val="none"/>
                <w:lang w:val="en-US" w:eastAsia="zh-CN" w:bidi="ar-SA"/>
              </w:rPr>
              <w:t>70</w:t>
            </w:r>
            <w:r>
              <w:rPr>
                <w:rFonts w:hint="default" w:ascii="Times New Roman" w:hAnsi="Times New Roman" w:eastAsia="宋体" w:cs="Times New Roman"/>
                <w:b w:val="0"/>
                <w:bCs/>
                <w:color w:val="auto"/>
                <w:kern w:val="2"/>
                <w:sz w:val="24"/>
                <w:szCs w:val="24"/>
                <w:highlight w:val="none"/>
                <w:lang w:val="en-US" w:eastAsia="zh-CN" w:bidi="ar-SA"/>
              </w:rPr>
              <w:t>dB(A)、夜间≦55dB(A)）。</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left"/>
              <w:textAlignment w:val="auto"/>
              <w:rPr>
                <w:rFonts w:hint="default" w:ascii="Times New Roman" w:hAnsi="Times New Roman" w:eastAsia="宋体" w:cs="Times New Roman"/>
                <w:b/>
                <w:color w:val="auto"/>
                <w:sz w:val="24"/>
                <w:szCs w:val="24"/>
              </w:rPr>
            </w:pPr>
            <w:r>
              <w:rPr>
                <w:rFonts w:hint="eastAsia" w:ascii="Times New Roman" w:hAnsi="Times New Roman" w:cs="Times New Roman"/>
                <w:b/>
                <w:color w:val="auto"/>
                <w:sz w:val="24"/>
                <w:szCs w:val="24"/>
                <w:lang w:val="en-US" w:eastAsia="zh-CN"/>
              </w:rPr>
              <w:t>3</w:t>
            </w:r>
            <w:r>
              <w:rPr>
                <w:rFonts w:hint="default" w:ascii="Times New Roman" w:hAnsi="Times New Roman" w:eastAsia="宋体" w:cs="Times New Roman"/>
                <w:b/>
                <w:color w:val="auto"/>
                <w:sz w:val="24"/>
                <w:szCs w:val="24"/>
              </w:rPr>
              <w:t>、固体废物处置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highlight w:val="none"/>
              </w:rPr>
              <w:t>一般固废执行《一般工业固体废物贮存</w:t>
            </w:r>
            <w:r>
              <w:rPr>
                <w:rFonts w:hint="default" w:ascii="Times New Roman" w:hAnsi="Times New Roman" w:eastAsia="宋体" w:cs="Times New Roman"/>
                <w:color w:val="auto"/>
                <w:sz w:val="24"/>
                <w:szCs w:val="24"/>
                <w:highlight w:val="none"/>
                <w:lang w:eastAsia="zh-CN"/>
              </w:rPr>
              <w:t>和填埋</w:t>
            </w:r>
            <w:r>
              <w:rPr>
                <w:rFonts w:hint="default" w:ascii="Times New Roman" w:hAnsi="Times New Roman" w:eastAsia="宋体" w:cs="Times New Roman"/>
                <w:color w:val="auto"/>
                <w:sz w:val="24"/>
                <w:szCs w:val="24"/>
                <w:highlight w:val="none"/>
              </w:rPr>
              <w:t>污染控制标准》（GB18599-20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sz w:val="24"/>
                <w:szCs w:val="24"/>
                <w:highlight w:val="none"/>
                <w:lang w:eastAsia="zh-CN"/>
              </w:rPr>
              <w:t>，危险废物执行《危险废物贮存污染控制标准》（GB18597-20</w:t>
            </w:r>
            <w:r>
              <w:rPr>
                <w:rFonts w:hint="eastAsia" w:ascii="Times New Roman" w:hAnsi="Times New Roman" w:cs="Times New Roman"/>
                <w:color w:val="auto"/>
                <w:sz w:val="24"/>
                <w:szCs w:val="24"/>
                <w:highlight w:val="none"/>
                <w:lang w:val="en-US" w:eastAsia="zh-CN"/>
              </w:rPr>
              <w:t>23</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8" w:type="dxa"/>
            <w:noWrap w:val="0"/>
            <w:vAlign w:val="center"/>
          </w:tcPr>
          <w:p>
            <w:pPr>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总量控制指标</w:t>
            </w:r>
          </w:p>
        </w:tc>
        <w:tc>
          <w:tcPr>
            <w:tcW w:w="8034" w:type="dxa"/>
            <w:noWrap w:val="0"/>
            <w:vAlign w:val="center"/>
          </w:tcPr>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imes New Roman" w:hAnsi="Times New Roman"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single"/>
                <w:lang w:eastAsia="zh-CN"/>
              </w:rPr>
              <w:t>为了</w:t>
            </w:r>
            <w:r>
              <w:rPr>
                <w:rFonts w:hint="default" w:ascii="Times New Roman" w:hAnsi="Times New Roman" w:cs="Times New Roman"/>
                <w:b/>
                <w:bCs/>
                <w:color w:val="auto"/>
                <w:sz w:val="24"/>
                <w:szCs w:val="24"/>
                <w:highlight w:val="none"/>
                <w:u w:val="single"/>
                <w:lang w:val="en-US" w:eastAsia="zh-CN"/>
              </w:rPr>
              <w:t>适应市场需求，提升</w:t>
            </w:r>
            <w:r>
              <w:rPr>
                <w:rFonts w:hint="default" w:ascii="Times New Roman" w:hAnsi="Times New Roman" w:cs="Times New Roman"/>
                <w:b/>
                <w:bCs/>
                <w:color w:val="auto"/>
                <w:sz w:val="24"/>
                <w:szCs w:val="24"/>
                <w:highlight w:val="none"/>
                <w:u w:val="single"/>
                <w:lang w:eastAsia="zh-CN"/>
              </w:rPr>
              <w:t>产品质量，</w:t>
            </w:r>
            <w:r>
              <w:rPr>
                <w:rFonts w:hint="eastAsia" w:ascii="Times New Roman" w:hAnsi="Times New Roman" w:cs="Times New Roman"/>
                <w:b/>
                <w:bCs/>
                <w:color w:val="auto"/>
                <w:sz w:val="24"/>
                <w:szCs w:val="24"/>
                <w:highlight w:val="none"/>
                <w:u w:val="single"/>
                <w:lang w:val="en-US" w:eastAsia="zh-CN"/>
              </w:rPr>
              <w:t>增加倾动炉、中退炉、均热炉等提升原料配方和合金元素控制精准度、生产过程测量精准度，实现质量进一步提升</w:t>
            </w:r>
            <w:r>
              <w:rPr>
                <w:rFonts w:hint="default" w:ascii="Times New Roman" w:hAnsi="Times New Roman" w:cs="Times New Roman"/>
                <w:b/>
                <w:bCs/>
                <w:color w:val="auto"/>
                <w:sz w:val="24"/>
                <w:szCs w:val="24"/>
                <w:highlight w:val="none"/>
                <w:u w:val="single"/>
                <w:lang w:eastAsia="zh-CN"/>
              </w:rPr>
              <w:t>，所以用电量、用气量相应增加，污染物排放总量也相应增加。</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imes New Roman" w:hAnsi="Times New Roman" w:cs="Times New Roman"/>
                <w:b/>
                <w:bCs/>
                <w:color w:val="auto"/>
                <w:sz w:val="24"/>
                <w:szCs w:val="24"/>
                <w:highlight w:val="none"/>
                <w:u w:val="single"/>
                <w:lang w:val="en-US" w:eastAsia="zh-CN"/>
              </w:rPr>
            </w:pPr>
            <w:r>
              <w:rPr>
                <w:rFonts w:hint="eastAsia" w:ascii="Times New Roman" w:hAnsi="Times New Roman" w:cs="Times New Roman"/>
                <w:b/>
                <w:bCs/>
                <w:color w:val="auto"/>
                <w:sz w:val="24"/>
                <w:szCs w:val="24"/>
                <w:highlight w:val="none"/>
                <w:u w:val="single"/>
                <w:lang w:val="en-US" w:eastAsia="zh-CN"/>
              </w:rPr>
              <w:t>废水：</w:t>
            </w:r>
          </w:p>
          <w:p>
            <w:pPr>
              <w:keepNext w:val="0"/>
              <w:keepLines w:val="0"/>
              <w:pageBreakBefore w:val="0"/>
              <w:widowControl/>
              <w:kinsoku/>
              <w:wordWrap/>
              <w:overflowPunct/>
              <w:topLinePunct w:val="0"/>
              <w:autoSpaceDE/>
              <w:autoSpaceDN/>
              <w:bidi w:val="0"/>
              <w:spacing w:line="360" w:lineRule="auto"/>
              <w:ind w:firstLine="482" w:firstLineChars="200"/>
              <w:textAlignment w:val="auto"/>
              <w:rPr>
                <w:rFonts w:hint="default" w:ascii="Times New Roman" w:hAnsi="Times New Roman" w:cs="Times New Roman"/>
                <w:b/>
                <w:bCs/>
                <w:color w:val="auto"/>
                <w:sz w:val="24"/>
                <w:szCs w:val="24"/>
                <w:highlight w:val="none"/>
                <w:u w:val="single"/>
                <w:lang w:val="en-US" w:eastAsia="zh-CN"/>
              </w:rPr>
            </w:pPr>
            <w:r>
              <w:rPr>
                <w:rFonts w:hint="eastAsia" w:ascii="Times New Roman" w:hAnsi="Times New Roman" w:cs="Times New Roman"/>
                <w:b/>
                <w:bCs/>
                <w:color w:val="auto"/>
                <w:sz w:val="24"/>
                <w:szCs w:val="24"/>
                <w:highlight w:val="none"/>
                <w:u w:val="single"/>
                <w:lang w:val="en-US" w:eastAsia="zh-CN"/>
              </w:rPr>
              <w:t>本项目生产过程中不新增生产废水；员工从现有工程中调配，不新增生活污水，因此项目废水总量控制指标不新增。</w:t>
            </w:r>
          </w:p>
          <w:p>
            <w:pPr>
              <w:keepNext w:val="0"/>
              <w:keepLines w:val="0"/>
              <w:pageBreakBefore w:val="0"/>
              <w:widowControl/>
              <w:kinsoku/>
              <w:wordWrap/>
              <w:overflowPunct/>
              <w:topLinePunct w:val="0"/>
              <w:autoSpaceDE/>
              <w:autoSpaceDN/>
              <w:bidi w:val="0"/>
              <w:spacing w:line="360" w:lineRule="auto"/>
              <w:ind w:firstLine="482" w:firstLineChars="200"/>
              <w:textAlignment w:val="auto"/>
              <w:rPr>
                <w:rFonts w:hint="default" w:ascii="Times New Roman" w:hAnsi="Times New Roman" w:cs="Times New Roman"/>
                <w:b/>
                <w:bCs/>
                <w:color w:val="auto"/>
                <w:sz w:val="24"/>
                <w:szCs w:val="24"/>
                <w:highlight w:val="none"/>
                <w:u w:val="single"/>
                <w:lang w:eastAsia="zh-CN"/>
              </w:rPr>
            </w:pPr>
            <w:r>
              <w:rPr>
                <w:rFonts w:hint="default" w:ascii="Times New Roman" w:hAnsi="Times New Roman" w:cs="Times New Roman"/>
                <w:b/>
                <w:bCs/>
                <w:color w:val="auto"/>
                <w:sz w:val="24"/>
                <w:szCs w:val="24"/>
                <w:highlight w:val="none"/>
                <w:u w:val="single"/>
                <w:lang w:eastAsia="zh-CN"/>
              </w:rPr>
              <w:t>废气：</w:t>
            </w:r>
          </w:p>
          <w:p>
            <w:pPr>
              <w:keepNext w:val="0"/>
              <w:keepLines w:val="0"/>
              <w:pageBreakBefore w:val="0"/>
              <w:widowControl/>
              <w:kinsoku/>
              <w:wordWrap/>
              <w:overflowPunct/>
              <w:topLinePunct w:val="0"/>
              <w:autoSpaceDE/>
              <w:autoSpaceDN/>
              <w:bidi w:val="0"/>
              <w:spacing w:line="360" w:lineRule="auto"/>
              <w:ind w:firstLine="482" w:firstLineChars="200"/>
              <w:textAlignment w:val="auto"/>
              <w:rPr>
                <w:rFonts w:hint="default" w:ascii="Times New Roman" w:hAnsi="Times New Roman" w:cs="Times New Roman"/>
                <w:b/>
                <w:bCs/>
                <w:color w:val="auto"/>
                <w:sz w:val="24"/>
                <w:szCs w:val="24"/>
                <w:highlight w:val="none"/>
                <w:u w:val="single"/>
                <w:lang w:val="en-US" w:eastAsia="zh-CN"/>
              </w:rPr>
            </w:pPr>
            <w:r>
              <w:rPr>
                <w:rFonts w:hint="default" w:ascii="Times New Roman" w:hAnsi="Times New Roman" w:cs="Times New Roman"/>
                <w:b/>
                <w:bCs/>
                <w:color w:val="auto"/>
                <w:sz w:val="24"/>
                <w:szCs w:val="24"/>
                <w:highlight w:val="none"/>
                <w:u w:val="single"/>
                <w:lang w:val="en-US" w:eastAsia="zh-CN"/>
              </w:rPr>
              <w:t>①本项目在河南科源电子铝箔有限公司高性能电子铝箔技术改造项目的基础上进一步升级改造，现有工程环评批复废气总量指标：</w:t>
            </w:r>
            <w:r>
              <w:rPr>
                <w:rFonts w:hint="default" w:ascii="Times New Roman" w:hAnsi="Times New Roman" w:cs="Times New Roman"/>
                <w:b/>
                <w:bCs/>
                <w:color w:val="auto"/>
                <w:sz w:val="24"/>
                <w:szCs w:val="24"/>
                <w:highlight w:val="none"/>
                <w:u w:val="single"/>
                <w:lang w:eastAsia="zh-CN"/>
              </w:rPr>
              <w:t>颗粒物：</w:t>
            </w:r>
            <w:r>
              <w:rPr>
                <w:rFonts w:hint="default" w:ascii="Times New Roman" w:hAnsi="Times New Roman" w:cs="Times New Roman"/>
                <w:b/>
                <w:bCs/>
                <w:color w:val="auto"/>
                <w:sz w:val="24"/>
                <w:szCs w:val="24"/>
                <w:highlight w:val="none"/>
                <w:u w:val="single"/>
                <w:lang w:val="en-US" w:eastAsia="zh-CN"/>
              </w:rPr>
              <w:t>5.0824t/a、</w:t>
            </w:r>
            <w:r>
              <w:rPr>
                <w:rFonts w:hint="default" w:ascii="Times New Roman" w:hAnsi="Times New Roman" w:cs="Times New Roman"/>
                <w:b/>
                <w:bCs/>
                <w:color w:val="auto"/>
                <w:sz w:val="24"/>
                <w:szCs w:val="24"/>
                <w:highlight w:val="none"/>
                <w:u w:val="single"/>
                <w:lang w:eastAsia="zh-CN"/>
              </w:rPr>
              <w:t>NOx：</w:t>
            </w:r>
            <w:r>
              <w:rPr>
                <w:rFonts w:hint="default" w:ascii="Times New Roman" w:hAnsi="Times New Roman" w:cs="Times New Roman"/>
                <w:b/>
                <w:bCs/>
                <w:color w:val="auto"/>
                <w:sz w:val="24"/>
                <w:szCs w:val="24"/>
                <w:highlight w:val="none"/>
                <w:u w:val="single"/>
                <w:lang w:val="en-US" w:eastAsia="zh-CN"/>
              </w:rPr>
              <w:t>6.551</w:t>
            </w:r>
            <w:r>
              <w:rPr>
                <w:rFonts w:hint="default" w:ascii="Times New Roman" w:hAnsi="Times New Roman" w:cs="Times New Roman"/>
                <w:b/>
                <w:bCs/>
                <w:color w:val="auto"/>
                <w:sz w:val="24"/>
                <w:szCs w:val="24"/>
                <w:highlight w:val="none"/>
                <w:u w:val="single"/>
                <w:lang w:eastAsia="zh-CN"/>
              </w:rPr>
              <w:t>t/a、SO</w:t>
            </w:r>
            <w:r>
              <w:rPr>
                <w:rFonts w:hint="default" w:ascii="Times New Roman" w:hAnsi="Times New Roman" w:cs="Times New Roman"/>
                <w:b/>
                <w:bCs/>
                <w:color w:val="auto"/>
                <w:sz w:val="24"/>
                <w:szCs w:val="24"/>
                <w:highlight w:val="none"/>
                <w:u w:val="single"/>
                <w:vertAlign w:val="subscript"/>
                <w:lang w:eastAsia="zh-CN"/>
              </w:rPr>
              <w:t>2</w:t>
            </w:r>
            <w:r>
              <w:rPr>
                <w:rFonts w:hint="default" w:ascii="Times New Roman" w:hAnsi="Times New Roman" w:cs="Times New Roman"/>
                <w:b/>
                <w:bCs/>
                <w:color w:val="auto"/>
                <w:sz w:val="24"/>
                <w:szCs w:val="24"/>
                <w:highlight w:val="none"/>
                <w:u w:val="single"/>
                <w:lang w:eastAsia="zh-CN"/>
              </w:rPr>
              <w:t>：</w:t>
            </w:r>
            <w:r>
              <w:rPr>
                <w:rFonts w:hint="default" w:ascii="Times New Roman" w:hAnsi="Times New Roman" w:cs="Times New Roman"/>
                <w:b/>
                <w:bCs/>
                <w:color w:val="auto"/>
                <w:sz w:val="24"/>
                <w:szCs w:val="24"/>
                <w:highlight w:val="none"/>
                <w:u w:val="single"/>
                <w:lang w:val="en-US" w:eastAsia="zh-CN"/>
              </w:rPr>
              <w:t>1.122</w:t>
            </w:r>
            <w:r>
              <w:rPr>
                <w:rFonts w:hint="default" w:ascii="Times New Roman" w:hAnsi="Times New Roman" w:cs="Times New Roman"/>
                <w:b/>
                <w:bCs/>
                <w:color w:val="auto"/>
                <w:sz w:val="24"/>
                <w:szCs w:val="24"/>
                <w:highlight w:val="none"/>
                <w:u w:val="single"/>
                <w:lang w:eastAsia="zh-CN"/>
              </w:rPr>
              <w:t>t/a、</w:t>
            </w:r>
            <w:r>
              <w:rPr>
                <w:rFonts w:hint="default" w:ascii="Times New Roman" w:hAnsi="Times New Roman" w:cs="Times New Roman"/>
                <w:b/>
                <w:bCs/>
                <w:color w:val="auto"/>
                <w:sz w:val="24"/>
                <w:szCs w:val="24"/>
                <w:highlight w:val="none"/>
                <w:u w:val="single"/>
                <w:lang w:val="en-US" w:eastAsia="zh-CN"/>
              </w:rPr>
              <w:t>非甲烷总烃21.511t/a。</w:t>
            </w:r>
          </w:p>
          <w:p>
            <w:pPr>
              <w:keepNext w:val="0"/>
              <w:keepLines w:val="0"/>
              <w:pageBreakBefore w:val="0"/>
              <w:widowControl/>
              <w:kinsoku/>
              <w:wordWrap/>
              <w:overflowPunct/>
              <w:topLinePunct w:val="0"/>
              <w:autoSpaceDE/>
              <w:autoSpaceDN/>
              <w:bidi w:val="0"/>
              <w:spacing w:line="360" w:lineRule="auto"/>
              <w:ind w:firstLine="482" w:firstLineChars="200"/>
              <w:textAlignment w:val="auto"/>
              <w:rPr>
                <w:rFonts w:hint="default" w:ascii="Times New Roman" w:hAnsi="Times New Roman" w:cs="Times New Roman"/>
                <w:b/>
                <w:bCs/>
                <w:color w:val="auto"/>
                <w:sz w:val="24"/>
                <w:szCs w:val="24"/>
                <w:highlight w:val="none"/>
                <w:u w:val="single"/>
                <w:lang w:val="en-US" w:eastAsia="zh-CN"/>
              </w:rPr>
            </w:pPr>
            <w:r>
              <w:rPr>
                <w:rFonts w:hint="default" w:ascii="Times New Roman" w:hAnsi="Times New Roman" w:cs="Times New Roman"/>
                <w:b/>
                <w:bCs/>
                <w:color w:val="auto"/>
                <w:sz w:val="24"/>
                <w:szCs w:val="24"/>
                <w:highlight w:val="none"/>
                <w:u w:val="single"/>
                <w:lang w:val="en-US" w:eastAsia="zh-CN"/>
              </w:rPr>
              <w:fldChar w:fldCharType="begin"/>
            </w:r>
            <w:r>
              <w:rPr>
                <w:rFonts w:hint="default" w:ascii="Times New Roman" w:hAnsi="Times New Roman" w:cs="Times New Roman"/>
                <w:b/>
                <w:bCs/>
                <w:color w:val="auto"/>
                <w:sz w:val="24"/>
                <w:szCs w:val="24"/>
                <w:highlight w:val="none"/>
                <w:u w:val="single"/>
                <w:lang w:val="en-US" w:eastAsia="zh-CN"/>
              </w:rPr>
              <w:instrText xml:space="preserve"> = 2 \* GB3 \* MERGEFORMAT </w:instrText>
            </w:r>
            <w:r>
              <w:rPr>
                <w:rFonts w:hint="default" w:ascii="Times New Roman" w:hAnsi="Times New Roman" w:cs="Times New Roman"/>
                <w:b/>
                <w:bCs/>
                <w:color w:val="auto"/>
                <w:sz w:val="24"/>
                <w:szCs w:val="24"/>
                <w:highlight w:val="none"/>
                <w:u w:val="single"/>
                <w:lang w:val="en-US" w:eastAsia="zh-CN"/>
              </w:rPr>
              <w:fldChar w:fldCharType="separate"/>
            </w:r>
            <w:r>
              <w:rPr>
                <w:rFonts w:hint="default" w:ascii="Times New Roman" w:hAnsi="Times New Roman" w:cs="Times New Roman"/>
                <w:b/>
                <w:bCs/>
                <w:color w:val="auto"/>
                <w:sz w:val="24"/>
                <w:szCs w:val="24"/>
                <w:highlight w:val="none"/>
                <w:u w:val="single"/>
                <w:lang w:val="en-US" w:eastAsia="zh-CN"/>
              </w:rPr>
              <w:t>②</w:t>
            </w:r>
            <w:r>
              <w:rPr>
                <w:rFonts w:hint="default" w:ascii="Times New Roman" w:hAnsi="Times New Roman" w:cs="Times New Roman"/>
                <w:b/>
                <w:bCs/>
                <w:color w:val="auto"/>
                <w:sz w:val="24"/>
                <w:szCs w:val="24"/>
                <w:highlight w:val="none"/>
                <w:u w:val="single"/>
                <w:lang w:val="en-US" w:eastAsia="zh-CN"/>
              </w:rPr>
              <w:fldChar w:fldCharType="end"/>
            </w:r>
            <w:r>
              <w:rPr>
                <w:rFonts w:hint="default" w:ascii="Times New Roman" w:hAnsi="Times New Roman" w:cs="Times New Roman"/>
                <w:b/>
                <w:bCs/>
                <w:color w:val="auto"/>
                <w:sz w:val="24"/>
                <w:szCs w:val="24"/>
                <w:highlight w:val="none"/>
                <w:u w:val="single"/>
                <w:lang w:val="en-US" w:eastAsia="zh-CN"/>
              </w:rPr>
              <w:t>本次</w:t>
            </w:r>
            <w:r>
              <w:rPr>
                <w:rFonts w:hint="eastAsia" w:ascii="Times New Roman" w:hAnsi="Times New Roman" w:cs="Times New Roman"/>
                <w:b/>
                <w:bCs/>
                <w:color w:val="auto"/>
                <w:sz w:val="24"/>
                <w:szCs w:val="24"/>
                <w:highlight w:val="none"/>
                <w:u w:val="single"/>
                <w:lang w:val="en-US" w:eastAsia="zh-CN"/>
              </w:rPr>
              <w:t>改建</w:t>
            </w:r>
            <w:r>
              <w:rPr>
                <w:rFonts w:hint="default" w:ascii="Times New Roman" w:hAnsi="Times New Roman" w:cs="Times New Roman"/>
                <w:b/>
                <w:bCs/>
                <w:color w:val="auto"/>
                <w:sz w:val="24"/>
                <w:szCs w:val="24"/>
                <w:highlight w:val="none"/>
                <w:u w:val="single"/>
                <w:lang w:val="en-US" w:eastAsia="zh-CN"/>
              </w:rPr>
              <w:t>项目完成后全厂废气总量指标：颗粒物：</w:t>
            </w:r>
            <w:r>
              <w:rPr>
                <w:rFonts w:hint="eastAsia" w:ascii="Times New Roman" w:hAnsi="Times New Roman" w:cs="Times New Roman"/>
                <w:b/>
                <w:bCs/>
                <w:color w:val="auto"/>
                <w:sz w:val="24"/>
                <w:szCs w:val="24"/>
                <w:highlight w:val="none"/>
                <w:u w:val="single"/>
                <w:lang w:val="en-US" w:eastAsia="zh-CN"/>
              </w:rPr>
              <w:t>5.2836</w:t>
            </w:r>
            <w:r>
              <w:rPr>
                <w:rFonts w:hint="default" w:ascii="Times New Roman" w:hAnsi="Times New Roman" w:cs="Times New Roman"/>
                <w:b/>
                <w:bCs/>
                <w:color w:val="auto"/>
                <w:sz w:val="24"/>
                <w:szCs w:val="24"/>
                <w:highlight w:val="none"/>
                <w:u w:val="single"/>
                <w:lang w:val="en-US" w:eastAsia="zh-CN"/>
              </w:rPr>
              <w:t>t/a、NOx：</w:t>
            </w:r>
            <w:r>
              <w:rPr>
                <w:rFonts w:hint="eastAsia" w:ascii="Times New Roman" w:hAnsi="Times New Roman" w:cs="Times New Roman"/>
                <w:b/>
                <w:bCs/>
                <w:color w:val="auto"/>
                <w:sz w:val="24"/>
                <w:szCs w:val="24"/>
                <w:highlight w:val="none"/>
                <w:u w:val="single"/>
                <w:lang w:val="en-US" w:eastAsia="zh-CN"/>
              </w:rPr>
              <w:t>6.9</w:t>
            </w:r>
            <w:r>
              <w:rPr>
                <w:rFonts w:hint="default" w:ascii="Times New Roman" w:hAnsi="Times New Roman" w:cs="Times New Roman"/>
                <w:b/>
                <w:bCs/>
                <w:color w:val="auto"/>
                <w:sz w:val="24"/>
                <w:szCs w:val="24"/>
                <w:highlight w:val="none"/>
                <w:u w:val="single"/>
                <w:lang w:val="en-US" w:eastAsia="zh-CN"/>
              </w:rPr>
              <w:t>t/a、SO</w:t>
            </w:r>
            <w:r>
              <w:rPr>
                <w:rFonts w:hint="default" w:ascii="Times New Roman" w:hAnsi="Times New Roman" w:cs="Times New Roman"/>
                <w:b/>
                <w:bCs/>
                <w:color w:val="auto"/>
                <w:sz w:val="24"/>
                <w:szCs w:val="24"/>
                <w:highlight w:val="none"/>
                <w:u w:val="single"/>
                <w:vertAlign w:val="subscript"/>
                <w:lang w:val="en-US" w:eastAsia="zh-CN"/>
              </w:rPr>
              <w:t>2</w:t>
            </w:r>
            <w:r>
              <w:rPr>
                <w:rFonts w:hint="default" w:ascii="Times New Roman" w:hAnsi="Times New Roman" w:cs="Times New Roman"/>
                <w:b/>
                <w:bCs/>
                <w:color w:val="auto"/>
                <w:sz w:val="24"/>
                <w:szCs w:val="24"/>
                <w:highlight w:val="none"/>
                <w:u w:val="single"/>
                <w:lang w:val="en-US" w:eastAsia="zh-CN"/>
              </w:rPr>
              <w:t>：</w:t>
            </w:r>
            <w:r>
              <w:rPr>
                <w:rFonts w:hint="eastAsia" w:ascii="Times New Roman" w:hAnsi="Times New Roman" w:cs="Times New Roman"/>
                <w:b/>
                <w:bCs/>
                <w:color w:val="auto"/>
                <w:sz w:val="24"/>
                <w:szCs w:val="24"/>
                <w:highlight w:val="none"/>
                <w:u w:val="single"/>
                <w:lang w:val="en-US" w:eastAsia="zh-CN"/>
              </w:rPr>
              <w:t>1.162</w:t>
            </w:r>
            <w:r>
              <w:rPr>
                <w:rFonts w:hint="default" w:ascii="Times New Roman" w:hAnsi="Times New Roman" w:cs="Times New Roman"/>
                <w:b/>
                <w:bCs/>
                <w:color w:val="auto"/>
                <w:sz w:val="24"/>
                <w:szCs w:val="24"/>
                <w:highlight w:val="none"/>
                <w:u w:val="single"/>
                <w:lang w:val="en-US" w:eastAsia="zh-CN"/>
              </w:rPr>
              <w:t>t/a、非甲烷总烃</w:t>
            </w:r>
            <w:r>
              <w:rPr>
                <w:rFonts w:hint="eastAsia" w:ascii="Times New Roman" w:hAnsi="Times New Roman" w:cs="Times New Roman"/>
                <w:b/>
                <w:bCs/>
                <w:color w:val="auto"/>
                <w:sz w:val="24"/>
                <w:szCs w:val="24"/>
                <w:highlight w:val="none"/>
                <w:u w:val="single"/>
                <w:lang w:val="en-US" w:eastAsia="zh-CN"/>
              </w:rPr>
              <w:t>21.844</w:t>
            </w:r>
            <w:r>
              <w:rPr>
                <w:rFonts w:hint="default" w:ascii="Times New Roman" w:hAnsi="Times New Roman" w:cs="Times New Roman"/>
                <w:b/>
                <w:bCs/>
                <w:color w:val="auto"/>
                <w:sz w:val="24"/>
                <w:szCs w:val="24"/>
                <w:highlight w:val="none"/>
                <w:u w:val="single"/>
                <w:lang w:val="en-US" w:eastAsia="zh-CN"/>
              </w:rPr>
              <w:t>t/a。</w:t>
            </w:r>
          </w:p>
          <w:p>
            <w:pPr>
              <w:keepNext w:val="0"/>
              <w:keepLines w:val="0"/>
              <w:pageBreakBefore w:val="0"/>
              <w:widowControl/>
              <w:kinsoku/>
              <w:wordWrap/>
              <w:overflowPunct/>
              <w:topLinePunct w:val="0"/>
              <w:autoSpaceDE/>
              <w:autoSpaceDN/>
              <w:bidi w:val="0"/>
              <w:spacing w:line="360" w:lineRule="auto"/>
              <w:ind w:firstLine="482" w:firstLineChars="200"/>
              <w:textAlignment w:val="auto"/>
              <w:rPr>
                <w:rFonts w:hint="default" w:ascii="Times New Roman" w:hAnsi="Times New Roman" w:cs="Times New Roman"/>
                <w:b/>
                <w:bCs/>
                <w:color w:val="auto"/>
                <w:sz w:val="24"/>
                <w:szCs w:val="24"/>
                <w:highlight w:val="none"/>
                <w:u w:val="single"/>
                <w:lang w:val="en-US" w:eastAsia="zh-CN"/>
              </w:rPr>
            </w:pPr>
            <w:r>
              <w:rPr>
                <w:rFonts w:hint="default" w:ascii="Times New Roman" w:hAnsi="Times New Roman" w:cs="Times New Roman"/>
                <w:b/>
                <w:bCs/>
                <w:color w:val="auto"/>
                <w:sz w:val="24"/>
                <w:szCs w:val="24"/>
                <w:highlight w:val="none"/>
                <w:u w:val="single"/>
                <w:lang w:val="en-US" w:eastAsia="zh-CN"/>
              </w:rPr>
              <w:t>经上述分析，本项目完成后非甲烷总烃</w:t>
            </w:r>
            <w:r>
              <w:rPr>
                <w:rFonts w:hint="eastAsia" w:ascii="Times New Roman" w:hAnsi="Times New Roman" w:cs="Times New Roman"/>
                <w:b/>
                <w:bCs/>
                <w:color w:val="auto"/>
                <w:sz w:val="24"/>
                <w:szCs w:val="24"/>
                <w:highlight w:val="none"/>
                <w:u w:val="single"/>
                <w:lang w:val="en-US" w:eastAsia="zh-CN"/>
              </w:rPr>
              <w:t>新增加0.333</w:t>
            </w:r>
            <w:r>
              <w:rPr>
                <w:rFonts w:hint="default" w:ascii="Times New Roman" w:hAnsi="Times New Roman" w:cs="Times New Roman"/>
                <w:b/>
                <w:bCs/>
                <w:color w:val="auto"/>
                <w:sz w:val="24"/>
                <w:szCs w:val="24"/>
                <w:highlight w:val="none"/>
                <w:u w:val="single"/>
                <w:lang w:val="en-US" w:eastAsia="zh-CN"/>
              </w:rPr>
              <w:t>t/a，颗粒物新增加</w:t>
            </w:r>
            <w:r>
              <w:rPr>
                <w:rFonts w:hint="eastAsia" w:ascii="Times New Roman" w:hAnsi="Times New Roman" w:cs="Times New Roman"/>
                <w:b/>
                <w:bCs/>
                <w:color w:val="auto"/>
                <w:sz w:val="24"/>
                <w:szCs w:val="24"/>
                <w:highlight w:val="none"/>
                <w:u w:val="single"/>
                <w:lang w:val="en-US" w:eastAsia="zh-CN"/>
              </w:rPr>
              <w:t>0.2012</w:t>
            </w:r>
            <w:r>
              <w:rPr>
                <w:rFonts w:hint="default" w:ascii="Times New Roman" w:hAnsi="Times New Roman" w:cs="Times New Roman"/>
                <w:b/>
                <w:bCs/>
                <w:color w:val="auto"/>
                <w:sz w:val="24"/>
                <w:szCs w:val="24"/>
                <w:highlight w:val="none"/>
                <w:u w:val="single"/>
                <w:lang w:val="en-US" w:eastAsia="zh-CN"/>
              </w:rPr>
              <w:t>t/a，NOx新增加</w:t>
            </w:r>
            <w:r>
              <w:rPr>
                <w:rFonts w:hint="eastAsia" w:ascii="Times New Roman" w:hAnsi="Times New Roman" w:cs="Times New Roman"/>
                <w:b/>
                <w:bCs/>
                <w:color w:val="auto"/>
                <w:sz w:val="24"/>
                <w:szCs w:val="24"/>
                <w:highlight w:val="none"/>
                <w:u w:val="single"/>
                <w:lang w:val="en-US" w:eastAsia="zh-CN"/>
              </w:rPr>
              <w:t>0.349</w:t>
            </w:r>
            <w:r>
              <w:rPr>
                <w:rFonts w:hint="default" w:ascii="Times New Roman" w:hAnsi="Times New Roman" w:cs="Times New Roman"/>
                <w:b/>
                <w:bCs/>
                <w:color w:val="auto"/>
                <w:sz w:val="24"/>
                <w:szCs w:val="24"/>
                <w:highlight w:val="none"/>
                <w:u w:val="single"/>
                <w:lang w:val="en-US" w:eastAsia="zh-CN"/>
              </w:rPr>
              <w:t>t/a、SO</w:t>
            </w:r>
            <w:r>
              <w:rPr>
                <w:rFonts w:hint="default" w:ascii="Times New Roman" w:hAnsi="Times New Roman" w:cs="Times New Roman"/>
                <w:b/>
                <w:bCs/>
                <w:color w:val="auto"/>
                <w:sz w:val="24"/>
                <w:szCs w:val="24"/>
                <w:highlight w:val="none"/>
                <w:u w:val="single"/>
                <w:vertAlign w:val="subscript"/>
                <w:lang w:val="en-US" w:eastAsia="zh-CN"/>
              </w:rPr>
              <w:t>2</w:t>
            </w:r>
            <w:r>
              <w:rPr>
                <w:rFonts w:hint="default" w:ascii="Times New Roman" w:hAnsi="Times New Roman" w:cs="Times New Roman"/>
                <w:b/>
                <w:bCs/>
                <w:color w:val="auto"/>
                <w:sz w:val="24"/>
                <w:szCs w:val="24"/>
                <w:highlight w:val="none"/>
                <w:u w:val="single"/>
                <w:lang w:val="en-US" w:eastAsia="zh-CN"/>
              </w:rPr>
              <w:t>新增加0.</w:t>
            </w:r>
            <w:r>
              <w:rPr>
                <w:rFonts w:hint="eastAsia" w:ascii="Times New Roman" w:hAnsi="Times New Roman" w:cs="Times New Roman"/>
                <w:b/>
                <w:bCs/>
                <w:color w:val="auto"/>
                <w:sz w:val="24"/>
                <w:szCs w:val="24"/>
                <w:highlight w:val="none"/>
                <w:u w:val="single"/>
                <w:lang w:val="en-US" w:eastAsia="zh-CN"/>
              </w:rPr>
              <w:t>04</w:t>
            </w:r>
            <w:r>
              <w:rPr>
                <w:rFonts w:hint="default" w:ascii="Times New Roman" w:hAnsi="Times New Roman" w:cs="Times New Roman"/>
                <w:b/>
                <w:bCs/>
                <w:color w:val="auto"/>
                <w:sz w:val="24"/>
                <w:szCs w:val="24"/>
                <w:highlight w:val="none"/>
                <w:u w:val="single"/>
                <w:lang w:val="en-US" w:eastAsia="zh-CN"/>
              </w:rPr>
              <w:t>t/a。</w:t>
            </w:r>
          </w:p>
          <w:p>
            <w:pPr>
              <w:spacing w:line="460" w:lineRule="exact"/>
              <w:ind w:firstLine="482" w:firstLineChars="200"/>
              <w:jc w:val="left"/>
              <w:rPr>
                <w:rFonts w:hint="eastAsia" w:ascii="Times New Roman" w:hAnsi="Times New Roman" w:cs="Times New Roman"/>
                <w:b/>
                <w:bCs/>
                <w:color w:val="auto"/>
                <w:sz w:val="24"/>
                <w:szCs w:val="24"/>
                <w:highlight w:val="none"/>
                <w:u w:val="single"/>
                <w:lang w:val="en-US" w:eastAsia="zh-CN"/>
              </w:rPr>
            </w:pPr>
            <w:r>
              <w:rPr>
                <w:rFonts w:hint="default" w:ascii="Times New Roman" w:hAnsi="Times New Roman" w:cs="Times New Roman"/>
                <w:b/>
                <w:bCs/>
                <w:color w:val="auto"/>
                <w:sz w:val="24"/>
                <w:szCs w:val="24"/>
                <w:highlight w:val="none"/>
                <w:u w:val="single"/>
                <w:lang w:eastAsia="zh-CN"/>
              </w:rPr>
              <w:t>综上所述，本项目</w:t>
            </w:r>
            <w:r>
              <w:rPr>
                <w:rFonts w:hint="eastAsia" w:ascii="Times New Roman" w:hAnsi="Times New Roman" w:cs="Times New Roman"/>
                <w:b/>
                <w:bCs/>
                <w:color w:val="auto"/>
                <w:sz w:val="24"/>
                <w:szCs w:val="24"/>
                <w:highlight w:val="none"/>
                <w:u w:val="single"/>
                <w:lang w:val="en-US" w:eastAsia="zh-CN"/>
              </w:rPr>
              <w:t>新增</w:t>
            </w:r>
            <w:r>
              <w:rPr>
                <w:rFonts w:hint="default" w:ascii="Times New Roman" w:hAnsi="Times New Roman" w:cs="Times New Roman"/>
                <w:b/>
                <w:bCs/>
                <w:color w:val="auto"/>
                <w:sz w:val="24"/>
                <w:szCs w:val="24"/>
                <w:highlight w:val="none"/>
                <w:u w:val="single"/>
                <w:lang w:eastAsia="zh-CN"/>
              </w:rPr>
              <w:t>总量控制指标为：</w:t>
            </w:r>
            <w:r>
              <w:rPr>
                <w:rFonts w:hint="default" w:ascii="Times New Roman" w:hAnsi="Times New Roman" w:eastAsia="宋体" w:cs="Times New Roman"/>
                <w:b/>
                <w:bCs/>
                <w:color w:val="auto"/>
                <w:sz w:val="24"/>
                <w:szCs w:val="24"/>
                <w:highlight w:val="none"/>
                <w:u w:val="single"/>
              </w:rPr>
              <w:t>COD</w:t>
            </w:r>
            <w:r>
              <w:rPr>
                <w:rFonts w:hint="eastAsia" w:ascii="Times New Roman" w:hAnsi="Times New Roman" w:cs="Times New Roman"/>
                <w:b/>
                <w:bCs/>
                <w:color w:val="auto"/>
                <w:sz w:val="24"/>
                <w:szCs w:val="24"/>
                <w:highlight w:val="none"/>
                <w:u w:val="single"/>
                <w:lang w:val="en-US" w:eastAsia="zh-CN"/>
              </w:rPr>
              <w:t>0</w:t>
            </w:r>
            <w:r>
              <w:rPr>
                <w:rFonts w:hint="default" w:ascii="Times New Roman" w:hAnsi="Times New Roman" w:eastAsia="宋体" w:cs="Times New Roman"/>
                <w:b/>
                <w:bCs/>
                <w:color w:val="auto"/>
                <w:sz w:val="24"/>
                <w:szCs w:val="24"/>
                <w:highlight w:val="none"/>
                <w:u w:val="single"/>
              </w:rPr>
              <w:t>t/a；氨氮</w:t>
            </w:r>
            <w:r>
              <w:rPr>
                <w:rFonts w:hint="eastAsia" w:ascii="Times New Roman" w:hAnsi="Times New Roman" w:cs="Times New Roman"/>
                <w:b/>
                <w:bCs/>
                <w:color w:val="auto"/>
                <w:sz w:val="24"/>
                <w:szCs w:val="24"/>
                <w:highlight w:val="none"/>
                <w:u w:val="single"/>
                <w:lang w:val="en-US" w:eastAsia="zh-CN"/>
              </w:rPr>
              <w:t>0</w:t>
            </w:r>
            <w:r>
              <w:rPr>
                <w:rFonts w:hint="default" w:ascii="Times New Roman" w:hAnsi="Times New Roman" w:eastAsia="宋体" w:cs="Times New Roman"/>
                <w:b/>
                <w:bCs/>
                <w:color w:val="auto"/>
                <w:sz w:val="24"/>
                <w:szCs w:val="24"/>
                <w:highlight w:val="none"/>
                <w:u w:val="single"/>
                <w:lang w:val="en-US" w:eastAsia="zh-CN"/>
              </w:rPr>
              <w:t>t</w:t>
            </w:r>
            <w:r>
              <w:rPr>
                <w:rFonts w:hint="default" w:ascii="Times New Roman" w:hAnsi="Times New Roman" w:eastAsia="宋体" w:cs="Times New Roman"/>
                <w:b/>
                <w:bCs/>
                <w:color w:val="auto"/>
                <w:sz w:val="24"/>
                <w:szCs w:val="24"/>
                <w:highlight w:val="none"/>
                <w:u w:val="single"/>
              </w:rPr>
              <w:t>/a</w:t>
            </w:r>
            <w:r>
              <w:rPr>
                <w:rFonts w:hint="default" w:ascii="Times New Roman" w:hAnsi="Times New Roman" w:cs="Times New Roman"/>
                <w:b/>
                <w:bCs/>
                <w:color w:val="auto"/>
                <w:sz w:val="24"/>
                <w:szCs w:val="24"/>
                <w:highlight w:val="none"/>
                <w:u w:val="single"/>
                <w:lang w:val="en-US" w:eastAsia="zh-CN"/>
              </w:rPr>
              <w:t>；</w:t>
            </w:r>
            <w:r>
              <w:rPr>
                <w:rFonts w:hint="default" w:ascii="Times New Roman" w:hAnsi="Times New Roman" w:cs="Times New Roman"/>
                <w:b/>
                <w:bCs/>
                <w:color w:val="auto"/>
                <w:sz w:val="24"/>
                <w:szCs w:val="24"/>
                <w:highlight w:val="none"/>
                <w:u w:val="single"/>
                <w:lang w:eastAsia="zh-CN"/>
              </w:rPr>
              <w:t>NOx：</w:t>
            </w:r>
            <w:r>
              <w:rPr>
                <w:rFonts w:hint="default" w:ascii="Times New Roman" w:hAnsi="Times New Roman" w:cs="Times New Roman"/>
                <w:b/>
                <w:bCs/>
                <w:color w:val="auto"/>
                <w:sz w:val="24"/>
                <w:szCs w:val="24"/>
                <w:highlight w:val="none"/>
                <w:u w:val="single"/>
                <w:lang w:val="en-US" w:eastAsia="zh-CN"/>
              </w:rPr>
              <w:t>0.</w:t>
            </w:r>
            <w:r>
              <w:rPr>
                <w:rFonts w:hint="eastAsia" w:ascii="Times New Roman" w:hAnsi="Times New Roman" w:cs="Times New Roman"/>
                <w:b/>
                <w:bCs/>
                <w:color w:val="auto"/>
                <w:sz w:val="24"/>
                <w:szCs w:val="24"/>
                <w:highlight w:val="none"/>
                <w:u w:val="single"/>
                <w:lang w:val="en-US" w:eastAsia="zh-CN"/>
              </w:rPr>
              <w:t>349</w:t>
            </w:r>
            <w:r>
              <w:rPr>
                <w:rFonts w:hint="default" w:ascii="Times New Roman" w:hAnsi="Times New Roman" w:cs="Times New Roman"/>
                <w:b/>
                <w:bCs/>
                <w:color w:val="auto"/>
                <w:sz w:val="24"/>
                <w:szCs w:val="24"/>
                <w:highlight w:val="none"/>
                <w:u w:val="single"/>
                <w:lang w:eastAsia="zh-CN"/>
              </w:rPr>
              <w:t>t/a、SO</w:t>
            </w:r>
            <w:r>
              <w:rPr>
                <w:rFonts w:hint="default" w:ascii="Times New Roman" w:hAnsi="Times New Roman" w:cs="Times New Roman"/>
                <w:b/>
                <w:bCs/>
                <w:color w:val="auto"/>
                <w:sz w:val="24"/>
                <w:szCs w:val="24"/>
                <w:highlight w:val="none"/>
                <w:u w:val="single"/>
                <w:vertAlign w:val="subscript"/>
                <w:lang w:eastAsia="zh-CN"/>
              </w:rPr>
              <w:t>2</w:t>
            </w:r>
            <w:r>
              <w:rPr>
                <w:rFonts w:hint="default" w:ascii="Times New Roman" w:hAnsi="Times New Roman" w:cs="Times New Roman"/>
                <w:b/>
                <w:bCs/>
                <w:color w:val="auto"/>
                <w:sz w:val="24"/>
                <w:szCs w:val="24"/>
                <w:highlight w:val="none"/>
                <w:u w:val="single"/>
                <w:lang w:eastAsia="zh-CN"/>
              </w:rPr>
              <w:t>：</w:t>
            </w:r>
            <w:r>
              <w:rPr>
                <w:rFonts w:hint="default" w:ascii="Times New Roman" w:hAnsi="Times New Roman" w:cs="Times New Roman"/>
                <w:b/>
                <w:bCs/>
                <w:color w:val="auto"/>
                <w:sz w:val="24"/>
                <w:szCs w:val="24"/>
                <w:highlight w:val="none"/>
                <w:u w:val="single"/>
                <w:lang w:val="en-US" w:eastAsia="zh-CN"/>
              </w:rPr>
              <w:t>0.</w:t>
            </w:r>
            <w:r>
              <w:rPr>
                <w:rFonts w:hint="eastAsia" w:ascii="Times New Roman" w:hAnsi="Times New Roman" w:cs="Times New Roman"/>
                <w:b/>
                <w:bCs/>
                <w:color w:val="auto"/>
                <w:sz w:val="24"/>
                <w:szCs w:val="24"/>
                <w:highlight w:val="none"/>
                <w:u w:val="single"/>
                <w:lang w:val="en-US" w:eastAsia="zh-CN"/>
              </w:rPr>
              <w:t>04</w:t>
            </w:r>
            <w:r>
              <w:rPr>
                <w:rFonts w:hint="default" w:ascii="Times New Roman" w:hAnsi="Times New Roman" w:cs="Times New Roman"/>
                <w:b/>
                <w:bCs/>
                <w:color w:val="auto"/>
                <w:sz w:val="24"/>
                <w:szCs w:val="24"/>
                <w:highlight w:val="none"/>
                <w:u w:val="single"/>
                <w:lang w:eastAsia="zh-CN"/>
              </w:rPr>
              <w:t>t/a、颗粒物</w:t>
            </w:r>
            <w:r>
              <w:rPr>
                <w:rFonts w:hint="default" w:ascii="Times New Roman" w:hAnsi="Times New Roman" w:cs="Times New Roman"/>
                <w:b/>
                <w:bCs/>
                <w:color w:val="auto"/>
                <w:sz w:val="24"/>
                <w:szCs w:val="24"/>
                <w:highlight w:val="none"/>
                <w:u w:val="single"/>
                <w:lang w:val="en-US" w:eastAsia="zh-CN"/>
              </w:rPr>
              <w:t>0.</w:t>
            </w:r>
            <w:r>
              <w:rPr>
                <w:rFonts w:hint="eastAsia" w:ascii="Times New Roman" w:hAnsi="Times New Roman" w:cs="Times New Roman"/>
                <w:b/>
                <w:bCs/>
                <w:color w:val="auto"/>
                <w:sz w:val="24"/>
                <w:szCs w:val="24"/>
                <w:highlight w:val="none"/>
                <w:u w:val="single"/>
                <w:lang w:val="en-US" w:eastAsia="zh-CN"/>
              </w:rPr>
              <w:t>2012</w:t>
            </w:r>
            <w:r>
              <w:rPr>
                <w:rFonts w:hint="default" w:ascii="Times New Roman" w:hAnsi="Times New Roman" w:cs="Times New Roman"/>
                <w:b/>
                <w:bCs/>
                <w:color w:val="auto"/>
                <w:sz w:val="24"/>
                <w:szCs w:val="24"/>
                <w:highlight w:val="none"/>
                <w:u w:val="single"/>
                <w:lang w:val="en-US" w:eastAsia="zh-CN"/>
              </w:rPr>
              <w:t>t/a、非甲烷总烃</w:t>
            </w:r>
            <w:r>
              <w:rPr>
                <w:rFonts w:hint="eastAsia" w:ascii="Times New Roman" w:hAnsi="Times New Roman" w:cs="Times New Roman"/>
                <w:b/>
                <w:bCs/>
                <w:color w:val="auto"/>
                <w:sz w:val="24"/>
                <w:szCs w:val="24"/>
                <w:highlight w:val="none"/>
                <w:u w:val="single"/>
                <w:lang w:val="en-US" w:eastAsia="zh-CN"/>
              </w:rPr>
              <w:t>0.333</w:t>
            </w:r>
            <w:r>
              <w:rPr>
                <w:rFonts w:hint="default" w:ascii="Times New Roman" w:hAnsi="Times New Roman" w:cs="Times New Roman"/>
                <w:b/>
                <w:bCs/>
                <w:color w:val="auto"/>
                <w:sz w:val="24"/>
                <w:szCs w:val="24"/>
                <w:highlight w:val="none"/>
                <w:u w:val="single"/>
                <w:lang w:val="en-US" w:eastAsia="zh-CN"/>
              </w:rPr>
              <w:t>t/a</w:t>
            </w:r>
            <w:r>
              <w:rPr>
                <w:rFonts w:hint="eastAsia" w:ascii="Times New Roman" w:hAnsi="Times New Roman" w:cs="Times New Roman"/>
                <w:b/>
                <w:bCs/>
                <w:color w:val="auto"/>
                <w:sz w:val="24"/>
                <w:szCs w:val="24"/>
                <w:highlight w:val="none"/>
                <w:u w:val="single"/>
                <w:lang w:val="en-US" w:eastAsia="zh-CN"/>
              </w:rPr>
              <w:t>。</w:t>
            </w:r>
          </w:p>
          <w:p>
            <w:pPr>
              <w:spacing w:line="460" w:lineRule="exact"/>
              <w:ind w:firstLine="482" w:firstLineChars="200"/>
              <w:jc w:val="left"/>
              <w:rPr>
                <w:rFonts w:hint="default" w:ascii="Times New Roman" w:hAnsi="Times New Roman" w:eastAsia="宋体" w:cs="Times New Roman"/>
                <w:b w:val="0"/>
                <w:bCs w:val="0"/>
                <w:color w:val="auto"/>
                <w:sz w:val="24"/>
                <w:szCs w:val="24"/>
                <w:highlight w:val="none"/>
                <w:u w:val="none"/>
                <w:lang w:eastAsia="zh-CN"/>
              </w:rPr>
            </w:pPr>
            <w:r>
              <w:rPr>
                <w:rFonts w:hint="eastAsia" w:ascii="Times New Roman" w:hAnsi="Times New Roman" w:cs="Times New Roman"/>
                <w:b/>
                <w:bCs/>
                <w:color w:val="auto"/>
                <w:sz w:val="24"/>
                <w:szCs w:val="24"/>
                <w:highlight w:val="none"/>
                <w:u w:val="single"/>
                <w:lang w:val="en-US" w:eastAsia="zh-CN"/>
              </w:rPr>
              <w:t>项目废气总量控制指标为NOx：0.349t/a、SO</w:t>
            </w:r>
            <w:r>
              <w:rPr>
                <w:rFonts w:hint="eastAsia" w:ascii="Times New Roman" w:hAnsi="Times New Roman" w:cs="Times New Roman"/>
                <w:b/>
                <w:bCs/>
                <w:color w:val="auto"/>
                <w:sz w:val="24"/>
                <w:szCs w:val="24"/>
                <w:highlight w:val="none"/>
                <w:u w:val="single"/>
                <w:vertAlign w:val="subscript"/>
                <w:lang w:val="en-US" w:eastAsia="zh-CN"/>
              </w:rPr>
              <w:t>2</w:t>
            </w:r>
            <w:r>
              <w:rPr>
                <w:rFonts w:hint="eastAsia" w:ascii="Times New Roman" w:hAnsi="Times New Roman" w:cs="Times New Roman"/>
                <w:b/>
                <w:bCs/>
                <w:color w:val="auto"/>
                <w:sz w:val="24"/>
                <w:szCs w:val="24"/>
                <w:highlight w:val="none"/>
                <w:u w:val="single"/>
                <w:lang w:val="en-US" w:eastAsia="zh-CN"/>
              </w:rPr>
              <w:t>：0.04t/a、非甲烷总烃0.333t/a。VOCs替代来源拟从演集镇永城市王雪云加油站关停形成的削减量中倍量替代（倍量替代VOC</w:t>
            </w:r>
            <w:r>
              <w:rPr>
                <w:rFonts w:hint="eastAsia" w:ascii="Times New Roman" w:hAnsi="Times New Roman" w:cs="Times New Roman"/>
                <w:b/>
                <w:bCs/>
                <w:color w:val="auto"/>
                <w:sz w:val="24"/>
                <w:szCs w:val="24"/>
                <w:highlight w:val="none"/>
                <w:u w:val="single"/>
                <w:vertAlign w:val="subscript"/>
                <w:lang w:val="en-US" w:eastAsia="zh-CN"/>
              </w:rPr>
              <w:t>S</w:t>
            </w:r>
            <w:r>
              <w:rPr>
                <w:rFonts w:hint="eastAsia" w:ascii="Times New Roman" w:hAnsi="Times New Roman" w:cs="Times New Roman"/>
                <w:b/>
                <w:bCs/>
                <w:color w:val="auto"/>
                <w:sz w:val="24"/>
                <w:szCs w:val="24"/>
                <w:highlight w:val="none"/>
                <w:u w:val="single"/>
                <w:lang w:val="en-US" w:eastAsia="zh-CN"/>
              </w:rPr>
              <w:t>0.666）；NOx、SO</w:t>
            </w:r>
            <w:r>
              <w:rPr>
                <w:rFonts w:hint="eastAsia" w:ascii="Times New Roman" w:hAnsi="Times New Roman" w:cs="Times New Roman"/>
                <w:b/>
                <w:bCs/>
                <w:color w:val="auto"/>
                <w:sz w:val="24"/>
                <w:szCs w:val="24"/>
                <w:highlight w:val="none"/>
                <w:u w:val="single"/>
                <w:vertAlign w:val="subscript"/>
                <w:lang w:val="en-US" w:eastAsia="zh-CN"/>
              </w:rPr>
              <w:t>2</w:t>
            </w:r>
            <w:r>
              <w:rPr>
                <w:rFonts w:hint="eastAsia" w:ascii="Times New Roman" w:hAnsi="Times New Roman" w:cs="Times New Roman"/>
                <w:b/>
                <w:bCs/>
                <w:color w:val="auto"/>
                <w:sz w:val="24"/>
                <w:szCs w:val="24"/>
                <w:highlight w:val="none"/>
                <w:u w:val="single"/>
                <w:lang w:val="en-US" w:eastAsia="zh-CN"/>
              </w:rPr>
              <w:t>替代来源拟从卧龙镇永城市恒达新型建筑材料厂关停形成的削减量中倍量替代（倍量替代：NOx：0.698t/a、SO</w:t>
            </w:r>
            <w:r>
              <w:rPr>
                <w:rFonts w:hint="eastAsia" w:ascii="Times New Roman" w:hAnsi="Times New Roman" w:cs="Times New Roman"/>
                <w:b/>
                <w:bCs/>
                <w:color w:val="auto"/>
                <w:sz w:val="24"/>
                <w:szCs w:val="24"/>
                <w:highlight w:val="none"/>
                <w:u w:val="single"/>
                <w:vertAlign w:val="subscript"/>
                <w:lang w:val="en-US" w:eastAsia="zh-CN"/>
              </w:rPr>
              <w:t>2</w:t>
            </w:r>
            <w:r>
              <w:rPr>
                <w:rFonts w:hint="eastAsia" w:ascii="Times New Roman" w:hAnsi="Times New Roman" w:cs="Times New Roman"/>
                <w:b/>
                <w:bCs/>
                <w:color w:val="auto"/>
                <w:sz w:val="24"/>
                <w:szCs w:val="24"/>
                <w:highlight w:val="none"/>
                <w:u w:val="single"/>
                <w:lang w:val="en-US" w:eastAsia="zh-CN"/>
              </w:rPr>
              <w:t>：0.08t/a）。</w:t>
            </w:r>
          </w:p>
          <w:p>
            <w:pPr>
              <w:spacing w:line="360" w:lineRule="auto"/>
              <w:ind w:firstLine="720" w:firstLineChars="300"/>
              <w:rPr>
                <w:rFonts w:hint="default" w:ascii="Times New Roman" w:hAnsi="Times New Roman" w:cs="Times New Roman"/>
                <w:color w:val="auto"/>
                <w:sz w:val="24"/>
                <w:szCs w:val="24"/>
                <w:highlight w:val="yellow"/>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default" w:ascii="Times New Roman" w:hAnsi="Times New Roman" w:eastAsia="宋体" w:cs="Times New Roman"/>
                <w:color w:val="auto"/>
                <w:sz w:val="24"/>
                <w:szCs w:val="24"/>
                <w:vertAlign w:val="baseline"/>
                <w:lang w:val="en-US" w:eastAsia="zh-CN"/>
              </w:rPr>
            </w:pPr>
          </w:p>
        </w:tc>
      </w:tr>
    </w:tbl>
    <w:p>
      <w:pPr>
        <w:jc w:val="left"/>
        <w:rPr>
          <w:rFonts w:hint="default" w:ascii="Times New Roman" w:hAnsi="Times New Roman" w:cs="Times New Roman"/>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eastAsia="黑体" w:cs="Times New Roman"/>
          <w:color w:val="auto"/>
          <w:sz w:val="28"/>
          <w:szCs w:val="36"/>
          <w:vertAlign w:val="baseline"/>
          <w:lang w:val="en-US" w:eastAsia="zh-CN"/>
        </w:rPr>
      </w:pPr>
      <w:r>
        <w:rPr>
          <w:rFonts w:hint="default" w:ascii="Times New Roman" w:hAnsi="Times New Roman" w:eastAsia="黑体" w:cs="Times New Roman"/>
          <w:color w:val="auto"/>
          <w:sz w:val="28"/>
          <w:szCs w:val="36"/>
          <w:lang w:val="en-US" w:eastAsia="zh-CN"/>
        </w:rPr>
        <w:t>四、主要环境影响和保护措施</w:t>
      </w:r>
    </w:p>
    <w:tbl>
      <w:tblPr>
        <w:tblStyle w:val="2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color w:val="auto"/>
                <w:sz w:val="28"/>
                <w:szCs w:val="36"/>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施工期环境保护措施</w:t>
            </w:r>
          </w:p>
        </w:tc>
        <w:tc>
          <w:tcPr>
            <w:tcW w:w="13573" w:type="dxa"/>
            <w:vAlign w:val="center"/>
          </w:tcPr>
          <w:p>
            <w:pPr>
              <w:pStyle w:val="2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黑体" w:cs="Times New Roman"/>
                <w:color w:val="auto"/>
                <w:sz w:val="28"/>
                <w:szCs w:val="36"/>
                <w:vertAlign w:val="baseline"/>
                <w:lang w:val="en-US" w:eastAsia="zh-CN"/>
              </w:rPr>
            </w:pPr>
            <w:r>
              <w:rPr>
                <w:rFonts w:hint="default" w:ascii="Times New Roman" w:hAnsi="Times New Roman" w:cs="Times New Roman"/>
                <w:color w:val="auto"/>
                <w:sz w:val="24"/>
                <w:szCs w:val="24"/>
              </w:rPr>
              <w:t>本项目为</w:t>
            </w:r>
            <w:r>
              <w:rPr>
                <w:rFonts w:hint="eastAsia" w:ascii="Times New Roman" w:hAnsi="Times New Roman" w:cs="Times New Roman"/>
                <w:color w:val="auto"/>
                <w:sz w:val="24"/>
                <w:szCs w:val="24"/>
                <w:lang w:val="en-US" w:eastAsia="zh-CN"/>
              </w:rPr>
              <w:t>改建</w:t>
            </w:r>
            <w:r>
              <w:rPr>
                <w:rFonts w:hint="default" w:ascii="Times New Roman" w:hAnsi="Times New Roman" w:cs="Times New Roman"/>
                <w:color w:val="auto"/>
                <w:sz w:val="24"/>
                <w:szCs w:val="24"/>
              </w:rPr>
              <w:t>项目，项目利用现有工程已有</w:t>
            </w:r>
            <w:r>
              <w:rPr>
                <w:rFonts w:hint="default" w:ascii="Times New Roman" w:hAnsi="Times New Roman" w:cs="Times New Roman"/>
                <w:color w:val="auto"/>
                <w:sz w:val="24"/>
                <w:szCs w:val="24"/>
                <w:lang w:eastAsia="zh-CN"/>
              </w:rPr>
              <w:t>厂房</w:t>
            </w:r>
            <w:r>
              <w:rPr>
                <w:rFonts w:hint="default" w:ascii="Times New Roman" w:hAnsi="Times New Roman" w:cs="Times New Roman"/>
                <w:color w:val="auto"/>
                <w:sz w:val="24"/>
                <w:szCs w:val="24"/>
              </w:rPr>
              <w:t>，仅对部分设备进行</w:t>
            </w:r>
            <w:r>
              <w:rPr>
                <w:rFonts w:hint="default" w:ascii="Times New Roman" w:hAnsi="Times New Roman" w:cs="Times New Roman"/>
                <w:color w:val="auto"/>
                <w:sz w:val="24"/>
                <w:szCs w:val="24"/>
                <w:lang w:eastAsia="zh-CN"/>
              </w:rPr>
              <w:t>改造、</w:t>
            </w:r>
            <w:r>
              <w:rPr>
                <w:rFonts w:hint="default" w:ascii="Times New Roman" w:hAnsi="Times New Roman" w:cs="Times New Roman"/>
                <w:color w:val="auto"/>
                <w:sz w:val="24"/>
                <w:szCs w:val="24"/>
              </w:rPr>
              <w:t>安装调试，</w:t>
            </w:r>
            <w:r>
              <w:rPr>
                <w:rFonts w:hint="default" w:ascii="Times New Roman" w:hAnsi="Times New Roman" w:cs="Times New Roman"/>
                <w:color w:val="auto"/>
                <w:sz w:val="24"/>
                <w:szCs w:val="24"/>
                <w:lang w:eastAsia="zh-CN"/>
              </w:rPr>
              <w:t>不涉及土建工程，</w:t>
            </w:r>
            <w:r>
              <w:rPr>
                <w:rFonts w:hint="default" w:ascii="Times New Roman" w:hAnsi="Times New Roman" w:cs="Times New Roman"/>
                <w:color w:val="auto"/>
                <w:sz w:val="24"/>
                <w:szCs w:val="24"/>
              </w:rPr>
              <w:t>故本次评价不再针对施工期进行评价。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 w:type="dxa"/>
          </w:tcPr>
          <w:p>
            <w:pPr>
              <w:jc w:val="center"/>
              <w:rPr>
                <w:rFonts w:hint="default" w:ascii="Times New Roman" w:hAnsi="Times New Roman" w:eastAsia="黑体" w:cs="Times New Roman"/>
                <w:color w:val="auto"/>
                <w:sz w:val="28"/>
                <w:szCs w:val="36"/>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运营期环境影响和保护措施</w:t>
            </w:r>
          </w:p>
        </w:tc>
        <w:tc>
          <w:tcPr>
            <w:tcW w:w="13573" w:type="dxa"/>
          </w:tcPr>
          <w:p>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u w:val="none"/>
                <w:vertAlign w:val="baseline"/>
                <w:lang w:val="en-US" w:eastAsia="zh-CN"/>
              </w:rPr>
            </w:pPr>
            <w:r>
              <w:rPr>
                <w:rFonts w:hint="default" w:ascii="Times New Roman" w:hAnsi="Times New Roman" w:eastAsia="宋体" w:cs="Times New Roman"/>
                <w:b/>
                <w:bCs/>
                <w:color w:val="auto"/>
                <w:sz w:val="24"/>
                <w:szCs w:val="24"/>
                <w:u w:val="none"/>
                <w:vertAlign w:val="baseline"/>
                <w:lang w:val="en-US" w:eastAsia="zh-CN"/>
              </w:rPr>
              <w:t>（一）大气环境影响分析</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lang w:eastAsia="zh-CN"/>
              </w:rPr>
              <w:t>根据工程分析，本</w:t>
            </w:r>
            <w:r>
              <w:rPr>
                <w:rFonts w:hint="eastAsia" w:ascii="Times New Roman" w:hAnsi="Times New Roman" w:cs="Times New Roman"/>
                <w:b w:val="0"/>
                <w:bCs w:val="0"/>
                <w:color w:val="auto"/>
                <w:sz w:val="24"/>
                <w:szCs w:val="24"/>
                <w:u w:val="none"/>
                <w:lang w:val="en-US" w:eastAsia="zh-CN"/>
              </w:rPr>
              <w:t>次改建</w:t>
            </w:r>
            <w:r>
              <w:rPr>
                <w:rFonts w:hint="default" w:ascii="Times New Roman" w:hAnsi="Times New Roman" w:cs="Times New Roman"/>
                <w:b w:val="0"/>
                <w:bCs w:val="0"/>
                <w:color w:val="auto"/>
                <w:sz w:val="24"/>
                <w:szCs w:val="24"/>
                <w:u w:val="none"/>
                <w:lang w:eastAsia="zh-CN"/>
              </w:rPr>
              <w:t>项目废气主要为倾动炉熔炼废气、</w:t>
            </w:r>
            <w:r>
              <w:rPr>
                <w:rFonts w:hint="eastAsia" w:ascii="Times New Roman" w:hAnsi="Times New Roman" w:cs="Times New Roman"/>
                <w:b w:val="0"/>
                <w:bCs w:val="0"/>
                <w:color w:val="auto"/>
                <w:sz w:val="24"/>
                <w:szCs w:val="24"/>
                <w:u w:val="none"/>
                <w:lang w:val="en-US" w:eastAsia="zh-CN"/>
              </w:rPr>
              <w:t>箔扎</w:t>
            </w:r>
            <w:r>
              <w:rPr>
                <w:rFonts w:hint="eastAsia" w:ascii="Times New Roman" w:hAnsi="Times New Roman" w:cs="Times New Roman"/>
                <w:b w:val="0"/>
                <w:bCs w:val="0"/>
                <w:color w:val="auto"/>
                <w:sz w:val="24"/>
                <w:szCs w:val="24"/>
                <w:u w:val="none"/>
                <w:lang w:eastAsia="zh-CN"/>
              </w:rPr>
              <w:t>轧制工序产生的废气</w:t>
            </w:r>
            <w:r>
              <w:rPr>
                <w:rFonts w:hint="default" w:ascii="Times New Roman" w:hAnsi="Times New Roman" w:cs="Times New Roman"/>
                <w:b w:val="0"/>
                <w:bCs w:val="0"/>
                <w:color w:val="auto"/>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1、污染物源强</w:t>
            </w:r>
          </w:p>
          <w:p>
            <w:pPr>
              <w:pStyle w:val="2"/>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本项目废气产排情况一览表</w:t>
            </w:r>
          </w:p>
          <w:tbl>
            <w:tblPr>
              <w:tblStyle w:val="27"/>
              <w:tblW w:w="133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7"/>
              <w:gridCol w:w="953"/>
              <w:gridCol w:w="985"/>
              <w:gridCol w:w="2352"/>
              <w:gridCol w:w="1912"/>
              <w:gridCol w:w="884"/>
              <w:gridCol w:w="646"/>
              <w:gridCol w:w="782"/>
              <w:gridCol w:w="2331"/>
              <w:gridCol w:w="14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7"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产污环节</w:t>
                  </w:r>
                </w:p>
              </w:tc>
              <w:tc>
                <w:tcPr>
                  <w:tcW w:w="953"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污染物种类</w:t>
                  </w:r>
                </w:p>
              </w:tc>
              <w:tc>
                <w:tcPr>
                  <w:tcW w:w="985"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排放形式</w:t>
                  </w:r>
                </w:p>
              </w:tc>
              <w:tc>
                <w:tcPr>
                  <w:tcW w:w="2352"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污染物产生量、速率和浓度</w:t>
                  </w:r>
                </w:p>
              </w:tc>
              <w:tc>
                <w:tcPr>
                  <w:tcW w:w="1912"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治理设施</w:t>
                  </w:r>
                </w:p>
              </w:tc>
              <w:tc>
                <w:tcPr>
                  <w:tcW w:w="884"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收集效率</w:t>
                  </w:r>
                </w:p>
              </w:tc>
              <w:tc>
                <w:tcPr>
                  <w:tcW w:w="646"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去除效率</w:t>
                  </w:r>
                </w:p>
              </w:tc>
              <w:tc>
                <w:tcPr>
                  <w:tcW w:w="782"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是否</w:t>
                  </w:r>
                  <w:r>
                    <w:rPr>
                      <w:rFonts w:hint="eastAsia" w:ascii="Times New Roman" w:hAnsi="Times New Roman" w:cs="Times New Roman"/>
                      <w:b w:val="0"/>
                      <w:bCs w:val="0"/>
                      <w:color w:val="auto"/>
                      <w:sz w:val="21"/>
                      <w:szCs w:val="21"/>
                      <w:lang w:val="en-US" w:eastAsia="zh-CN"/>
                    </w:rPr>
                    <w:t>技术可行</w:t>
                  </w:r>
                </w:p>
              </w:tc>
              <w:tc>
                <w:tcPr>
                  <w:tcW w:w="2331"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污染物排放浓度及速率</w:t>
                  </w:r>
                </w:p>
              </w:tc>
              <w:tc>
                <w:tcPr>
                  <w:tcW w:w="1472"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污染物排放量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7"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倾动炉熔炼废气</w:t>
                  </w:r>
                </w:p>
              </w:tc>
              <w:tc>
                <w:tcPr>
                  <w:tcW w:w="953"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颗粒物</w:t>
                  </w:r>
                </w:p>
              </w:tc>
              <w:tc>
                <w:tcPr>
                  <w:tcW w:w="985"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有组织</w:t>
                  </w:r>
                </w:p>
              </w:tc>
              <w:tc>
                <w:tcPr>
                  <w:tcW w:w="2352"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20.12</w:t>
                  </w:r>
                  <w:r>
                    <w:rPr>
                      <w:rFonts w:hint="default" w:ascii="Times New Roman" w:hAnsi="Times New Roman" w:eastAsia="宋体" w:cs="Times New Roman"/>
                      <w:b w:val="0"/>
                      <w:bCs w:val="0"/>
                      <w:color w:val="auto"/>
                      <w:sz w:val="21"/>
                      <w:szCs w:val="21"/>
                      <w:lang w:val="en-US" w:eastAsia="zh-CN"/>
                    </w:rPr>
                    <w:t>t/a、</w:t>
                  </w:r>
                  <w:r>
                    <w:rPr>
                      <w:rFonts w:hint="eastAsia" w:ascii="Times New Roman" w:hAnsi="Times New Roman" w:cs="Times New Roman"/>
                      <w:b w:val="0"/>
                      <w:bCs w:val="0"/>
                      <w:color w:val="auto"/>
                      <w:sz w:val="21"/>
                      <w:szCs w:val="21"/>
                      <w:lang w:val="en-US" w:eastAsia="zh-CN"/>
                    </w:rPr>
                    <w:t>2.79</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279</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1912"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GB" w:eastAsia="zh-CN"/>
                    </w:rPr>
                    <w:t>袋式除尘器</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20</w:t>
                  </w:r>
                  <w:r>
                    <w:rPr>
                      <w:rFonts w:hint="default" w:ascii="Times New Roman" w:hAnsi="Times New Roman" w:eastAsia="宋体" w:cs="Times New Roman"/>
                      <w:b w:val="0"/>
                      <w:bCs w:val="0"/>
                      <w:color w:val="auto"/>
                      <w:sz w:val="21"/>
                      <w:szCs w:val="21"/>
                    </w:rPr>
                    <w:t>m高排气筒</w:t>
                  </w:r>
                </w:p>
              </w:tc>
              <w:tc>
                <w:tcPr>
                  <w:tcW w:w="884"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管道收集</w:t>
                  </w:r>
                </w:p>
              </w:tc>
              <w:tc>
                <w:tcPr>
                  <w:tcW w:w="646"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99</w:t>
                  </w:r>
                  <w:r>
                    <w:rPr>
                      <w:rFonts w:hint="default" w:ascii="Times New Roman" w:hAnsi="Times New Roman" w:eastAsia="宋体" w:cs="Times New Roman"/>
                      <w:b w:val="0"/>
                      <w:bCs w:val="0"/>
                      <w:color w:val="auto"/>
                      <w:sz w:val="21"/>
                      <w:szCs w:val="21"/>
                      <w:lang w:val="en-US" w:eastAsia="zh-CN"/>
                    </w:rPr>
                    <w:t>%</w:t>
                  </w:r>
                </w:p>
              </w:tc>
              <w:tc>
                <w:tcPr>
                  <w:tcW w:w="782"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是</w:t>
                  </w:r>
                </w:p>
              </w:tc>
              <w:tc>
                <w:tcPr>
                  <w:tcW w:w="2331"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w:t>
                  </w:r>
                  <w:r>
                    <w:rPr>
                      <w:rFonts w:hint="eastAsia" w:ascii="Times New Roman" w:hAnsi="Times New Roman" w:cs="Times New Roman"/>
                      <w:b w:val="0"/>
                      <w:bCs w:val="0"/>
                      <w:color w:val="auto"/>
                      <w:sz w:val="21"/>
                      <w:szCs w:val="21"/>
                      <w:lang w:val="en-US" w:eastAsia="zh-CN"/>
                    </w:rPr>
                    <w:t>28</w:t>
                  </w:r>
                  <w:r>
                    <w:rPr>
                      <w:rFonts w:hint="default" w:ascii="Times New Roman" w:hAnsi="Times New Roman" w:eastAsia="宋体" w:cs="Times New Roman"/>
                      <w:b w:val="0"/>
                      <w:bCs w:val="0"/>
                      <w:color w:val="auto"/>
                      <w:sz w:val="21"/>
                      <w:szCs w:val="21"/>
                      <w:lang w:val="en-US" w:eastAsia="zh-CN"/>
                    </w:rPr>
                    <w:t>kg/h、</w:t>
                  </w:r>
                  <w:r>
                    <w:rPr>
                      <w:rFonts w:hint="eastAsia" w:ascii="Times New Roman" w:hAnsi="Times New Roman" w:cs="Times New Roman"/>
                      <w:b w:val="0"/>
                      <w:bCs w:val="0"/>
                      <w:color w:val="auto"/>
                      <w:sz w:val="21"/>
                      <w:szCs w:val="21"/>
                      <w:lang w:val="en-US" w:eastAsia="zh-CN"/>
                    </w:rPr>
                    <w:t>2.8</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1472"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2012</w:t>
                  </w:r>
                  <w:r>
                    <w:rPr>
                      <w:rFonts w:hint="default" w:ascii="Times New Roman" w:hAnsi="Times New Roman" w:eastAsia="宋体"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7"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p>
              </w:tc>
              <w:tc>
                <w:tcPr>
                  <w:tcW w:w="953"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二氧化硫</w:t>
                  </w:r>
                </w:p>
              </w:tc>
              <w:tc>
                <w:tcPr>
                  <w:tcW w:w="985"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2352"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04</w:t>
                  </w:r>
                  <w:r>
                    <w:rPr>
                      <w:rFonts w:hint="default" w:ascii="Times New Roman" w:hAnsi="Times New Roman" w:eastAsia="宋体" w:cs="Times New Roman"/>
                      <w:b w:val="0"/>
                      <w:bCs w:val="0"/>
                      <w:color w:val="auto"/>
                      <w:sz w:val="21"/>
                      <w:szCs w:val="21"/>
                      <w:lang w:val="en-US" w:eastAsia="zh-CN"/>
                    </w:rPr>
                    <w:t>t/a、</w:t>
                  </w: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006</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0.6</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1912"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884"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646"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p>
              </w:tc>
              <w:tc>
                <w:tcPr>
                  <w:tcW w:w="782"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2331"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006</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0.6</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1472"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04</w:t>
                  </w:r>
                  <w:r>
                    <w:rPr>
                      <w:rFonts w:hint="default" w:ascii="Times New Roman" w:hAnsi="Times New Roman" w:eastAsia="宋体"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7"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p>
              </w:tc>
              <w:tc>
                <w:tcPr>
                  <w:tcW w:w="953" w:type="dxa"/>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氮氧化物</w:t>
                  </w:r>
                </w:p>
              </w:tc>
              <w:tc>
                <w:tcPr>
                  <w:tcW w:w="985"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p>
              </w:tc>
              <w:tc>
                <w:tcPr>
                  <w:tcW w:w="2352" w:type="dxa"/>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0.349</w:t>
                  </w:r>
                  <w:r>
                    <w:rPr>
                      <w:rFonts w:hint="default" w:ascii="Times New Roman" w:hAnsi="Times New Roman" w:eastAsia="宋体" w:cs="Times New Roman"/>
                      <w:b w:val="0"/>
                      <w:bCs w:val="0"/>
                      <w:color w:val="auto"/>
                      <w:sz w:val="21"/>
                      <w:szCs w:val="21"/>
                      <w:lang w:val="en-US" w:eastAsia="zh-CN"/>
                    </w:rPr>
                    <w:t>t/a、</w:t>
                  </w: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048</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4.8</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1912"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884"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646" w:type="dxa"/>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p>
              </w:tc>
              <w:tc>
                <w:tcPr>
                  <w:tcW w:w="782"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2331" w:type="dxa"/>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048</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4.8</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1472" w:type="dxa"/>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0.349</w:t>
                  </w:r>
                  <w:r>
                    <w:rPr>
                      <w:rFonts w:hint="default" w:ascii="Times New Roman" w:hAnsi="Times New Roman" w:eastAsia="宋体"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1017"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p>
              </w:tc>
              <w:tc>
                <w:tcPr>
                  <w:tcW w:w="953" w:type="dxa"/>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铅及其化合物</w:t>
                  </w:r>
                </w:p>
              </w:tc>
              <w:tc>
                <w:tcPr>
                  <w:tcW w:w="985"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p>
              </w:tc>
              <w:tc>
                <w:tcPr>
                  <w:tcW w:w="2352" w:type="dxa"/>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w:t>
                  </w:r>
                  <w:r>
                    <w:rPr>
                      <w:rFonts w:hint="eastAsia" w:ascii="Times New Roman" w:hAnsi="Times New Roman" w:cs="Times New Roman"/>
                      <w:b w:val="0"/>
                      <w:bCs w:val="0"/>
                      <w:color w:val="auto"/>
                      <w:sz w:val="21"/>
                      <w:szCs w:val="21"/>
                      <w:lang w:val="en-US" w:eastAsia="zh-CN"/>
                    </w:rPr>
                    <w:t>7</w:t>
                  </w:r>
                  <w:r>
                    <w:rPr>
                      <w:rFonts w:hint="default" w:ascii="Times New Roman" w:hAnsi="Times New Roman" w:eastAsia="宋体" w:cs="Times New Roman"/>
                      <w:b w:val="0"/>
                      <w:bCs w:val="0"/>
                      <w:color w:val="auto"/>
                      <w:sz w:val="21"/>
                      <w:szCs w:val="21"/>
                      <w:lang w:val="en-US" w:eastAsia="zh-CN"/>
                    </w:rPr>
                    <w:t>t/a、</w:t>
                  </w:r>
                  <w:r>
                    <w:rPr>
                      <w:rFonts w:hint="default" w:ascii="Times New Roman" w:hAnsi="Times New Roman" w:cs="Times New Roman"/>
                      <w:b w:val="0"/>
                      <w:bCs w:val="0"/>
                      <w:color w:val="auto"/>
                      <w:sz w:val="21"/>
                      <w:szCs w:val="21"/>
                      <w:lang w:val="en-US" w:eastAsia="zh-CN"/>
                    </w:rPr>
                    <w:t>0.00</w:t>
                  </w:r>
                  <w:r>
                    <w:rPr>
                      <w:rFonts w:hint="eastAsia" w:ascii="Times New Roman" w:hAnsi="Times New Roman" w:cs="Times New Roman"/>
                      <w:b w:val="0"/>
                      <w:bCs w:val="0"/>
                      <w:color w:val="auto"/>
                      <w:sz w:val="21"/>
                      <w:szCs w:val="21"/>
                      <w:lang w:val="en-US" w:eastAsia="zh-CN"/>
                    </w:rPr>
                    <w:t>97</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97</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1912"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884" w:type="dxa"/>
                  <w:vMerge w:val="continue"/>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646" w:type="dxa"/>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99</w:t>
                  </w:r>
                  <w:r>
                    <w:rPr>
                      <w:rFonts w:hint="default" w:ascii="Times New Roman" w:hAnsi="Times New Roman" w:eastAsia="宋体" w:cs="Times New Roman"/>
                      <w:b w:val="0"/>
                      <w:bCs w:val="0"/>
                      <w:color w:val="auto"/>
                      <w:sz w:val="21"/>
                      <w:szCs w:val="21"/>
                      <w:lang w:val="en-US" w:eastAsia="zh-CN"/>
                    </w:rPr>
                    <w:t>%</w:t>
                  </w:r>
                </w:p>
              </w:tc>
              <w:tc>
                <w:tcPr>
                  <w:tcW w:w="782"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2331" w:type="dxa"/>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0.000</w:t>
                  </w:r>
                  <w:r>
                    <w:rPr>
                      <w:rFonts w:hint="eastAsia" w:ascii="Times New Roman" w:hAnsi="Times New Roman" w:cs="Times New Roman"/>
                      <w:b w:val="0"/>
                      <w:bCs w:val="0"/>
                      <w:color w:val="auto"/>
                      <w:sz w:val="21"/>
                      <w:szCs w:val="21"/>
                      <w:lang w:val="en-US" w:eastAsia="zh-CN"/>
                    </w:rPr>
                    <w:t>097</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w:t>
                  </w:r>
                  <w:r>
                    <w:rPr>
                      <w:rFonts w:hint="eastAsia" w:ascii="Times New Roman" w:hAnsi="Times New Roman" w:cs="Times New Roman"/>
                      <w:b w:val="0"/>
                      <w:bCs w:val="0"/>
                      <w:color w:val="auto"/>
                      <w:sz w:val="21"/>
                      <w:szCs w:val="21"/>
                      <w:lang w:val="en-US" w:eastAsia="zh-CN"/>
                    </w:rPr>
                    <w:t>097</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1472" w:type="dxa"/>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0.00</w:t>
                  </w:r>
                  <w:r>
                    <w:rPr>
                      <w:rFonts w:hint="eastAsia" w:ascii="Times New Roman" w:hAnsi="Times New Roman" w:cs="Times New Roman"/>
                      <w:b w:val="0"/>
                      <w:bCs w:val="0"/>
                      <w:color w:val="auto"/>
                      <w:sz w:val="21"/>
                      <w:szCs w:val="21"/>
                      <w:lang w:val="en-US" w:eastAsia="zh-CN"/>
                    </w:rPr>
                    <w:t>07</w:t>
                  </w:r>
                  <w:r>
                    <w:rPr>
                      <w:rFonts w:hint="default" w:ascii="Times New Roman" w:hAnsi="Times New Roman" w:eastAsia="宋体"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1017"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eastAsia="zh-CN"/>
                    </w:rPr>
                  </w:pPr>
                  <w:r>
                    <w:rPr>
                      <w:rFonts w:hint="eastAsia" w:ascii="Times New Roman" w:hAnsi="Times New Roman" w:cs="Times New Roman"/>
                      <w:b w:val="0"/>
                      <w:bCs w:val="0"/>
                      <w:color w:val="auto"/>
                      <w:sz w:val="21"/>
                      <w:szCs w:val="21"/>
                      <w:u w:val="none"/>
                      <w:lang w:eastAsia="zh-CN"/>
                    </w:rPr>
                    <w:t>箔轧工序</w:t>
                  </w:r>
                  <w:r>
                    <w:rPr>
                      <w:rFonts w:hint="default" w:ascii="Times New Roman" w:hAnsi="Times New Roman" w:cs="Times New Roman"/>
                      <w:b w:val="0"/>
                      <w:bCs w:val="0"/>
                      <w:color w:val="auto"/>
                      <w:sz w:val="21"/>
                      <w:szCs w:val="21"/>
                      <w:lang w:eastAsia="zh-CN"/>
                    </w:rPr>
                    <w:t>废气</w:t>
                  </w:r>
                </w:p>
              </w:tc>
              <w:tc>
                <w:tcPr>
                  <w:tcW w:w="953" w:type="dxa"/>
                  <w:vMerge w:val="restart"/>
                  <w:tcBorders>
                    <w:top w:val="single" w:color="auto" w:sz="4" w:space="0"/>
                    <w:tl2br w:val="nil"/>
                    <w:tr2bl w:val="nil"/>
                  </w:tcBorders>
                  <w:noWrap w:val="0"/>
                  <w:vAlign w:val="center"/>
                </w:tcPr>
                <w:p>
                  <w:pPr>
                    <w:tabs>
                      <w:tab w:val="left" w:pos="1980"/>
                    </w:tabs>
                    <w:snapToGrid/>
                    <w:spacing w:line="240" w:lineRule="auto"/>
                    <w:jc w:val="center"/>
                    <w:outlineLvl w:val="9"/>
                    <w:rPr>
                      <w:rFonts w:hint="default"/>
                      <w:b w:val="0"/>
                      <w:bCs w:val="0"/>
                      <w:u w:val="none"/>
                      <w:lang w:val="en-US" w:eastAsia="zh-CN"/>
                    </w:rPr>
                  </w:pPr>
                  <w:r>
                    <w:rPr>
                      <w:rFonts w:hint="default" w:ascii="Times New Roman" w:hAnsi="Times New Roman" w:cs="Times New Roman"/>
                      <w:b w:val="0"/>
                      <w:bCs w:val="0"/>
                      <w:color w:val="auto"/>
                      <w:sz w:val="21"/>
                      <w:szCs w:val="21"/>
                      <w:u w:val="none"/>
                      <w:lang w:val="en-US" w:eastAsia="zh-CN"/>
                    </w:rPr>
                    <w:t>非甲烷总烃</w:t>
                  </w:r>
                </w:p>
              </w:tc>
              <w:tc>
                <w:tcPr>
                  <w:tcW w:w="985" w:type="dxa"/>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有组织</w:t>
                  </w:r>
                </w:p>
              </w:tc>
              <w:tc>
                <w:tcPr>
                  <w:tcW w:w="2352" w:type="dxa"/>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0.81t/a、0.113</w:t>
                  </w:r>
                  <w:r>
                    <w:rPr>
                      <w:rFonts w:hint="default" w:ascii="Times New Roman" w:hAnsi="Times New Roman" w:eastAsia="宋体" w:cs="Times New Roman"/>
                      <w:b w:val="0"/>
                      <w:bCs w:val="0"/>
                      <w:color w:val="auto"/>
                      <w:sz w:val="21"/>
                      <w:szCs w:val="21"/>
                      <w:u w:val="none"/>
                      <w:lang w:val="en-US" w:eastAsia="zh-CN"/>
                    </w:rPr>
                    <w:t>kg/h</w:t>
                  </w:r>
                </w:p>
              </w:tc>
              <w:tc>
                <w:tcPr>
                  <w:tcW w:w="1912"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油雾回收净化装置</w:t>
                  </w:r>
                  <w:r>
                    <w:rPr>
                      <w:rFonts w:hint="default" w:ascii="Times New Roman" w:hAnsi="Times New Roman" w:cs="Times New Roman"/>
                      <w:b w:val="0"/>
                      <w:bCs w:val="0"/>
                      <w:color w:val="auto"/>
                      <w:sz w:val="21"/>
                      <w:szCs w:val="21"/>
                      <w:u w:val="none"/>
                      <w:vertAlign w:val="baseline"/>
                      <w:lang w:val="en-US" w:eastAsia="zh-CN"/>
                    </w:rPr>
                    <w:t>+20m高排气筒</w:t>
                  </w:r>
                </w:p>
              </w:tc>
              <w:tc>
                <w:tcPr>
                  <w:tcW w:w="884"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90%</w:t>
                  </w:r>
                </w:p>
              </w:tc>
              <w:tc>
                <w:tcPr>
                  <w:tcW w:w="646"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70</w:t>
                  </w:r>
                  <w:r>
                    <w:rPr>
                      <w:rFonts w:hint="default" w:ascii="Times New Roman" w:hAnsi="Times New Roman" w:cs="Times New Roman"/>
                      <w:b w:val="0"/>
                      <w:bCs w:val="0"/>
                      <w:color w:val="auto"/>
                      <w:sz w:val="21"/>
                      <w:szCs w:val="21"/>
                      <w:u w:val="none"/>
                      <w:lang w:val="en-US" w:eastAsia="zh-CN"/>
                    </w:rPr>
                    <w:t>%</w:t>
                  </w:r>
                </w:p>
              </w:tc>
              <w:tc>
                <w:tcPr>
                  <w:tcW w:w="782"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是</w:t>
                  </w:r>
                </w:p>
              </w:tc>
              <w:tc>
                <w:tcPr>
                  <w:tcW w:w="2331" w:type="dxa"/>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0.034</w:t>
                  </w:r>
                  <w:r>
                    <w:rPr>
                      <w:rFonts w:hint="default" w:ascii="Times New Roman" w:hAnsi="Times New Roman" w:eastAsia="宋体" w:cs="Times New Roman"/>
                      <w:b w:val="0"/>
                      <w:bCs w:val="0"/>
                      <w:color w:val="auto"/>
                      <w:sz w:val="21"/>
                      <w:szCs w:val="21"/>
                      <w:u w:val="none"/>
                      <w:lang w:val="en-US" w:eastAsia="zh-CN"/>
                    </w:rPr>
                    <w:t>kg/h</w:t>
                  </w:r>
                  <w:r>
                    <w:rPr>
                      <w:rFonts w:hint="eastAsia" w:ascii="Times New Roman" w:hAnsi="Times New Roman" w:eastAsia="宋体" w:cs="Times New Roman"/>
                      <w:b w:val="0"/>
                      <w:bCs w:val="0"/>
                      <w:color w:val="auto"/>
                      <w:sz w:val="21"/>
                      <w:szCs w:val="21"/>
                      <w:u w:val="none"/>
                      <w:lang w:val="en-US" w:eastAsia="zh-CN"/>
                    </w:rPr>
                    <w:t>；</w:t>
                  </w:r>
                  <w:r>
                    <w:rPr>
                      <w:rFonts w:hint="eastAsia" w:ascii="Times New Roman" w:hAnsi="Times New Roman" w:cs="Times New Roman"/>
                      <w:b w:val="0"/>
                      <w:bCs w:val="0"/>
                      <w:color w:val="auto"/>
                      <w:sz w:val="21"/>
                      <w:szCs w:val="21"/>
                      <w:u w:val="none"/>
                      <w:lang w:val="en-US" w:eastAsia="zh-CN"/>
                    </w:rPr>
                    <w:t>6.8</w:t>
                  </w:r>
                  <w:r>
                    <w:rPr>
                      <w:rFonts w:hint="default" w:ascii="Times New Roman" w:hAnsi="Times New Roman" w:eastAsia="宋体" w:cs="Times New Roman"/>
                      <w:b w:val="0"/>
                      <w:bCs w:val="0"/>
                      <w:color w:val="auto"/>
                      <w:sz w:val="21"/>
                      <w:szCs w:val="21"/>
                      <w:u w:val="none"/>
                      <w:lang w:val="en-US" w:eastAsia="zh-CN"/>
                    </w:rPr>
                    <w:t>mg/m</w:t>
                  </w:r>
                  <w:r>
                    <w:rPr>
                      <w:rFonts w:hint="default" w:ascii="Times New Roman" w:hAnsi="Times New Roman" w:eastAsia="宋体" w:cs="Times New Roman"/>
                      <w:b w:val="0"/>
                      <w:bCs w:val="0"/>
                      <w:color w:val="auto"/>
                      <w:sz w:val="21"/>
                      <w:szCs w:val="21"/>
                      <w:u w:val="none"/>
                      <w:vertAlign w:val="superscript"/>
                      <w:lang w:val="en-US" w:eastAsia="zh-CN"/>
                    </w:rPr>
                    <w:t>3</w:t>
                  </w:r>
                </w:p>
              </w:tc>
              <w:tc>
                <w:tcPr>
                  <w:tcW w:w="1472" w:type="dxa"/>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0.243</w:t>
                  </w:r>
                  <w:r>
                    <w:rPr>
                      <w:rFonts w:hint="default" w:ascii="Times New Roman" w:hAnsi="Times New Roman" w:eastAsia="宋体" w:cs="Times New Roman"/>
                      <w:b w:val="0"/>
                      <w:bCs w:val="0"/>
                      <w:color w:val="auto"/>
                      <w:sz w:val="21"/>
                      <w:szCs w:val="21"/>
                      <w:u w:val="no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3" w:hRule="atLeast"/>
                <w:jc w:val="center"/>
              </w:trPr>
              <w:tc>
                <w:tcPr>
                  <w:tcW w:w="1017"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sz w:val="21"/>
                      <w:szCs w:val="21"/>
                      <w:u w:val="none"/>
                      <w:lang w:eastAsia="zh-CN"/>
                    </w:rPr>
                  </w:pPr>
                </w:p>
              </w:tc>
              <w:tc>
                <w:tcPr>
                  <w:tcW w:w="953" w:type="dxa"/>
                  <w:vMerge w:val="continue"/>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p>
              </w:tc>
              <w:tc>
                <w:tcPr>
                  <w:tcW w:w="985" w:type="dxa"/>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eastAsia="zh-CN"/>
                    </w:rPr>
                  </w:pPr>
                  <w:r>
                    <w:rPr>
                      <w:rFonts w:hint="eastAsia" w:ascii="Times New Roman" w:hAnsi="Times New Roman" w:cs="Times New Roman"/>
                      <w:b w:val="0"/>
                      <w:bCs w:val="0"/>
                      <w:color w:val="auto"/>
                      <w:sz w:val="21"/>
                      <w:szCs w:val="21"/>
                      <w:u w:val="none"/>
                      <w:lang w:eastAsia="zh-CN"/>
                    </w:rPr>
                    <w:t>无组织</w:t>
                  </w:r>
                </w:p>
              </w:tc>
              <w:tc>
                <w:tcPr>
                  <w:tcW w:w="2352" w:type="dxa"/>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0.09</w:t>
                  </w:r>
                  <w:r>
                    <w:rPr>
                      <w:rFonts w:hint="default" w:ascii="Times New Roman" w:hAnsi="Times New Roman" w:eastAsia="宋体" w:cs="Times New Roman"/>
                      <w:b w:val="0"/>
                      <w:bCs w:val="0"/>
                      <w:color w:val="auto"/>
                      <w:sz w:val="21"/>
                      <w:szCs w:val="21"/>
                      <w:u w:val="none"/>
                      <w:lang w:val="en-US" w:eastAsia="zh-CN"/>
                    </w:rPr>
                    <w:t>t/a、</w:t>
                  </w:r>
                  <w:r>
                    <w:rPr>
                      <w:rFonts w:hint="default" w:ascii="Times New Roman" w:hAnsi="Times New Roman" w:cs="Times New Roman"/>
                      <w:b w:val="0"/>
                      <w:bCs w:val="0"/>
                      <w:color w:val="auto"/>
                      <w:sz w:val="21"/>
                      <w:szCs w:val="21"/>
                      <w:u w:val="none"/>
                      <w:lang w:val="en-US" w:eastAsia="zh-CN"/>
                    </w:rPr>
                    <w:t>0.</w:t>
                  </w:r>
                  <w:r>
                    <w:rPr>
                      <w:rFonts w:hint="eastAsia" w:ascii="Times New Roman" w:hAnsi="Times New Roman" w:cs="Times New Roman"/>
                      <w:b w:val="0"/>
                      <w:bCs w:val="0"/>
                      <w:color w:val="auto"/>
                      <w:sz w:val="21"/>
                      <w:szCs w:val="21"/>
                      <w:u w:val="none"/>
                      <w:lang w:val="en-US" w:eastAsia="zh-CN"/>
                    </w:rPr>
                    <w:t>0125</w:t>
                  </w:r>
                  <w:r>
                    <w:rPr>
                      <w:rFonts w:hint="default" w:ascii="Times New Roman" w:hAnsi="Times New Roman" w:eastAsia="宋体" w:cs="Times New Roman"/>
                      <w:b w:val="0"/>
                      <w:bCs w:val="0"/>
                      <w:color w:val="auto"/>
                      <w:sz w:val="21"/>
                      <w:szCs w:val="21"/>
                      <w:u w:val="none"/>
                      <w:lang w:val="en-US" w:eastAsia="zh-CN"/>
                    </w:rPr>
                    <w:t>kg/h</w:t>
                  </w:r>
                </w:p>
              </w:tc>
              <w:tc>
                <w:tcPr>
                  <w:tcW w:w="1912"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sz w:val="21"/>
                      <w:szCs w:val="21"/>
                      <w:u w:val="none"/>
                      <w:vertAlign w:val="baseline"/>
                      <w:lang w:val="en-US" w:eastAsia="zh-CN"/>
                    </w:rPr>
                  </w:pPr>
                </w:p>
              </w:tc>
              <w:tc>
                <w:tcPr>
                  <w:tcW w:w="884"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p>
              </w:tc>
              <w:tc>
                <w:tcPr>
                  <w:tcW w:w="646"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p>
              </w:tc>
              <w:tc>
                <w:tcPr>
                  <w:tcW w:w="782"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p>
              </w:tc>
              <w:tc>
                <w:tcPr>
                  <w:tcW w:w="2331" w:type="dxa"/>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w:t>
                  </w:r>
                  <w:r>
                    <w:rPr>
                      <w:rFonts w:hint="eastAsia" w:ascii="Times New Roman" w:hAnsi="Times New Roman" w:cs="Times New Roman"/>
                      <w:b w:val="0"/>
                      <w:bCs w:val="0"/>
                      <w:color w:val="auto"/>
                      <w:sz w:val="21"/>
                      <w:szCs w:val="21"/>
                      <w:u w:val="none"/>
                      <w:lang w:val="en-US" w:eastAsia="zh-CN"/>
                    </w:rPr>
                    <w:t>0125</w:t>
                  </w:r>
                  <w:r>
                    <w:rPr>
                      <w:rFonts w:hint="default" w:ascii="Times New Roman" w:hAnsi="Times New Roman" w:eastAsia="宋体" w:cs="Times New Roman"/>
                      <w:b w:val="0"/>
                      <w:bCs w:val="0"/>
                      <w:color w:val="auto"/>
                      <w:sz w:val="21"/>
                      <w:szCs w:val="21"/>
                      <w:u w:val="none"/>
                      <w:lang w:val="en-US" w:eastAsia="zh-CN"/>
                    </w:rPr>
                    <w:t>kg/h</w:t>
                  </w:r>
                </w:p>
              </w:tc>
              <w:tc>
                <w:tcPr>
                  <w:tcW w:w="1472" w:type="dxa"/>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0.09</w:t>
                  </w:r>
                  <w:r>
                    <w:rPr>
                      <w:rFonts w:hint="default" w:ascii="Times New Roman" w:hAnsi="Times New Roman" w:eastAsia="宋体" w:cs="Times New Roman"/>
                      <w:b w:val="0"/>
                      <w:bCs w:val="0"/>
                      <w:color w:val="auto"/>
                      <w:sz w:val="21"/>
                      <w:szCs w:val="21"/>
                      <w:u w:val="none"/>
                      <w:lang w:val="en-US" w:eastAsia="zh-CN"/>
                    </w:rPr>
                    <w:t>t/a</w:t>
                  </w:r>
                </w:p>
              </w:tc>
            </w:tr>
          </w:tbl>
          <w:p>
            <w:pPr>
              <w:pageBreakBefore w:val="0"/>
              <w:widowControl w:val="0"/>
              <w:kinsoku/>
              <w:wordWrap/>
              <w:overflowPunct/>
              <w:topLinePunct w:val="0"/>
              <w:autoSpaceDE/>
              <w:autoSpaceDN/>
              <w:bidi w:val="0"/>
              <w:adjustRightInd/>
              <w:snapToGrid/>
              <w:spacing w:line="520" w:lineRule="exact"/>
              <w:ind w:left="0"/>
              <w:textAlignment w:val="auto"/>
              <w:rPr>
                <w:rFonts w:hint="eastAsia" w:ascii="Times New Roman" w:hAnsi="Times New Roman" w:cs="Times New Roman"/>
                <w:b w:val="0"/>
                <w:bCs w:val="0"/>
                <w:color w:val="auto"/>
                <w:sz w:val="24"/>
                <w:szCs w:val="24"/>
                <w:u w:val="none"/>
                <w:lang w:eastAsia="zh-CN"/>
              </w:rPr>
            </w:pPr>
            <w:r>
              <w:rPr>
                <w:rFonts w:hint="default" w:ascii="Times New Roman" w:hAnsi="Times New Roman" w:cs="Times New Roman"/>
                <w:b w:val="0"/>
                <w:bCs w:val="0"/>
                <w:color w:val="auto"/>
                <w:sz w:val="24"/>
                <w:szCs w:val="24"/>
                <w:u w:val="none"/>
              </w:rPr>
              <w:t>注：上表中颗粒物包含天然气燃烧产生的</w:t>
            </w:r>
            <w:r>
              <w:rPr>
                <w:rFonts w:hint="default" w:ascii="Times New Roman" w:hAnsi="Times New Roman" w:cs="Times New Roman"/>
                <w:b w:val="0"/>
                <w:bCs w:val="0"/>
                <w:color w:val="auto"/>
                <w:sz w:val="24"/>
                <w:szCs w:val="24"/>
                <w:u w:val="none"/>
                <w:lang w:eastAsia="zh-CN"/>
              </w:rPr>
              <w:t>颗粒物</w:t>
            </w:r>
            <w:r>
              <w:rPr>
                <w:rFonts w:hint="default" w:ascii="Times New Roman" w:hAnsi="Times New Roman" w:cs="Times New Roman"/>
                <w:b w:val="0"/>
                <w:bCs w:val="0"/>
                <w:color w:val="auto"/>
                <w:sz w:val="24"/>
                <w:szCs w:val="24"/>
                <w:u w:val="none"/>
              </w:rPr>
              <w:t>和熔炼烟气中的颗粒物</w:t>
            </w:r>
            <w:r>
              <w:rPr>
                <w:rFonts w:hint="eastAsia" w:ascii="Times New Roman" w:hAnsi="Times New Roman" w:cs="Times New Roman"/>
                <w:b w:val="0"/>
                <w:bCs w:val="0"/>
                <w:color w:val="auto"/>
                <w:sz w:val="24"/>
                <w:szCs w:val="24"/>
                <w:u w:val="none"/>
                <w:lang w:eastAsia="zh-CN"/>
              </w:rPr>
              <w:t>。</w:t>
            </w:r>
          </w:p>
          <w:p>
            <w:pPr>
              <w:pStyle w:val="2"/>
              <w:pageBreakBefore w:val="0"/>
              <w:widowControl w:val="0"/>
              <w:kinsoku/>
              <w:wordWrap/>
              <w:overflowPunct/>
              <w:topLinePunct w:val="0"/>
              <w:autoSpaceDE/>
              <w:autoSpaceDN/>
              <w:bidi w:val="0"/>
              <w:adjustRightInd/>
              <w:snapToGrid/>
              <w:spacing w:line="520" w:lineRule="exact"/>
              <w:ind w:left="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废气污染物主要排放口基本情况一览表</w:t>
            </w:r>
          </w:p>
          <w:tbl>
            <w:tblPr>
              <w:tblStyle w:val="27"/>
              <w:tblW w:w="1334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28"/>
              <w:gridCol w:w="2574"/>
              <w:gridCol w:w="1268"/>
              <w:gridCol w:w="1428"/>
              <w:gridCol w:w="1306"/>
              <w:gridCol w:w="1145"/>
              <w:gridCol w:w="27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828"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排放口编号及名称</w:t>
                  </w:r>
                </w:p>
              </w:tc>
              <w:tc>
                <w:tcPr>
                  <w:tcW w:w="2574"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污染物种类</w:t>
                  </w:r>
                </w:p>
              </w:tc>
              <w:tc>
                <w:tcPr>
                  <w:tcW w:w="1268"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高度/m</w:t>
                  </w:r>
                </w:p>
              </w:tc>
              <w:tc>
                <w:tcPr>
                  <w:tcW w:w="1428"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排气筒内径/m</w:t>
                  </w:r>
                </w:p>
              </w:tc>
              <w:tc>
                <w:tcPr>
                  <w:tcW w:w="1306"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温度/℃</w:t>
                  </w:r>
                </w:p>
              </w:tc>
              <w:tc>
                <w:tcPr>
                  <w:tcW w:w="1145"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类型</w:t>
                  </w:r>
                </w:p>
              </w:tc>
              <w:tc>
                <w:tcPr>
                  <w:tcW w:w="2793" w:type="dxa"/>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28"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2574"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1268"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1428"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1306"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1145"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2793"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2828" w:type="dxa"/>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eastAsia="zh-CN"/>
                    </w:rPr>
                    <w:t>倾动炉熔炼废气</w:t>
                  </w:r>
                  <w:r>
                    <w:rPr>
                      <w:rFonts w:hint="default" w:ascii="Times New Roman" w:hAnsi="Times New Roman" w:cs="Times New Roman"/>
                      <w:b w:val="0"/>
                      <w:bCs w:val="0"/>
                      <w:color w:val="auto"/>
                      <w:sz w:val="21"/>
                      <w:szCs w:val="21"/>
                      <w:u w:val="none"/>
                      <w:lang w:val="en-US" w:eastAsia="zh-CN"/>
                    </w:rPr>
                    <w:t>排放口</w:t>
                  </w:r>
                </w:p>
              </w:tc>
              <w:tc>
                <w:tcPr>
                  <w:tcW w:w="2574" w:type="dxa"/>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颗粒物</w:t>
                  </w:r>
                </w:p>
              </w:tc>
              <w:tc>
                <w:tcPr>
                  <w:tcW w:w="1268" w:type="dxa"/>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20</w:t>
                  </w:r>
                </w:p>
              </w:tc>
              <w:tc>
                <w:tcPr>
                  <w:tcW w:w="1428" w:type="dxa"/>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w:t>
                  </w:r>
                  <w:r>
                    <w:rPr>
                      <w:rFonts w:hint="eastAsia" w:ascii="Times New Roman" w:hAnsi="Times New Roman" w:cs="Times New Roman"/>
                      <w:b w:val="0"/>
                      <w:bCs w:val="0"/>
                      <w:color w:val="auto"/>
                      <w:sz w:val="21"/>
                      <w:szCs w:val="21"/>
                      <w:u w:val="none"/>
                      <w:lang w:val="en-US" w:eastAsia="zh-CN"/>
                    </w:rPr>
                    <w:t>6</w:t>
                  </w:r>
                </w:p>
              </w:tc>
              <w:tc>
                <w:tcPr>
                  <w:tcW w:w="1306" w:type="dxa"/>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60</w:t>
                  </w:r>
                </w:p>
              </w:tc>
              <w:tc>
                <w:tcPr>
                  <w:tcW w:w="1145" w:type="dxa"/>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主要</w:t>
                  </w:r>
                  <w:r>
                    <w:rPr>
                      <w:rFonts w:hint="default" w:ascii="Times New Roman" w:hAnsi="Times New Roman" w:eastAsia="宋体" w:cs="Times New Roman"/>
                      <w:b w:val="0"/>
                      <w:bCs w:val="0"/>
                      <w:color w:val="auto"/>
                      <w:sz w:val="21"/>
                      <w:szCs w:val="21"/>
                      <w:u w:val="none"/>
                      <w:lang w:val="en-US" w:eastAsia="zh-CN"/>
                    </w:rPr>
                    <w:t>般排放口</w:t>
                  </w:r>
                </w:p>
              </w:tc>
              <w:tc>
                <w:tcPr>
                  <w:tcW w:w="2793" w:type="dxa"/>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10</w:t>
                  </w:r>
                  <w:r>
                    <w:rPr>
                      <w:rFonts w:hint="default" w:ascii="Times New Roman" w:hAnsi="Times New Roman" w:eastAsia="宋体" w:cs="Times New Roman"/>
                      <w:b w:val="0"/>
                      <w:bCs w:val="0"/>
                      <w:color w:val="auto"/>
                      <w:sz w:val="21"/>
                      <w:szCs w:val="21"/>
                      <w:u w:val="none"/>
                      <w:lang w:val="en-US" w:eastAsia="zh-CN"/>
                    </w:rPr>
                    <w:t>mg/m</w:t>
                  </w:r>
                  <w:r>
                    <w:rPr>
                      <w:rFonts w:hint="default" w:ascii="Times New Roman" w:hAnsi="Times New Roman" w:eastAsia="宋体" w:cs="Times New Roman"/>
                      <w:b w:val="0"/>
                      <w:bCs w:val="0"/>
                      <w:color w:val="auto"/>
                      <w:sz w:val="21"/>
                      <w:szCs w:val="21"/>
                      <w:u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 w:hRule="atLeast"/>
                <w:jc w:val="center"/>
              </w:trPr>
              <w:tc>
                <w:tcPr>
                  <w:tcW w:w="2828"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rPr>
                  </w:pPr>
                </w:p>
              </w:tc>
              <w:tc>
                <w:tcPr>
                  <w:tcW w:w="2574"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二氧化硫</w:t>
                  </w:r>
                </w:p>
              </w:tc>
              <w:tc>
                <w:tcPr>
                  <w:tcW w:w="1268"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1428"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1306"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1145"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2793"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50</w:t>
                  </w:r>
                  <w:r>
                    <w:rPr>
                      <w:rFonts w:hint="default" w:ascii="Times New Roman" w:hAnsi="Times New Roman" w:eastAsia="宋体" w:cs="Times New Roman"/>
                      <w:b w:val="0"/>
                      <w:bCs w:val="0"/>
                      <w:color w:val="auto"/>
                      <w:sz w:val="21"/>
                      <w:szCs w:val="21"/>
                      <w:u w:val="none"/>
                      <w:lang w:val="en-US" w:eastAsia="zh-CN"/>
                    </w:rPr>
                    <w:t>mg/m</w:t>
                  </w:r>
                  <w:r>
                    <w:rPr>
                      <w:rFonts w:hint="default" w:ascii="Times New Roman" w:hAnsi="Times New Roman" w:eastAsia="宋体" w:cs="Times New Roman"/>
                      <w:b w:val="0"/>
                      <w:bCs w:val="0"/>
                      <w:color w:val="auto"/>
                      <w:sz w:val="21"/>
                      <w:szCs w:val="21"/>
                      <w:u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28"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2574"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氮氧化物</w:t>
                  </w:r>
                </w:p>
              </w:tc>
              <w:tc>
                <w:tcPr>
                  <w:tcW w:w="1268"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1428"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1306"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1145"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2793"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5</w:t>
                  </w:r>
                  <w:r>
                    <w:rPr>
                      <w:rFonts w:hint="default" w:ascii="Times New Roman" w:hAnsi="Times New Roman" w:eastAsia="宋体" w:cs="Times New Roman"/>
                      <w:b w:val="0"/>
                      <w:bCs w:val="0"/>
                      <w:color w:val="auto"/>
                      <w:sz w:val="21"/>
                      <w:szCs w:val="21"/>
                      <w:u w:val="none"/>
                      <w:lang w:val="en-US" w:eastAsia="zh-CN"/>
                    </w:rPr>
                    <w:t>0mg/m</w:t>
                  </w:r>
                  <w:r>
                    <w:rPr>
                      <w:rFonts w:hint="default" w:ascii="Times New Roman" w:hAnsi="Times New Roman" w:eastAsia="宋体" w:cs="Times New Roman"/>
                      <w:b w:val="0"/>
                      <w:bCs w:val="0"/>
                      <w:color w:val="auto"/>
                      <w:sz w:val="21"/>
                      <w:szCs w:val="21"/>
                      <w:u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28"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2574"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铅及其化合物</w:t>
                  </w:r>
                </w:p>
              </w:tc>
              <w:tc>
                <w:tcPr>
                  <w:tcW w:w="1268"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1428"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1306"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1145"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2793"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0.7</w:t>
                  </w:r>
                  <w:r>
                    <w:rPr>
                      <w:rFonts w:hint="default" w:ascii="Times New Roman" w:hAnsi="Times New Roman" w:eastAsia="宋体" w:cs="Times New Roman"/>
                      <w:b w:val="0"/>
                      <w:bCs w:val="0"/>
                      <w:color w:val="auto"/>
                      <w:sz w:val="21"/>
                      <w:szCs w:val="21"/>
                      <w:u w:val="none"/>
                      <w:lang w:val="en-US" w:eastAsia="zh-CN"/>
                    </w:rPr>
                    <w:t>mg/m</w:t>
                  </w:r>
                  <w:r>
                    <w:rPr>
                      <w:rFonts w:hint="default" w:ascii="Times New Roman" w:hAnsi="Times New Roman" w:eastAsia="宋体" w:cs="Times New Roman"/>
                      <w:b w:val="0"/>
                      <w:bCs w:val="0"/>
                      <w:color w:val="auto"/>
                      <w:sz w:val="21"/>
                      <w:szCs w:val="21"/>
                      <w:u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2828"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eastAsia="zh-CN"/>
                    </w:rPr>
                    <w:t>箔轧工序</w:t>
                  </w:r>
                  <w:r>
                    <w:rPr>
                      <w:rFonts w:hint="default" w:ascii="Times New Roman" w:hAnsi="Times New Roman" w:cs="Times New Roman"/>
                      <w:b w:val="0"/>
                      <w:bCs w:val="0"/>
                      <w:color w:val="auto"/>
                      <w:sz w:val="21"/>
                      <w:szCs w:val="21"/>
                      <w:u w:val="none"/>
                      <w:lang w:eastAsia="zh-CN"/>
                    </w:rPr>
                    <w:t>废气</w:t>
                  </w:r>
                  <w:r>
                    <w:rPr>
                      <w:rFonts w:hint="default" w:ascii="Times New Roman" w:hAnsi="Times New Roman" w:cs="Times New Roman"/>
                      <w:b w:val="0"/>
                      <w:bCs w:val="0"/>
                      <w:color w:val="auto"/>
                      <w:sz w:val="21"/>
                      <w:szCs w:val="21"/>
                      <w:u w:val="none"/>
                      <w:lang w:val="en-US" w:eastAsia="zh-CN"/>
                    </w:rPr>
                    <w:t>排放口</w:t>
                  </w:r>
                </w:p>
              </w:tc>
              <w:tc>
                <w:tcPr>
                  <w:tcW w:w="25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非甲烷总烃</w:t>
                  </w:r>
                </w:p>
              </w:tc>
              <w:tc>
                <w:tcPr>
                  <w:tcW w:w="1268"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20</w:t>
                  </w:r>
                </w:p>
              </w:tc>
              <w:tc>
                <w:tcPr>
                  <w:tcW w:w="1428" w:type="dxa"/>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w:t>
                  </w:r>
                  <w:r>
                    <w:rPr>
                      <w:rFonts w:hint="eastAsia" w:ascii="Times New Roman" w:hAnsi="Times New Roman" w:cs="Times New Roman"/>
                      <w:b w:val="0"/>
                      <w:bCs w:val="0"/>
                      <w:color w:val="auto"/>
                      <w:sz w:val="21"/>
                      <w:szCs w:val="21"/>
                      <w:u w:val="none"/>
                      <w:lang w:val="en-US" w:eastAsia="zh-CN"/>
                    </w:rPr>
                    <w:t>4</w:t>
                  </w:r>
                </w:p>
              </w:tc>
              <w:tc>
                <w:tcPr>
                  <w:tcW w:w="13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25</w:t>
                  </w:r>
                </w:p>
              </w:tc>
              <w:tc>
                <w:tcPr>
                  <w:tcW w:w="1145" w:type="dxa"/>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u w:val="none"/>
                      <w:lang w:val="en-US" w:eastAsia="zh-CN"/>
                    </w:rPr>
                  </w:pPr>
                </w:p>
              </w:tc>
              <w:tc>
                <w:tcPr>
                  <w:tcW w:w="27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80</w:t>
                  </w:r>
                  <w:r>
                    <w:rPr>
                      <w:rFonts w:hint="default" w:ascii="Times New Roman" w:hAnsi="Times New Roman" w:eastAsia="宋体" w:cs="Times New Roman"/>
                      <w:b w:val="0"/>
                      <w:bCs w:val="0"/>
                      <w:color w:val="auto"/>
                      <w:sz w:val="21"/>
                      <w:szCs w:val="21"/>
                      <w:u w:val="none"/>
                      <w:lang w:val="en-US" w:eastAsia="zh-CN"/>
                    </w:rPr>
                    <w:t>mg/m</w:t>
                  </w:r>
                  <w:r>
                    <w:rPr>
                      <w:rFonts w:hint="default" w:ascii="Times New Roman" w:hAnsi="Times New Roman" w:eastAsia="宋体" w:cs="Times New Roman"/>
                      <w:b w:val="0"/>
                      <w:bCs w:val="0"/>
                      <w:color w:val="auto"/>
                      <w:sz w:val="21"/>
                      <w:szCs w:val="21"/>
                      <w:u w:val="none"/>
                      <w:vertAlign w:val="superscript"/>
                      <w:lang w:val="en-US" w:eastAsia="zh-CN"/>
                    </w:rPr>
                    <w:t>3</w:t>
                  </w:r>
                </w:p>
              </w:tc>
            </w:tr>
          </w:tbl>
          <w:p>
            <w:pPr>
              <w:pStyle w:val="2"/>
              <w:bidi w:val="0"/>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无组织排放废气（面源）参数调查清单</w:t>
            </w:r>
          </w:p>
          <w:tbl>
            <w:tblPr>
              <w:tblStyle w:val="28"/>
              <w:tblW w:w="13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989"/>
              <w:gridCol w:w="1855"/>
              <w:gridCol w:w="1657"/>
              <w:gridCol w:w="1470"/>
              <w:gridCol w:w="2445"/>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Merge w:val="restart"/>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位置</w:t>
                  </w:r>
                </w:p>
              </w:tc>
              <w:tc>
                <w:tcPr>
                  <w:tcW w:w="3844" w:type="dxa"/>
                  <w:gridSpan w:val="2"/>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面源中心点地理坐标</w:t>
                  </w:r>
                </w:p>
              </w:tc>
              <w:tc>
                <w:tcPr>
                  <w:tcW w:w="1657" w:type="dxa"/>
                  <w:vMerge w:val="restart"/>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eastAsia="zh-CN"/>
                    </w:rPr>
                    <w:t>面源长度</w:t>
                  </w:r>
                  <w:r>
                    <w:rPr>
                      <w:rFonts w:hint="default" w:ascii="Times New Roman" w:hAnsi="Times New Roman" w:cs="Times New Roman" w:eastAsiaTheme="minorEastAsia"/>
                      <w:color w:val="auto"/>
                      <w:sz w:val="21"/>
                      <w:szCs w:val="21"/>
                      <w:vertAlign w:val="baseline"/>
                      <w:lang w:val="en-US" w:eastAsia="zh-CN"/>
                    </w:rPr>
                    <w:t>/m</w:t>
                  </w:r>
                </w:p>
              </w:tc>
              <w:tc>
                <w:tcPr>
                  <w:tcW w:w="1470" w:type="dxa"/>
                  <w:vMerge w:val="restart"/>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eastAsia="zh-CN"/>
                    </w:rPr>
                    <w:t>面源宽度</w:t>
                  </w:r>
                  <w:r>
                    <w:rPr>
                      <w:rFonts w:hint="default" w:ascii="Times New Roman" w:hAnsi="Times New Roman" w:cs="Times New Roman" w:eastAsiaTheme="minorEastAsia"/>
                      <w:color w:val="auto"/>
                      <w:sz w:val="21"/>
                      <w:szCs w:val="21"/>
                      <w:vertAlign w:val="baseline"/>
                      <w:lang w:val="en-US" w:eastAsia="zh-CN"/>
                    </w:rPr>
                    <w:t>/m</w:t>
                  </w:r>
                </w:p>
              </w:tc>
              <w:tc>
                <w:tcPr>
                  <w:tcW w:w="2445" w:type="dxa"/>
                  <w:vMerge w:val="restart"/>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eastAsia="zh-CN"/>
                    </w:rPr>
                    <w:t>面源有效排放高度</w:t>
                  </w:r>
                  <w:r>
                    <w:rPr>
                      <w:rFonts w:hint="default" w:ascii="Times New Roman" w:hAnsi="Times New Roman" w:cs="Times New Roman" w:eastAsiaTheme="minorEastAsia"/>
                      <w:color w:val="auto"/>
                      <w:sz w:val="21"/>
                      <w:szCs w:val="21"/>
                      <w:vertAlign w:val="baseline"/>
                      <w:lang w:val="en-US" w:eastAsia="zh-CN"/>
                    </w:rPr>
                    <w:t>/m</w:t>
                  </w:r>
                </w:p>
              </w:tc>
              <w:tc>
                <w:tcPr>
                  <w:tcW w:w="2533" w:type="dxa"/>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排放速率（</w:t>
                  </w:r>
                  <w:r>
                    <w:rPr>
                      <w:rFonts w:hint="default" w:ascii="Times New Roman" w:hAnsi="Times New Roman" w:cs="Times New Roman" w:eastAsiaTheme="minorEastAsia"/>
                      <w:color w:val="auto"/>
                      <w:sz w:val="21"/>
                      <w:szCs w:val="21"/>
                      <w:vertAlign w:val="baseline"/>
                      <w:lang w:val="en-US" w:eastAsia="zh-CN"/>
                    </w:rPr>
                    <w:t>kg/h</w:t>
                  </w:r>
                  <w:r>
                    <w:rPr>
                      <w:rFonts w:hint="default" w:ascii="Times New Roman" w:hAnsi="Times New Roman" w:cs="Times New Roman" w:eastAsiaTheme="minorEastAsia"/>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93" w:type="dxa"/>
                  <w:vMerge w:val="continue"/>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p>
              </w:tc>
              <w:tc>
                <w:tcPr>
                  <w:tcW w:w="1989" w:type="dxa"/>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经度（东经）</w:t>
                  </w:r>
                </w:p>
              </w:tc>
              <w:tc>
                <w:tcPr>
                  <w:tcW w:w="1855" w:type="dxa"/>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纬度（北纬）</w:t>
                  </w:r>
                </w:p>
              </w:tc>
              <w:tc>
                <w:tcPr>
                  <w:tcW w:w="1657" w:type="dxa"/>
                  <w:vMerge w:val="continue"/>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p>
              </w:tc>
              <w:tc>
                <w:tcPr>
                  <w:tcW w:w="1470" w:type="dxa"/>
                  <w:vMerge w:val="continue"/>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p>
              </w:tc>
              <w:tc>
                <w:tcPr>
                  <w:tcW w:w="2445" w:type="dxa"/>
                  <w:vMerge w:val="continue"/>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p>
              </w:tc>
              <w:tc>
                <w:tcPr>
                  <w:tcW w:w="2533" w:type="dxa"/>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3" w:type="dxa"/>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轧制工序</w:t>
                  </w:r>
                </w:p>
              </w:tc>
              <w:tc>
                <w:tcPr>
                  <w:tcW w:w="1989" w:type="dxa"/>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r>
                    <w:rPr>
                      <w:rFonts w:hint="default" w:ascii="Times New Roman" w:hAnsi="Times New Roman" w:cs="Times New Roman" w:eastAsiaTheme="minorEastAsia"/>
                      <w:color w:val="auto"/>
                      <w:sz w:val="21"/>
                      <w:szCs w:val="21"/>
                      <w:vertAlign w:val="baseline"/>
                    </w:rPr>
                    <w:t>116.54363394</w:t>
                  </w:r>
                </w:p>
              </w:tc>
              <w:tc>
                <w:tcPr>
                  <w:tcW w:w="1855" w:type="dxa"/>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r>
                    <w:rPr>
                      <w:rFonts w:hint="default" w:ascii="Times New Roman" w:hAnsi="Times New Roman" w:cs="Times New Roman" w:eastAsiaTheme="minorEastAsia"/>
                      <w:color w:val="auto"/>
                      <w:sz w:val="21"/>
                      <w:szCs w:val="21"/>
                      <w:vertAlign w:val="baseline"/>
                    </w:rPr>
                    <w:t>33.89668166</w:t>
                  </w:r>
                </w:p>
              </w:tc>
              <w:tc>
                <w:tcPr>
                  <w:tcW w:w="1657" w:type="dxa"/>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260</w:t>
                  </w:r>
                </w:p>
              </w:tc>
              <w:tc>
                <w:tcPr>
                  <w:tcW w:w="1470" w:type="dxa"/>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50</w:t>
                  </w:r>
                </w:p>
              </w:tc>
              <w:tc>
                <w:tcPr>
                  <w:tcW w:w="2445" w:type="dxa"/>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10</w:t>
                  </w:r>
                </w:p>
              </w:tc>
              <w:tc>
                <w:tcPr>
                  <w:tcW w:w="2533" w:type="dxa"/>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eastAsiaTheme="minorEastAsia"/>
                      <w:color w:val="auto"/>
                      <w:sz w:val="21"/>
                      <w:szCs w:val="21"/>
                      <w:highlight w:val="none"/>
                      <w:vertAlign w:val="baseline"/>
                      <w:lang w:val="en-US" w:eastAsia="zh-CN"/>
                    </w:rPr>
                    <w:t>0.0125</w:t>
                  </w:r>
                </w:p>
              </w:tc>
            </w:tr>
          </w:tbl>
          <w:p>
            <w:pPr>
              <w:jc w:val="center"/>
              <w:rPr>
                <w:rFonts w:hint="eastAsia" w:ascii="Times New Roman" w:hAnsi="Times New Roman" w:eastAsia="黑体" w:cs="Times New Roman"/>
                <w:color w:val="auto"/>
                <w:sz w:val="28"/>
                <w:szCs w:val="36"/>
                <w:vertAlign w:val="baseline"/>
                <w:lang w:val="en-US" w:eastAsia="zh-CN"/>
              </w:rPr>
            </w:pPr>
          </w:p>
          <w:p>
            <w:pPr>
              <w:jc w:val="both"/>
              <w:rPr>
                <w:rFonts w:hint="default" w:ascii="Times New Roman" w:hAnsi="Times New Roman" w:eastAsia="黑体" w:cs="Times New Roman"/>
                <w:color w:val="auto"/>
                <w:sz w:val="28"/>
                <w:szCs w:val="36"/>
                <w:vertAlign w:val="baseline"/>
                <w:lang w:val="en-US" w:eastAsia="zh-CN"/>
              </w:rPr>
            </w:pPr>
          </w:p>
        </w:tc>
      </w:tr>
    </w:tbl>
    <w:p>
      <w:pPr>
        <w:pStyle w:val="18"/>
        <w:rPr>
          <w:rFonts w:hint="default"/>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4" w:hRule="atLeast"/>
        </w:trPr>
        <w:tc>
          <w:tcPr>
            <w:tcW w:w="341"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运营期环境影响和保护措施</w:t>
            </w:r>
          </w:p>
        </w:tc>
        <w:tc>
          <w:tcPr>
            <w:tcW w:w="8181" w:type="dxa"/>
            <w:noWrap w:val="0"/>
            <w:vAlign w:val="top"/>
          </w:tcPr>
          <w:p>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u w:val="none"/>
                <w:vertAlign w:val="baseline"/>
                <w:lang w:val="en-US" w:eastAsia="zh-CN"/>
              </w:rPr>
            </w:pPr>
            <w:r>
              <w:rPr>
                <w:rFonts w:hint="default" w:ascii="Times New Roman" w:hAnsi="Times New Roman" w:cs="Times New Roman"/>
                <w:b/>
                <w:bCs/>
                <w:color w:val="auto"/>
                <w:sz w:val="24"/>
                <w:szCs w:val="24"/>
                <w:u w:val="none"/>
                <w:vertAlign w:val="baseline"/>
                <w:lang w:val="en-US" w:eastAsia="zh-CN"/>
              </w:rPr>
              <w:t>1、源强核算过程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1.1倾动炉熔炼废气</w:t>
            </w:r>
          </w:p>
          <w:p>
            <w:pPr>
              <w:spacing w:line="360" w:lineRule="auto"/>
              <w:ind w:firstLine="480" w:firstLineChars="200"/>
              <w:rPr>
                <w:rFonts w:hint="default" w:ascii="Times New Roman" w:hAnsi="Times New Roman" w:cs="Times New Roman"/>
                <w:b w:val="0"/>
                <w:bCs w:val="0"/>
                <w:color w:val="auto"/>
                <w:sz w:val="24"/>
                <w:szCs w:val="24"/>
                <w:highlight w:val="yellow"/>
                <w:u w:val="none"/>
              </w:rPr>
            </w:pPr>
            <w:r>
              <w:rPr>
                <w:rFonts w:hint="default" w:ascii="Times New Roman" w:hAnsi="Times New Roman" w:cs="Times New Roman"/>
                <w:b w:val="0"/>
                <w:bCs w:val="0"/>
                <w:color w:val="auto"/>
                <w:sz w:val="24"/>
                <w:szCs w:val="24"/>
                <w:u w:val="none"/>
              </w:rPr>
              <w:t>本项目的原材料铝锭为高纯铝，含铝成分高，杂质少，故在熔炼工序产生的粉尘量不大，不会产生二噁英和氟化物，烟尘主要为氧化铝粉尘。评价建议在倾动炉配备1套除尘设备。根据</w:t>
            </w:r>
            <w:r>
              <w:rPr>
                <w:rFonts w:hint="default" w:ascii="Times New Roman" w:hAnsi="Times New Roman" w:cs="Times New Roman"/>
                <w:b w:val="0"/>
                <w:bCs w:val="0"/>
                <w:color w:val="auto"/>
                <w:sz w:val="24"/>
                <w:szCs w:val="24"/>
                <w:u w:val="none"/>
                <w:lang w:eastAsia="zh-CN"/>
              </w:rPr>
              <w:t>厂家</w:t>
            </w:r>
            <w:r>
              <w:rPr>
                <w:rFonts w:hint="default" w:ascii="Times New Roman" w:hAnsi="Times New Roman" w:cs="Times New Roman"/>
                <w:b w:val="0"/>
                <w:bCs w:val="0"/>
                <w:color w:val="auto"/>
                <w:sz w:val="24"/>
                <w:szCs w:val="24"/>
                <w:u w:val="none"/>
              </w:rPr>
              <w:t>提供资料，不属于对铝料进行熔炼等提炼铝的生产活动，而是对铝的压延加工，故粉尘排放系数参考《环境保护实用数据手册》中数据，铝锭熔炼时粉尘产生量约为2kg/t铝</w:t>
            </w:r>
            <w:r>
              <w:rPr>
                <w:rFonts w:hint="default" w:ascii="Times New Roman" w:hAnsi="Times New Roman" w:cs="Times New Roman"/>
                <w:b w:val="0"/>
                <w:bCs w:val="0"/>
                <w:color w:val="auto"/>
                <w:sz w:val="24"/>
                <w:szCs w:val="24"/>
                <w:highlight w:val="none"/>
                <w:u w:val="none"/>
              </w:rPr>
              <w:t>，</w:t>
            </w:r>
            <w:r>
              <w:rPr>
                <w:rFonts w:hint="eastAsia" w:ascii="Times New Roman" w:hAnsi="Times New Roman" w:cs="Times New Roman"/>
                <w:b w:val="0"/>
                <w:bCs w:val="0"/>
                <w:color w:val="auto"/>
                <w:sz w:val="24"/>
                <w:szCs w:val="24"/>
                <w:highlight w:val="none"/>
                <w:u w:val="none"/>
                <w:lang w:val="en-US" w:eastAsia="zh-CN"/>
              </w:rPr>
              <w:t>本次改建</w:t>
            </w:r>
            <w:r>
              <w:rPr>
                <w:rFonts w:hint="default" w:ascii="Times New Roman" w:hAnsi="Times New Roman" w:cs="Times New Roman"/>
                <w:b w:val="0"/>
                <w:bCs w:val="0"/>
                <w:color w:val="auto"/>
                <w:sz w:val="24"/>
                <w:szCs w:val="24"/>
                <w:highlight w:val="none"/>
                <w:u w:val="none"/>
              </w:rPr>
              <w:t>项目铝消耗量为</w:t>
            </w:r>
            <w:r>
              <w:rPr>
                <w:rFonts w:hint="eastAsia" w:ascii="Times New Roman" w:hAnsi="Times New Roman" w:cs="Times New Roman"/>
                <w:b w:val="0"/>
                <w:bCs w:val="0"/>
                <w:color w:val="auto"/>
                <w:sz w:val="24"/>
                <w:szCs w:val="24"/>
                <w:highlight w:val="none"/>
                <w:u w:val="none"/>
                <w:lang w:val="en-US" w:eastAsia="zh-CN"/>
              </w:rPr>
              <w:t>10000</w:t>
            </w:r>
            <w:r>
              <w:rPr>
                <w:rFonts w:hint="default" w:ascii="Times New Roman" w:hAnsi="Times New Roman" w:cs="Times New Roman"/>
                <w:b w:val="0"/>
                <w:bCs w:val="0"/>
                <w:color w:val="auto"/>
                <w:sz w:val="24"/>
                <w:szCs w:val="24"/>
                <w:highlight w:val="none"/>
                <w:u w:val="none"/>
              </w:rPr>
              <w:t>t/a，因此本项目产生铝粉尘</w:t>
            </w:r>
            <w:r>
              <w:rPr>
                <w:rFonts w:hint="eastAsia" w:ascii="Times New Roman" w:hAnsi="Times New Roman" w:cs="Times New Roman"/>
                <w:b w:val="0"/>
                <w:bCs w:val="0"/>
                <w:color w:val="auto"/>
                <w:sz w:val="24"/>
                <w:szCs w:val="24"/>
                <w:highlight w:val="none"/>
                <w:u w:val="none"/>
                <w:lang w:val="en-US" w:eastAsia="zh-CN"/>
              </w:rPr>
              <w:t>20</w:t>
            </w:r>
            <w:r>
              <w:rPr>
                <w:rFonts w:hint="default" w:ascii="Times New Roman" w:hAnsi="Times New Roman" w:cs="Times New Roman"/>
                <w:b w:val="0"/>
                <w:bCs w:val="0"/>
                <w:color w:val="auto"/>
                <w:sz w:val="24"/>
                <w:szCs w:val="24"/>
                <w:highlight w:val="none"/>
                <w:u w:val="none"/>
              </w:rPr>
              <w:t>t/a，本项目倾动炉四周密闭，熔炼烟气经密闭管道收集后送</w:t>
            </w:r>
            <w:r>
              <w:rPr>
                <w:rFonts w:hint="default" w:ascii="Times New Roman" w:hAnsi="Times New Roman" w:cs="Times New Roman"/>
                <w:b w:val="0"/>
                <w:bCs w:val="0"/>
                <w:color w:val="auto"/>
                <w:sz w:val="24"/>
                <w:szCs w:val="24"/>
                <w:highlight w:val="none"/>
                <w:u w:val="none"/>
                <w:lang w:eastAsia="zh-CN"/>
              </w:rPr>
              <w:t>袋式</w:t>
            </w:r>
            <w:r>
              <w:rPr>
                <w:rFonts w:hint="default" w:ascii="Times New Roman" w:hAnsi="Times New Roman" w:cs="Times New Roman"/>
                <w:b w:val="0"/>
                <w:bCs w:val="0"/>
                <w:color w:val="auto"/>
                <w:sz w:val="24"/>
                <w:szCs w:val="24"/>
                <w:highlight w:val="none"/>
                <w:u w:val="none"/>
              </w:rPr>
              <w:t>除尘装置处理，除尘装置对粉尘去除效率达</w:t>
            </w:r>
            <w:r>
              <w:rPr>
                <w:rFonts w:hint="default" w:ascii="Times New Roman" w:hAnsi="Times New Roman" w:cs="Times New Roman"/>
                <w:b w:val="0"/>
                <w:bCs w:val="0"/>
                <w:color w:val="auto"/>
                <w:sz w:val="24"/>
                <w:szCs w:val="24"/>
                <w:highlight w:val="none"/>
                <w:u w:val="none"/>
                <w:lang w:val="en-US" w:eastAsia="zh-CN"/>
              </w:rPr>
              <w:t>99</w:t>
            </w:r>
            <w:r>
              <w:rPr>
                <w:rFonts w:hint="default" w:ascii="Times New Roman" w:hAnsi="Times New Roman" w:cs="Times New Roman"/>
                <w:b w:val="0"/>
                <w:bCs w:val="0"/>
                <w:color w:val="auto"/>
                <w:sz w:val="24"/>
                <w:szCs w:val="24"/>
                <w:highlight w:val="none"/>
                <w:u w:val="none"/>
              </w:rPr>
              <w:t>%以上，尾气经1根</w:t>
            </w:r>
            <w:r>
              <w:rPr>
                <w:rFonts w:hint="default" w:ascii="Times New Roman" w:hAnsi="Times New Roman" w:cs="Times New Roman"/>
                <w:b w:val="0"/>
                <w:bCs w:val="0"/>
                <w:color w:val="auto"/>
                <w:sz w:val="24"/>
                <w:szCs w:val="24"/>
                <w:highlight w:val="none"/>
                <w:u w:val="none"/>
                <w:lang w:val="en-US" w:eastAsia="zh-CN"/>
              </w:rPr>
              <w:t>20m</w:t>
            </w:r>
            <w:r>
              <w:rPr>
                <w:rFonts w:hint="default" w:ascii="Times New Roman" w:hAnsi="Times New Roman" w:cs="Times New Roman"/>
                <w:b w:val="0"/>
                <w:bCs w:val="0"/>
                <w:color w:val="auto"/>
                <w:sz w:val="24"/>
                <w:szCs w:val="24"/>
                <w:highlight w:val="none"/>
                <w:u w:val="none"/>
              </w:rPr>
              <w:t>高排气筒排放。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0" w:firstLineChars="192"/>
              <w:textAlignment w:val="auto"/>
              <w:rPr>
                <w:rFonts w:hint="default" w:ascii="Times New Roman" w:hAnsi="Times New Roman" w:cs="Times New Roman"/>
                <w:b w:val="0"/>
                <w:bCs/>
                <w:color w:val="auto"/>
                <w:sz w:val="24"/>
                <w:szCs w:val="24"/>
                <w:u w:val="none"/>
                <w:vertAlign w:val="baseline"/>
                <w:lang w:eastAsia="zh-CN"/>
              </w:rPr>
            </w:pPr>
            <w:r>
              <w:rPr>
                <w:rFonts w:hint="default" w:ascii="Times New Roman" w:hAnsi="Times New Roman" w:cs="Times New Roman"/>
                <w:b w:val="0"/>
                <w:bCs w:val="0"/>
                <w:color w:val="auto"/>
                <w:sz w:val="24"/>
                <w:szCs w:val="24"/>
                <w:u w:val="none"/>
                <w:lang w:eastAsia="zh-CN"/>
              </w:rPr>
              <w:t>本项目</w:t>
            </w:r>
            <w:r>
              <w:rPr>
                <w:rFonts w:hint="default" w:ascii="Times New Roman" w:hAnsi="Times New Roman" w:cs="Times New Roman"/>
                <w:b w:val="0"/>
                <w:bCs w:val="0"/>
                <w:color w:val="auto"/>
                <w:sz w:val="24"/>
                <w:szCs w:val="24"/>
                <w:u w:val="none"/>
              </w:rPr>
              <w:t>倾动炉采用天然气</w:t>
            </w:r>
            <w:r>
              <w:rPr>
                <w:rFonts w:hint="default" w:ascii="Times New Roman" w:hAnsi="Times New Roman" w:cs="Times New Roman"/>
                <w:b w:val="0"/>
                <w:bCs w:val="0"/>
                <w:color w:val="auto"/>
                <w:sz w:val="24"/>
                <w:szCs w:val="24"/>
                <w:u w:val="none"/>
                <w:lang w:eastAsia="zh-CN"/>
              </w:rPr>
              <w:t>采用低氮燃烧器</w:t>
            </w:r>
            <w:r>
              <w:rPr>
                <w:rFonts w:hint="default" w:ascii="Times New Roman" w:hAnsi="Times New Roman" w:cs="Times New Roman"/>
                <w:b w:val="0"/>
                <w:bCs w:val="0"/>
                <w:color w:val="auto"/>
                <w:sz w:val="24"/>
                <w:szCs w:val="24"/>
                <w:u w:val="none"/>
              </w:rPr>
              <w:t>燃烧加热，燃烧烟气随熔炼烟尘一起进入袋式除尘器处理，尾气经1根</w:t>
            </w:r>
            <w:r>
              <w:rPr>
                <w:rFonts w:hint="default" w:ascii="Times New Roman" w:hAnsi="Times New Roman" w:cs="Times New Roman"/>
                <w:b w:val="0"/>
                <w:bCs w:val="0"/>
                <w:color w:val="auto"/>
                <w:sz w:val="24"/>
                <w:szCs w:val="24"/>
                <w:u w:val="none"/>
                <w:lang w:val="en-US" w:eastAsia="zh-CN"/>
              </w:rPr>
              <w:t>20m</w:t>
            </w:r>
            <w:r>
              <w:rPr>
                <w:rFonts w:hint="default" w:ascii="Times New Roman" w:hAnsi="Times New Roman" w:cs="Times New Roman"/>
                <w:b w:val="0"/>
                <w:bCs w:val="0"/>
                <w:color w:val="auto"/>
                <w:sz w:val="24"/>
                <w:szCs w:val="24"/>
                <w:u w:val="none"/>
              </w:rPr>
              <w:t>高排气筒排放。</w:t>
            </w:r>
            <w:r>
              <w:rPr>
                <w:rFonts w:hint="eastAsia" w:ascii="Times New Roman" w:hAnsi="Times New Roman" w:cs="Times New Roman"/>
                <w:b w:val="0"/>
                <w:bCs w:val="0"/>
                <w:color w:val="auto"/>
                <w:sz w:val="24"/>
                <w:szCs w:val="24"/>
                <w:u w:val="none"/>
                <w:lang w:val="en-US" w:eastAsia="zh-CN"/>
              </w:rPr>
              <w:t>本次改建</w:t>
            </w:r>
            <w:r>
              <w:rPr>
                <w:rFonts w:hint="default" w:ascii="Times New Roman" w:hAnsi="Times New Roman" w:cs="Times New Roman"/>
                <w:b w:val="0"/>
                <w:bCs w:val="0"/>
                <w:color w:val="auto"/>
                <w:sz w:val="24"/>
                <w:szCs w:val="24"/>
                <w:u w:val="none"/>
              </w:rPr>
              <w:t>项目倾动炉天然气</w:t>
            </w:r>
            <w:r>
              <w:rPr>
                <w:rFonts w:hint="eastAsia" w:ascii="Times New Roman" w:hAnsi="Times New Roman" w:cs="Times New Roman"/>
                <w:b w:val="0"/>
                <w:bCs w:val="0"/>
                <w:color w:val="auto"/>
                <w:sz w:val="24"/>
                <w:szCs w:val="24"/>
                <w:u w:val="none"/>
                <w:lang w:val="en-US" w:eastAsia="zh-CN"/>
              </w:rPr>
              <w:t>新增</w:t>
            </w:r>
            <w:r>
              <w:rPr>
                <w:rFonts w:hint="default" w:ascii="Times New Roman" w:hAnsi="Times New Roman" w:cs="Times New Roman"/>
                <w:b w:val="0"/>
                <w:bCs w:val="0"/>
                <w:color w:val="auto"/>
                <w:sz w:val="24"/>
                <w:szCs w:val="24"/>
                <w:u w:val="none"/>
              </w:rPr>
              <w:t>用量为</w:t>
            </w:r>
            <w:r>
              <w:rPr>
                <w:rFonts w:hint="eastAsia" w:ascii="Times New Roman" w:hAnsi="Times New Roman" w:cs="Times New Roman"/>
                <w:b w:val="0"/>
                <w:bCs w:val="0"/>
                <w:color w:val="auto"/>
                <w:sz w:val="24"/>
                <w:szCs w:val="24"/>
                <w:u w:val="none"/>
                <w:lang w:val="en-US" w:eastAsia="zh-CN"/>
              </w:rPr>
              <w:t>50</w:t>
            </w:r>
            <w:r>
              <w:rPr>
                <w:rFonts w:hint="default" w:ascii="Times New Roman" w:hAnsi="Times New Roman" w:cs="Times New Roman"/>
                <w:b w:val="0"/>
                <w:bCs w:val="0"/>
                <w:color w:val="auto"/>
                <w:sz w:val="24"/>
                <w:szCs w:val="24"/>
                <w:u w:val="none"/>
              </w:rPr>
              <w:t>万m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/年，</w:t>
            </w:r>
            <w:r>
              <w:rPr>
                <w:rFonts w:hint="default" w:ascii="Times New Roman" w:hAnsi="Times New Roman" w:cs="Times New Roman"/>
                <w:b w:val="0"/>
                <w:bCs/>
                <w:color w:val="auto"/>
                <w:sz w:val="24"/>
                <w:szCs w:val="24"/>
                <w:highlight w:val="none"/>
                <w:u w:val="none"/>
                <w:lang w:val="en-US" w:eastAsia="zh-CN"/>
              </w:rPr>
              <w:t>参照《排放源统计调查产排污核算方法和系数手册》中“工业锅炉（热力供应）行业系数手册”中相关数据，</w:t>
            </w:r>
            <w:r>
              <w:rPr>
                <w:rFonts w:hint="default" w:ascii="Times New Roman" w:hAnsi="Times New Roman" w:cs="Times New Roman"/>
                <w:b w:val="0"/>
                <w:bCs/>
                <w:color w:val="auto"/>
                <w:sz w:val="24"/>
                <w:szCs w:val="24"/>
                <w:highlight w:val="none"/>
                <w:u w:val="none"/>
                <w:lang w:eastAsia="zh-CN"/>
              </w:rPr>
              <w:t>天然气</w:t>
            </w:r>
            <w:r>
              <w:rPr>
                <w:rFonts w:hint="default" w:ascii="Times New Roman" w:hAnsi="Times New Roman" w:cs="Times New Roman"/>
                <w:b w:val="0"/>
                <w:bCs/>
                <w:color w:val="auto"/>
                <w:sz w:val="24"/>
                <w:szCs w:val="24"/>
                <w:highlight w:val="none"/>
                <w:u w:val="none"/>
                <w:lang w:val="en-US" w:eastAsia="zh-CN"/>
              </w:rPr>
              <w:t>热风炉</w:t>
            </w:r>
            <w:r>
              <w:rPr>
                <w:rFonts w:hint="default" w:ascii="Times New Roman" w:hAnsi="Times New Roman" w:cs="Times New Roman"/>
                <w:b w:val="0"/>
                <w:bCs/>
                <w:color w:val="auto"/>
                <w:sz w:val="24"/>
                <w:szCs w:val="24"/>
                <w:highlight w:val="none"/>
                <w:u w:val="none"/>
              </w:rPr>
              <w:t>排污定额为</w:t>
            </w:r>
            <w:r>
              <w:rPr>
                <w:rFonts w:hint="default" w:ascii="Times New Roman" w:hAnsi="Times New Roman" w:cs="Times New Roman"/>
                <w:b w:val="0"/>
                <w:bCs/>
                <w:color w:val="auto"/>
                <w:sz w:val="24"/>
                <w:szCs w:val="24"/>
                <w:highlight w:val="none"/>
                <w:u w:val="none"/>
                <w:lang w:eastAsia="zh-CN"/>
              </w:rPr>
              <w:t>工业废气量为</w:t>
            </w:r>
            <w:r>
              <w:rPr>
                <w:rFonts w:hint="default" w:ascii="Times New Roman" w:hAnsi="Times New Roman" w:cs="Times New Roman"/>
                <w:b w:val="0"/>
                <w:bCs/>
                <w:color w:val="auto"/>
                <w:sz w:val="24"/>
                <w:szCs w:val="24"/>
                <w:highlight w:val="none"/>
                <w:u w:val="none"/>
                <w:lang w:val="en-US" w:eastAsia="zh-CN"/>
              </w:rPr>
              <w:t>107753标立方米/万立方米原料</w:t>
            </w:r>
            <w:r>
              <w:rPr>
                <w:rFonts w:hint="default" w:ascii="Times New Roman" w:hAnsi="Times New Roman" w:cs="Times New Roman"/>
                <w:b w:val="0"/>
                <w:bCs/>
                <w:color w:val="auto"/>
                <w:sz w:val="24"/>
                <w:szCs w:val="24"/>
                <w:highlight w:val="none"/>
                <w:u w:val="none"/>
              </w:rPr>
              <w:t>，</w:t>
            </w:r>
            <w:r>
              <w:rPr>
                <w:rFonts w:hint="default" w:ascii="Times New Roman" w:hAnsi="Times New Roman" w:cs="Times New Roman"/>
                <w:b w:val="0"/>
                <w:bCs/>
                <w:color w:val="auto"/>
                <w:sz w:val="24"/>
                <w:szCs w:val="24"/>
                <w:highlight w:val="none"/>
                <w:u w:val="none"/>
                <w:lang w:val="en-US" w:eastAsia="zh-CN"/>
              </w:rPr>
              <w:t>二氧化硫为0.02Skg/</w:t>
            </w:r>
            <w:r>
              <w:rPr>
                <w:rFonts w:hint="default" w:ascii="Times New Roman" w:hAnsi="Times New Roman" w:cs="Times New Roman"/>
                <w:b w:val="0"/>
                <w:bCs/>
                <w:color w:val="auto"/>
                <w:sz w:val="24"/>
                <w:szCs w:val="24"/>
                <w:u w:val="none"/>
                <w:lang w:val="en-US" w:eastAsia="zh-CN"/>
              </w:rPr>
              <w:t>万立方米原料，S=</w:t>
            </w:r>
            <w:r>
              <w:rPr>
                <w:rFonts w:hint="eastAsia" w:ascii="Times New Roman" w:hAnsi="Times New Roman" w:cs="Times New Roman"/>
                <w:b w:val="0"/>
                <w:bCs/>
                <w:color w:val="auto"/>
                <w:sz w:val="24"/>
                <w:szCs w:val="24"/>
                <w:u w:val="none"/>
                <w:lang w:val="en-US" w:eastAsia="zh-CN"/>
              </w:rPr>
              <w:t>4</w:t>
            </w:r>
            <w:r>
              <w:rPr>
                <w:rFonts w:hint="default" w:ascii="Times New Roman" w:hAnsi="Times New Roman" w:cs="Times New Roman"/>
                <w:b w:val="0"/>
                <w:bCs/>
                <w:color w:val="auto"/>
                <w:sz w:val="24"/>
                <w:szCs w:val="24"/>
                <w:u w:val="none"/>
                <w:lang w:val="en-US" w:eastAsia="zh-CN"/>
              </w:rPr>
              <w:t>0，氮氧化物为6.97kg/万立方米原料（低氮燃烧-国内先进）</w:t>
            </w:r>
            <w:r>
              <w:rPr>
                <w:rFonts w:hint="default" w:ascii="Times New Roman" w:hAnsi="Times New Roman" w:cs="Times New Roman"/>
                <w:b w:val="0"/>
                <w:bCs/>
                <w:color w:val="auto"/>
                <w:sz w:val="24"/>
                <w:szCs w:val="24"/>
                <w:u w:val="none"/>
              </w:rPr>
              <w:t>，</w:t>
            </w:r>
            <w:r>
              <w:rPr>
                <w:rFonts w:hint="default" w:ascii="Times New Roman" w:hAnsi="Times New Roman" w:cs="Times New Roman"/>
                <w:bCs/>
                <w:color w:val="auto"/>
                <w:spacing w:val="-3"/>
                <w:sz w:val="24"/>
                <w:szCs w:val="24"/>
                <w:highlight w:val="none"/>
              </w:rPr>
              <w:t>烟尘产生量为2.4kg/万m</w:t>
            </w:r>
            <w:r>
              <w:rPr>
                <w:rFonts w:hint="default" w:ascii="Times New Roman" w:hAnsi="Times New Roman" w:cs="Times New Roman"/>
                <w:bCs/>
                <w:color w:val="auto"/>
                <w:spacing w:val="-3"/>
                <w:sz w:val="24"/>
                <w:szCs w:val="24"/>
                <w:highlight w:val="none"/>
                <w:vertAlign w:val="superscript"/>
              </w:rPr>
              <w:t>3</w:t>
            </w:r>
            <w:r>
              <w:rPr>
                <w:rFonts w:hint="default" w:ascii="Times New Roman" w:hAnsi="Times New Roman" w:cs="Times New Roman"/>
                <w:bCs/>
                <w:color w:val="auto"/>
                <w:spacing w:val="-3"/>
                <w:sz w:val="24"/>
                <w:szCs w:val="24"/>
                <w:highlight w:val="none"/>
              </w:rPr>
              <w:t>天然气</w:t>
            </w:r>
            <w:r>
              <w:rPr>
                <w:rFonts w:hint="default" w:ascii="Times New Roman" w:hAnsi="Times New Roman" w:cs="Times New Roman"/>
                <w:bCs/>
                <w:color w:val="auto"/>
                <w:spacing w:val="-3"/>
                <w:sz w:val="24"/>
                <w:szCs w:val="24"/>
                <w:highlight w:val="none"/>
                <w:lang w:eastAsia="zh-CN"/>
              </w:rPr>
              <w:t>，</w:t>
            </w:r>
            <w:r>
              <w:rPr>
                <w:rFonts w:hint="default" w:ascii="Times New Roman" w:hAnsi="Times New Roman" w:cs="Times New Roman"/>
                <w:b w:val="0"/>
                <w:bCs/>
                <w:color w:val="auto"/>
                <w:sz w:val="24"/>
                <w:szCs w:val="24"/>
                <w:u w:val="none"/>
              </w:rPr>
              <w:t>则本项目</w:t>
            </w:r>
            <w:r>
              <w:rPr>
                <w:rFonts w:hint="default" w:ascii="Times New Roman" w:hAnsi="Times New Roman" w:cs="Times New Roman"/>
                <w:b w:val="0"/>
                <w:bCs/>
                <w:color w:val="auto"/>
                <w:sz w:val="24"/>
                <w:szCs w:val="24"/>
                <w:u w:val="none"/>
                <w:lang w:eastAsia="zh-CN"/>
              </w:rPr>
              <w:t>倾动炉</w:t>
            </w:r>
            <w:r>
              <w:rPr>
                <w:rFonts w:hint="default" w:ascii="Times New Roman" w:hAnsi="Times New Roman" w:cs="Times New Roman"/>
                <w:b w:val="0"/>
                <w:bCs/>
                <w:color w:val="auto"/>
                <w:sz w:val="24"/>
                <w:szCs w:val="24"/>
                <w:u w:val="none"/>
              </w:rPr>
              <w:t>产生的</w:t>
            </w:r>
            <w:r>
              <w:rPr>
                <w:rFonts w:hint="default" w:ascii="Times New Roman" w:hAnsi="Times New Roman" w:cs="Times New Roman"/>
                <w:b w:val="0"/>
                <w:bCs/>
                <w:color w:val="auto"/>
                <w:sz w:val="24"/>
                <w:szCs w:val="24"/>
                <w:u w:val="none"/>
                <w:lang w:eastAsia="zh-CN"/>
              </w:rPr>
              <w:t>废</w:t>
            </w:r>
            <w:r>
              <w:rPr>
                <w:rFonts w:hint="default" w:ascii="Times New Roman" w:hAnsi="Times New Roman" w:cs="Times New Roman"/>
                <w:b w:val="0"/>
                <w:bCs/>
                <w:color w:val="auto"/>
                <w:sz w:val="24"/>
                <w:szCs w:val="24"/>
                <w:u w:val="none"/>
              </w:rPr>
              <w:t>气量为</w:t>
            </w:r>
            <w:r>
              <w:rPr>
                <w:rFonts w:hint="eastAsia" w:ascii="Times New Roman" w:hAnsi="Times New Roman" w:cs="Times New Roman"/>
                <w:b w:val="0"/>
                <w:bCs/>
                <w:color w:val="auto"/>
                <w:sz w:val="24"/>
                <w:szCs w:val="24"/>
                <w:u w:val="none"/>
                <w:lang w:val="en-US" w:eastAsia="zh-CN"/>
              </w:rPr>
              <w:t>538.8</w:t>
            </w:r>
            <w:r>
              <w:rPr>
                <w:rFonts w:hint="default" w:ascii="Times New Roman" w:hAnsi="Times New Roman" w:cs="Times New Roman"/>
                <w:b w:val="0"/>
                <w:bCs/>
                <w:color w:val="auto"/>
                <w:sz w:val="24"/>
                <w:szCs w:val="24"/>
                <w:u w:val="none"/>
              </w:rPr>
              <w:t>万m</w:t>
            </w:r>
            <w:r>
              <w:rPr>
                <w:rFonts w:hint="default" w:ascii="Times New Roman" w:hAnsi="Times New Roman" w:cs="Times New Roman"/>
                <w:b w:val="0"/>
                <w:bCs/>
                <w:color w:val="auto"/>
                <w:sz w:val="24"/>
                <w:szCs w:val="24"/>
                <w:u w:val="none"/>
                <w:vertAlign w:val="superscript"/>
              </w:rPr>
              <w:t>3</w:t>
            </w:r>
            <w:r>
              <w:rPr>
                <w:rFonts w:hint="default" w:ascii="Times New Roman" w:hAnsi="Times New Roman" w:cs="Times New Roman"/>
                <w:b w:val="0"/>
                <w:bCs/>
                <w:color w:val="auto"/>
                <w:sz w:val="24"/>
                <w:szCs w:val="24"/>
                <w:u w:val="none"/>
              </w:rPr>
              <w:t>/a，产生的</w:t>
            </w:r>
            <w:r>
              <w:rPr>
                <w:rFonts w:hint="default" w:ascii="Times New Roman" w:hAnsi="Times New Roman" w:cs="Times New Roman"/>
                <w:b w:val="0"/>
                <w:bCs/>
                <w:color w:val="auto"/>
                <w:sz w:val="24"/>
                <w:szCs w:val="24"/>
                <w:u w:val="none"/>
                <w:lang w:eastAsia="zh-CN"/>
              </w:rPr>
              <w:t>颗粒物、</w:t>
            </w:r>
            <w:r>
              <w:rPr>
                <w:rFonts w:hint="default" w:ascii="Times New Roman" w:hAnsi="Times New Roman" w:cs="Times New Roman"/>
                <w:b w:val="0"/>
                <w:bCs/>
                <w:color w:val="auto"/>
                <w:sz w:val="24"/>
                <w:szCs w:val="24"/>
                <w:u w:val="none"/>
              </w:rPr>
              <w:t>SO</w:t>
            </w:r>
            <w:r>
              <w:rPr>
                <w:rFonts w:hint="default" w:ascii="Times New Roman" w:hAnsi="Times New Roman" w:cs="Times New Roman"/>
                <w:b w:val="0"/>
                <w:bCs/>
                <w:color w:val="auto"/>
                <w:sz w:val="24"/>
                <w:szCs w:val="24"/>
                <w:u w:val="none"/>
                <w:vertAlign w:val="subscript"/>
              </w:rPr>
              <w:t>2</w:t>
            </w:r>
            <w:r>
              <w:rPr>
                <w:rFonts w:hint="default" w:ascii="Times New Roman" w:hAnsi="Times New Roman" w:cs="Times New Roman"/>
                <w:b w:val="0"/>
                <w:bCs/>
                <w:color w:val="auto"/>
                <w:sz w:val="24"/>
                <w:szCs w:val="24"/>
                <w:u w:val="none"/>
              </w:rPr>
              <w:t>和氮氧化物量分别为</w:t>
            </w:r>
            <w:r>
              <w:rPr>
                <w:rFonts w:hint="eastAsia" w:ascii="Times New Roman" w:hAnsi="Times New Roman" w:cs="Times New Roman"/>
                <w:b w:val="0"/>
                <w:bCs/>
                <w:color w:val="auto"/>
                <w:sz w:val="24"/>
                <w:szCs w:val="24"/>
                <w:u w:val="none"/>
                <w:lang w:val="en-US" w:eastAsia="zh-CN"/>
              </w:rPr>
              <w:t>0.12</w:t>
            </w:r>
            <w:r>
              <w:rPr>
                <w:rFonts w:hint="default" w:ascii="Times New Roman" w:hAnsi="Times New Roman" w:cs="Times New Roman"/>
                <w:b w:val="0"/>
                <w:bCs/>
                <w:color w:val="auto"/>
                <w:sz w:val="24"/>
                <w:szCs w:val="24"/>
                <w:u w:val="none"/>
                <w:lang w:val="en-US" w:eastAsia="zh-CN"/>
              </w:rPr>
              <w:t>t/a、</w:t>
            </w:r>
            <w:r>
              <w:rPr>
                <w:rFonts w:hint="eastAsia" w:ascii="Times New Roman" w:hAnsi="Times New Roman" w:cs="Times New Roman"/>
                <w:b w:val="0"/>
                <w:bCs/>
                <w:color w:val="auto"/>
                <w:sz w:val="24"/>
                <w:szCs w:val="24"/>
                <w:u w:val="none"/>
                <w:lang w:val="en-US" w:eastAsia="zh-CN"/>
              </w:rPr>
              <w:t>0.04</w:t>
            </w:r>
            <w:r>
              <w:rPr>
                <w:rFonts w:hint="default" w:ascii="Times New Roman" w:hAnsi="Times New Roman" w:cs="Times New Roman"/>
                <w:b w:val="0"/>
                <w:bCs/>
                <w:color w:val="auto"/>
                <w:sz w:val="24"/>
                <w:szCs w:val="24"/>
                <w:u w:val="none"/>
              </w:rPr>
              <w:t>t/a、</w:t>
            </w:r>
            <w:r>
              <w:rPr>
                <w:rFonts w:hint="eastAsia" w:ascii="Times New Roman" w:hAnsi="Times New Roman" w:cs="Times New Roman"/>
                <w:b w:val="0"/>
                <w:bCs/>
                <w:color w:val="auto"/>
                <w:sz w:val="24"/>
                <w:szCs w:val="24"/>
                <w:u w:val="none"/>
                <w:lang w:val="en-US" w:eastAsia="zh-CN"/>
              </w:rPr>
              <w:t>0.349</w:t>
            </w:r>
            <w:r>
              <w:rPr>
                <w:rFonts w:hint="default" w:ascii="Times New Roman" w:hAnsi="Times New Roman" w:cs="Times New Roman"/>
                <w:b w:val="0"/>
                <w:bCs/>
                <w:color w:val="auto"/>
                <w:sz w:val="24"/>
                <w:szCs w:val="24"/>
                <w:u w:val="none"/>
              </w:rPr>
              <w:t>t/a</w:t>
            </w:r>
            <w:r>
              <w:rPr>
                <w:rFonts w:hint="default" w:ascii="Times New Roman" w:hAnsi="Times New Roman" w:cs="Times New Roman"/>
                <w:b w:val="0"/>
                <w:bCs/>
                <w:color w:val="auto"/>
                <w:sz w:val="24"/>
                <w:szCs w:val="24"/>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0" w:firstLineChars="192"/>
              <w:textAlignment w:val="auto"/>
              <w:rPr>
                <w:rFonts w:hint="default" w:ascii="Times New Roman" w:hAnsi="Times New Roman" w:eastAsia="宋体" w:cs="Times New Roman"/>
                <w:b w:val="0"/>
                <w:bCs/>
                <w:color w:val="auto"/>
                <w:sz w:val="24"/>
                <w:szCs w:val="24"/>
                <w:highlight w:val="none"/>
                <w:u w:val="none"/>
                <w:vertAlign w:val="baseline"/>
                <w:lang w:val="en-US" w:eastAsia="zh-CN"/>
              </w:rPr>
            </w:pPr>
            <w:r>
              <w:rPr>
                <w:rFonts w:hint="eastAsia" w:ascii="Times New Roman" w:hAnsi="Times New Roman" w:cs="Times New Roman"/>
                <w:b w:val="0"/>
                <w:bCs/>
                <w:color w:val="auto"/>
                <w:sz w:val="24"/>
                <w:szCs w:val="24"/>
                <w:u w:val="none"/>
                <w:vertAlign w:val="baseline"/>
                <w:lang w:eastAsia="zh-CN"/>
              </w:rPr>
              <w:t>本项目外购率为精铝锭，根据原辅材料理化性质，该铝锭</w:t>
            </w:r>
            <w:r>
              <w:rPr>
                <w:rFonts w:hint="eastAsia" w:ascii="Times New Roman" w:hAnsi="Times New Roman" w:cs="Times New Roman"/>
                <w:b w:val="0"/>
                <w:bCs/>
                <w:color w:val="auto"/>
                <w:sz w:val="24"/>
                <w:szCs w:val="24"/>
                <w:u w:val="none"/>
                <w:lang w:eastAsia="zh-CN"/>
              </w:rPr>
              <w:t>成分铝不小于</w:t>
            </w:r>
            <w:r>
              <w:rPr>
                <w:rFonts w:hint="eastAsia" w:ascii="Times New Roman" w:hAnsi="Times New Roman" w:cs="Times New Roman"/>
                <w:b w:val="0"/>
                <w:bCs/>
                <w:color w:val="auto"/>
                <w:sz w:val="24"/>
                <w:szCs w:val="24"/>
                <w:u w:val="none"/>
                <w:lang w:val="en-US" w:eastAsia="zh-CN"/>
              </w:rPr>
              <w:t>99.996%，</w:t>
            </w:r>
            <w:r>
              <w:rPr>
                <w:rFonts w:hint="eastAsia" w:ascii="Times New Roman" w:hAnsi="Times New Roman" w:cs="Times New Roman"/>
                <w:b w:val="0"/>
                <w:bCs/>
                <w:color w:val="auto"/>
                <w:sz w:val="24"/>
                <w:szCs w:val="24"/>
                <w:u w:val="none"/>
                <w:vertAlign w:val="baseline"/>
                <w:lang w:eastAsia="zh-CN"/>
              </w:rPr>
              <w:t>同时类比现有</w:t>
            </w:r>
            <w:r>
              <w:rPr>
                <w:rFonts w:hint="eastAsia" w:ascii="Times New Roman" w:hAnsi="Times New Roman" w:cs="Times New Roman"/>
                <w:b w:val="0"/>
                <w:bCs/>
                <w:color w:val="auto"/>
                <w:sz w:val="24"/>
                <w:szCs w:val="24"/>
                <w:u w:val="none"/>
                <w:vertAlign w:val="baseline"/>
                <w:lang w:val="en-US" w:eastAsia="zh-CN"/>
              </w:rPr>
              <w:t>验收</w:t>
            </w:r>
            <w:r>
              <w:rPr>
                <w:rFonts w:hint="eastAsia" w:ascii="Times New Roman" w:hAnsi="Times New Roman" w:cs="Times New Roman"/>
                <w:b w:val="0"/>
                <w:bCs/>
                <w:color w:val="auto"/>
                <w:sz w:val="24"/>
                <w:szCs w:val="24"/>
                <w:u w:val="none"/>
                <w:vertAlign w:val="baseline"/>
                <w:lang w:eastAsia="zh-CN"/>
              </w:rPr>
              <w:t>数据，熔炼炉烟气中可能含有少量的铅及其化合物，</w:t>
            </w:r>
            <w:r>
              <w:rPr>
                <w:rFonts w:hint="default" w:ascii="Times New Roman" w:hAnsi="Times New Roman" w:cs="Times New Roman"/>
                <w:b w:val="0"/>
                <w:bCs/>
                <w:color w:val="auto"/>
                <w:sz w:val="24"/>
                <w:szCs w:val="24"/>
                <w:u w:val="none"/>
                <w:vertAlign w:val="baseline"/>
                <w:lang w:eastAsia="zh-CN"/>
              </w:rPr>
              <w:t>现有工程与本次</w:t>
            </w:r>
            <w:r>
              <w:rPr>
                <w:rFonts w:hint="eastAsia" w:ascii="Times New Roman" w:hAnsi="Times New Roman" w:cs="Times New Roman"/>
                <w:b w:val="0"/>
                <w:bCs/>
                <w:color w:val="auto"/>
                <w:sz w:val="24"/>
                <w:szCs w:val="24"/>
                <w:u w:val="none"/>
                <w:vertAlign w:val="baseline"/>
                <w:lang w:eastAsia="zh-CN"/>
              </w:rPr>
              <w:t>改建</w:t>
            </w:r>
            <w:r>
              <w:rPr>
                <w:rFonts w:hint="default" w:ascii="Times New Roman" w:hAnsi="Times New Roman" w:cs="Times New Roman"/>
                <w:b w:val="0"/>
                <w:bCs/>
                <w:color w:val="auto"/>
                <w:sz w:val="24"/>
                <w:szCs w:val="24"/>
                <w:u w:val="none"/>
                <w:vertAlign w:val="baseline"/>
                <w:lang w:eastAsia="zh-CN"/>
              </w:rPr>
              <w:t>项目生产工艺流程一致，生产设备一致、产能一致，因此可类比现有工程</w:t>
            </w:r>
            <w:r>
              <w:rPr>
                <w:rFonts w:hint="eastAsia" w:ascii="Times New Roman" w:hAnsi="Times New Roman" w:cs="Times New Roman"/>
                <w:b w:val="0"/>
                <w:bCs/>
                <w:color w:val="auto"/>
                <w:sz w:val="24"/>
                <w:szCs w:val="24"/>
                <w:u w:val="none"/>
                <w:vertAlign w:val="baseline"/>
                <w:lang w:val="en-US" w:eastAsia="zh-CN"/>
              </w:rPr>
              <w:t>验收</w:t>
            </w:r>
            <w:r>
              <w:rPr>
                <w:rFonts w:hint="default" w:ascii="Times New Roman" w:hAnsi="Times New Roman" w:cs="Times New Roman"/>
                <w:b w:val="0"/>
                <w:bCs/>
                <w:color w:val="auto"/>
                <w:sz w:val="24"/>
                <w:szCs w:val="24"/>
                <w:u w:val="none"/>
                <w:vertAlign w:val="baseline"/>
                <w:lang w:eastAsia="zh-CN"/>
              </w:rPr>
              <w:t>数据</w:t>
            </w:r>
            <w:r>
              <w:rPr>
                <w:rFonts w:hint="eastAsia" w:ascii="Times New Roman" w:hAnsi="Times New Roman" w:cs="Times New Roman"/>
                <w:b w:val="0"/>
                <w:bCs/>
                <w:color w:val="auto"/>
                <w:sz w:val="24"/>
                <w:szCs w:val="24"/>
                <w:u w:val="none"/>
                <w:vertAlign w:val="baseline"/>
                <w:lang w:eastAsia="zh-CN"/>
              </w:rPr>
              <w:t>（现有工程废气排放浓度为</w:t>
            </w:r>
            <w:r>
              <w:rPr>
                <w:rFonts w:hint="eastAsia" w:ascii="Times New Roman" w:hAnsi="Times New Roman" w:cs="Times New Roman"/>
                <w:b w:val="0"/>
                <w:bCs/>
                <w:color w:val="auto"/>
                <w:sz w:val="24"/>
                <w:szCs w:val="24"/>
                <w:highlight w:val="none"/>
                <w:u w:val="none"/>
                <w:vertAlign w:val="baseline"/>
                <w:lang w:val="en-US" w:eastAsia="zh-CN"/>
              </w:rPr>
              <w:t>0.05mg/m</w:t>
            </w:r>
            <w:r>
              <w:rPr>
                <w:rFonts w:hint="eastAsia" w:ascii="Times New Roman" w:hAnsi="Times New Roman" w:cs="Times New Roman"/>
                <w:b w:val="0"/>
                <w:bCs/>
                <w:color w:val="auto"/>
                <w:sz w:val="24"/>
                <w:szCs w:val="24"/>
                <w:highlight w:val="none"/>
                <w:u w:val="none"/>
                <w:vertAlign w:val="superscript"/>
                <w:lang w:val="en-US" w:eastAsia="zh-CN"/>
              </w:rPr>
              <w:t>3</w:t>
            </w:r>
            <w:r>
              <w:rPr>
                <w:rFonts w:hint="eastAsia" w:ascii="Times New Roman" w:hAnsi="Times New Roman" w:cs="Times New Roman"/>
                <w:b w:val="0"/>
                <w:bCs/>
                <w:color w:val="auto"/>
                <w:sz w:val="24"/>
                <w:szCs w:val="24"/>
                <w:highlight w:val="none"/>
                <w:u w:val="none"/>
                <w:vertAlign w:val="baseline"/>
                <w:lang w:val="en-US" w:eastAsia="zh-CN"/>
              </w:rPr>
              <w:t>，排放速率为0.000291kg/h</w:t>
            </w:r>
            <w:r>
              <w:rPr>
                <w:rFonts w:hint="eastAsia" w:ascii="Times New Roman" w:hAnsi="Times New Roman" w:cs="Times New Roman"/>
                <w:b w:val="0"/>
                <w:bCs/>
                <w:color w:val="auto"/>
                <w:sz w:val="24"/>
                <w:szCs w:val="24"/>
                <w:highlight w:val="none"/>
                <w:u w:val="none"/>
                <w:vertAlign w:val="baseline"/>
                <w:lang w:eastAsia="zh-CN"/>
              </w:rPr>
              <w:t>）</w:t>
            </w:r>
            <w:r>
              <w:rPr>
                <w:rFonts w:hint="default" w:ascii="Times New Roman" w:hAnsi="Times New Roman" w:cs="Times New Roman"/>
                <w:b w:val="0"/>
                <w:bCs/>
                <w:color w:val="auto"/>
                <w:sz w:val="24"/>
                <w:szCs w:val="24"/>
                <w:highlight w:val="none"/>
                <w:u w:val="none"/>
                <w:vertAlign w:val="baseline"/>
                <w:lang w:eastAsia="zh-CN"/>
              </w:rPr>
              <w:t>，则</w:t>
            </w:r>
            <w:r>
              <w:rPr>
                <w:rFonts w:hint="eastAsia" w:ascii="Times New Roman" w:hAnsi="Times New Roman" w:cs="Times New Roman"/>
                <w:b w:val="0"/>
                <w:bCs/>
                <w:color w:val="auto"/>
                <w:sz w:val="24"/>
                <w:szCs w:val="24"/>
                <w:highlight w:val="none"/>
                <w:u w:val="none"/>
                <w:vertAlign w:val="baseline"/>
                <w:lang w:eastAsia="zh-CN"/>
              </w:rPr>
              <w:t>本项目</w:t>
            </w:r>
            <w:r>
              <w:rPr>
                <w:rFonts w:hint="default" w:ascii="Times New Roman" w:hAnsi="Times New Roman" w:cs="Times New Roman"/>
                <w:b w:val="0"/>
                <w:bCs/>
                <w:color w:val="auto"/>
                <w:sz w:val="24"/>
                <w:szCs w:val="24"/>
                <w:highlight w:val="none"/>
                <w:u w:val="none"/>
                <w:vertAlign w:val="baseline"/>
                <w:lang w:eastAsia="zh-CN"/>
              </w:rPr>
              <w:t>倾动炉废气中铅及其化合物</w:t>
            </w:r>
            <w:r>
              <w:rPr>
                <w:rFonts w:hint="eastAsia" w:ascii="Times New Roman" w:hAnsi="Times New Roman" w:cs="Times New Roman"/>
                <w:b w:val="0"/>
                <w:bCs/>
                <w:color w:val="auto"/>
                <w:sz w:val="24"/>
                <w:szCs w:val="24"/>
                <w:highlight w:val="none"/>
                <w:u w:val="none"/>
                <w:vertAlign w:val="baseline"/>
                <w:lang w:val="en-US" w:eastAsia="zh-CN"/>
              </w:rPr>
              <w:t>排放</w:t>
            </w:r>
            <w:r>
              <w:rPr>
                <w:rFonts w:hint="default" w:ascii="Times New Roman" w:hAnsi="Times New Roman" w:cs="Times New Roman"/>
                <w:b w:val="0"/>
                <w:bCs/>
                <w:color w:val="auto"/>
                <w:sz w:val="24"/>
                <w:szCs w:val="24"/>
                <w:highlight w:val="none"/>
                <w:u w:val="none"/>
                <w:vertAlign w:val="baseline"/>
                <w:lang w:eastAsia="zh-CN"/>
              </w:rPr>
              <w:t>量为</w:t>
            </w:r>
            <w:r>
              <w:rPr>
                <w:rFonts w:hint="eastAsia" w:ascii="Times New Roman" w:hAnsi="Times New Roman" w:cs="Times New Roman"/>
                <w:b w:val="0"/>
                <w:bCs/>
                <w:color w:val="auto"/>
                <w:sz w:val="24"/>
                <w:szCs w:val="24"/>
                <w:highlight w:val="none"/>
                <w:u w:val="none"/>
                <w:vertAlign w:val="baseline"/>
                <w:lang w:val="en-US" w:eastAsia="zh-CN"/>
              </w:rPr>
              <w:t>0.7kg</w:t>
            </w:r>
            <w:r>
              <w:rPr>
                <w:rFonts w:hint="default" w:ascii="Times New Roman" w:hAnsi="Times New Roman" w:cs="Times New Roman"/>
                <w:b w:val="0"/>
                <w:bCs/>
                <w:color w:val="auto"/>
                <w:sz w:val="24"/>
                <w:szCs w:val="24"/>
                <w:highlight w:val="none"/>
                <w:u w:val="none"/>
                <w:vertAlign w:val="baseline"/>
                <w:lang w:val="en-US" w:eastAsia="zh-CN"/>
              </w:rPr>
              <w:t>/a。</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highlight w:val="none"/>
                <w:u w:val="none"/>
                <w:lang w:eastAsia="zh-CN"/>
              </w:rPr>
              <w:t>本项目倾动炉产生的废气经</w:t>
            </w:r>
            <w:r>
              <w:rPr>
                <w:rFonts w:hint="default" w:ascii="Times New Roman" w:hAnsi="Times New Roman" w:cs="Times New Roman"/>
                <w:b w:val="0"/>
                <w:bCs w:val="0"/>
                <w:color w:val="auto"/>
                <w:sz w:val="24"/>
                <w:szCs w:val="24"/>
                <w:highlight w:val="none"/>
                <w:u w:val="none"/>
                <w:lang w:val="en-US" w:eastAsia="zh-CN"/>
              </w:rPr>
              <w:t>袋式除尘器处理，风机风量为</w:t>
            </w:r>
            <w:r>
              <w:rPr>
                <w:rFonts w:hint="eastAsia" w:ascii="Times New Roman" w:hAnsi="Times New Roman" w:cs="Times New Roman"/>
                <w:b w:val="0"/>
                <w:bCs w:val="0"/>
                <w:color w:val="auto"/>
                <w:sz w:val="24"/>
                <w:szCs w:val="24"/>
                <w:highlight w:val="none"/>
                <w:u w:val="none"/>
                <w:lang w:val="en-US" w:eastAsia="zh-CN"/>
              </w:rPr>
              <w:t>1</w:t>
            </w:r>
            <w:r>
              <w:rPr>
                <w:rFonts w:hint="default" w:ascii="Times New Roman" w:hAnsi="Times New Roman" w:cs="Times New Roman"/>
                <w:b w:val="0"/>
                <w:bCs w:val="0"/>
                <w:color w:val="auto"/>
                <w:sz w:val="24"/>
                <w:szCs w:val="24"/>
                <w:highlight w:val="none"/>
                <w:u w:val="none"/>
                <w:lang w:val="en-US" w:eastAsia="zh-CN"/>
              </w:rPr>
              <w:t>0000m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val="en-US" w:eastAsia="zh-CN"/>
              </w:rPr>
              <w:t>/h，袋式除尘器去除效率为99%，经</w:t>
            </w:r>
            <w:r>
              <w:rPr>
                <w:rFonts w:hint="default" w:ascii="Times New Roman" w:hAnsi="Times New Roman" w:cs="Times New Roman"/>
                <w:b w:val="0"/>
                <w:bCs w:val="0"/>
                <w:color w:val="auto"/>
                <w:sz w:val="24"/>
                <w:szCs w:val="24"/>
                <w:u w:val="none"/>
                <w:lang w:val="en-US" w:eastAsia="zh-CN"/>
              </w:rPr>
              <w:t>计算，</w:t>
            </w:r>
            <w:r>
              <w:rPr>
                <w:rFonts w:hint="default" w:ascii="Times New Roman" w:hAnsi="Times New Roman" w:cs="Times New Roman"/>
                <w:b w:val="0"/>
                <w:bCs w:val="0"/>
                <w:color w:val="auto"/>
                <w:sz w:val="24"/>
                <w:szCs w:val="24"/>
                <w:u w:val="none"/>
                <w:lang w:eastAsia="zh-CN"/>
              </w:rPr>
              <w:t>颗粒物、</w:t>
            </w:r>
            <w:r>
              <w:rPr>
                <w:rFonts w:hint="default" w:ascii="Times New Roman" w:hAnsi="Times New Roman" w:cs="Times New Roman"/>
                <w:b w:val="0"/>
                <w:bCs w:val="0"/>
                <w:color w:val="auto"/>
                <w:sz w:val="24"/>
                <w:szCs w:val="24"/>
                <w:u w:val="none"/>
              </w:rPr>
              <w:t>SO</w:t>
            </w:r>
            <w:r>
              <w:rPr>
                <w:rFonts w:hint="default" w:ascii="Times New Roman" w:hAnsi="Times New Roman" w:cs="Times New Roman"/>
                <w:b w:val="0"/>
                <w:bCs w:val="0"/>
                <w:color w:val="auto"/>
                <w:sz w:val="24"/>
                <w:szCs w:val="24"/>
                <w:u w:val="none"/>
                <w:vertAlign w:val="subscript"/>
              </w:rPr>
              <w:t>2</w:t>
            </w:r>
            <w:r>
              <w:rPr>
                <w:rFonts w:hint="default" w:ascii="Times New Roman" w:hAnsi="Times New Roman" w:cs="Times New Roman"/>
                <w:b w:val="0"/>
                <w:bCs w:val="0"/>
                <w:color w:val="auto"/>
                <w:sz w:val="24"/>
                <w:szCs w:val="24"/>
                <w:u w:val="none"/>
                <w:lang w:eastAsia="zh-CN"/>
              </w:rPr>
              <w:t>和</w:t>
            </w:r>
            <w:r>
              <w:rPr>
                <w:rFonts w:hint="default" w:ascii="Times New Roman" w:hAnsi="Times New Roman" w:cs="Times New Roman"/>
                <w:b w:val="0"/>
                <w:bCs w:val="0"/>
                <w:color w:val="auto"/>
                <w:sz w:val="24"/>
                <w:szCs w:val="24"/>
                <w:u w:val="none"/>
              </w:rPr>
              <w:t>NOx</w:t>
            </w:r>
            <w:r>
              <w:rPr>
                <w:rFonts w:hint="default" w:ascii="Times New Roman" w:hAnsi="Times New Roman" w:cs="Times New Roman"/>
                <w:b w:val="0"/>
                <w:bCs w:val="0"/>
                <w:color w:val="auto"/>
                <w:sz w:val="24"/>
                <w:szCs w:val="24"/>
                <w:u w:val="none"/>
                <w:lang w:eastAsia="zh-CN"/>
              </w:rPr>
              <w:t>、铅及其化合物排放</w:t>
            </w:r>
            <w:r>
              <w:rPr>
                <w:rFonts w:hint="default" w:ascii="Times New Roman" w:hAnsi="Times New Roman" w:cs="Times New Roman"/>
                <w:b w:val="0"/>
                <w:bCs w:val="0"/>
                <w:color w:val="auto"/>
                <w:sz w:val="24"/>
                <w:szCs w:val="24"/>
                <w:u w:val="none"/>
              </w:rPr>
              <w:t>量分别为</w:t>
            </w:r>
            <w:r>
              <w:rPr>
                <w:rFonts w:hint="default" w:ascii="Times New Roman" w:hAnsi="Times New Roman" w:cs="Times New Roman"/>
                <w:b w:val="0"/>
                <w:bCs w:val="0"/>
                <w:color w:val="auto"/>
                <w:sz w:val="24"/>
                <w:szCs w:val="24"/>
                <w:highlight w:val="none"/>
                <w:u w:val="none"/>
                <w:lang w:val="en-US" w:eastAsia="zh-CN"/>
              </w:rPr>
              <w:t>0.</w:t>
            </w:r>
            <w:r>
              <w:rPr>
                <w:rFonts w:hint="eastAsia" w:ascii="Times New Roman" w:hAnsi="Times New Roman" w:cs="Times New Roman"/>
                <w:b w:val="0"/>
                <w:bCs w:val="0"/>
                <w:color w:val="auto"/>
                <w:sz w:val="24"/>
                <w:szCs w:val="24"/>
                <w:highlight w:val="none"/>
                <w:u w:val="none"/>
                <w:lang w:val="en-US" w:eastAsia="zh-CN"/>
              </w:rPr>
              <w:t>2012</w:t>
            </w:r>
            <w:r>
              <w:rPr>
                <w:rFonts w:hint="default" w:ascii="Times New Roman" w:hAnsi="Times New Roman" w:cs="Times New Roman"/>
                <w:b w:val="0"/>
                <w:bCs w:val="0"/>
                <w:color w:val="auto"/>
                <w:sz w:val="24"/>
                <w:szCs w:val="24"/>
                <w:highlight w:val="none"/>
                <w:u w:val="none"/>
              </w:rPr>
              <w:t>t/a</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0.0</w:t>
            </w:r>
            <w:r>
              <w:rPr>
                <w:rFonts w:hint="eastAsia" w:ascii="Times New Roman" w:hAnsi="Times New Roman" w:cs="Times New Roman"/>
                <w:b w:val="0"/>
                <w:bCs w:val="0"/>
                <w:color w:val="auto"/>
                <w:sz w:val="24"/>
                <w:szCs w:val="24"/>
                <w:highlight w:val="none"/>
                <w:u w:val="none"/>
                <w:lang w:val="en-US" w:eastAsia="zh-CN"/>
              </w:rPr>
              <w:t>28</w:t>
            </w:r>
            <w:r>
              <w:rPr>
                <w:rFonts w:hint="default" w:ascii="Times New Roman" w:hAnsi="Times New Roman" w:cs="Times New Roman"/>
                <w:b w:val="0"/>
                <w:bCs w:val="0"/>
                <w:color w:val="auto"/>
                <w:sz w:val="24"/>
                <w:szCs w:val="24"/>
                <w:highlight w:val="none"/>
                <w:u w:val="none"/>
                <w:lang w:val="en-US" w:eastAsia="zh-CN"/>
              </w:rPr>
              <w:t>kg/h</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rPr>
              <w:t>、</w:t>
            </w:r>
            <w:r>
              <w:rPr>
                <w:rFonts w:hint="eastAsia" w:ascii="Times New Roman" w:hAnsi="Times New Roman" w:cs="Times New Roman"/>
                <w:b w:val="0"/>
                <w:bCs w:val="0"/>
                <w:color w:val="auto"/>
                <w:sz w:val="24"/>
                <w:szCs w:val="24"/>
                <w:u w:val="none"/>
                <w:lang w:val="en-US" w:eastAsia="zh-CN"/>
              </w:rPr>
              <w:t>0.04</w:t>
            </w:r>
            <w:r>
              <w:rPr>
                <w:rFonts w:hint="default" w:ascii="Times New Roman" w:hAnsi="Times New Roman" w:cs="Times New Roman"/>
                <w:b w:val="0"/>
                <w:bCs w:val="0"/>
                <w:color w:val="auto"/>
                <w:sz w:val="24"/>
                <w:szCs w:val="24"/>
                <w:u w:val="none"/>
              </w:rPr>
              <w:t>t/a</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0.</w:t>
            </w:r>
            <w:r>
              <w:rPr>
                <w:rFonts w:hint="eastAsia" w:ascii="Times New Roman" w:hAnsi="Times New Roman" w:cs="Times New Roman"/>
                <w:b w:val="0"/>
                <w:bCs w:val="0"/>
                <w:color w:val="auto"/>
                <w:sz w:val="24"/>
                <w:szCs w:val="24"/>
                <w:u w:val="none"/>
                <w:lang w:val="en-US" w:eastAsia="zh-CN"/>
              </w:rPr>
              <w:t>006</w:t>
            </w:r>
            <w:r>
              <w:rPr>
                <w:rFonts w:hint="default" w:ascii="Times New Roman" w:hAnsi="Times New Roman" w:cs="Times New Roman"/>
                <w:b w:val="0"/>
                <w:bCs w:val="0"/>
                <w:color w:val="auto"/>
                <w:sz w:val="24"/>
                <w:szCs w:val="24"/>
                <w:u w:val="none"/>
                <w:lang w:val="en-US" w:eastAsia="zh-CN"/>
              </w:rPr>
              <w:t>kg/h</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rPr>
              <w:t>和</w:t>
            </w:r>
            <w:r>
              <w:rPr>
                <w:rFonts w:hint="eastAsia" w:ascii="Times New Roman" w:hAnsi="Times New Roman" w:cs="Times New Roman"/>
                <w:b w:val="0"/>
                <w:bCs w:val="0"/>
                <w:color w:val="auto"/>
                <w:sz w:val="24"/>
                <w:szCs w:val="24"/>
                <w:u w:val="none"/>
                <w:lang w:val="en-US" w:eastAsia="zh-CN"/>
              </w:rPr>
              <w:t>0.349</w:t>
            </w:r>
            <w:r>
              <w:rPr>
                <w:rFonts w:hint="default" w:ascii="Times New Roman" w:hAnsi="Times New Roman" w:cs="Times New Roman"/>
                <w:b w:val="0"/>
                <w:bCs w:val="0"/>
                <w:color w:val="auto"/>
                <w:sz w:val="24"/>
                <w:szCs w:val="24"/>
                <w:u w:val="none"/>
              </w:rPr>
              <w:t>t/a</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0.</w:t>
            </w:r>
            <w:r>
              <w:rPr>
                <w:rFonts w:hint="eastAsia" w:ascii="Times New Roman" w:hAnsi="Times New Roman" w:cs="Times New Roman"/>
                <w:b w:val="0"/>
                <w:bCs w:val="0"/>
                <w:color w:val="auto"/>
                <w:sz w:val="24"/>
                <w:szCs w:val="24"/>
                <w:u w:val="none"/>
                <w:lang w:val="en-US" w:eastAsia="zh-CN"/>
              </w:rPr>
              <w:t>048</w:t>
            </w:r>
            <w:r>
              <w:rPr>
                <w:rFonts w:hint="default" w:ascii="Times New Roman" w:hAnsi="Times New Roman" w:cs="Times New Roman"/>
                <w:b w:val="0"/>
                <w:bCs w:val="0"/>
                <w:color w:val="auto"/>
                <w:sz w:val="24"/>
                <w:szCs w:val="24"/>
                <w:u w:val="none"/>
                <w:lang w:val="en-US" w:eastAsia="zh-CN"/>
              </w:rPr>
              <w:t>kg/h</w:t>
            </w:r>
            <w:r>
              <w:rPr>
                <w:rFonts w:hint="default" w:ascii="Times New Roman" w:hAnsi="Times New Roman" w:cs="Times New Roman"/>
                <w:b w:val="0"/>
                <w:bCs w:val="0"/>
                <w:color w:val="auto"/>
                <w:sz w:val="24"/>
                <w:szCs w:val="24"/>
                <w:u w:val="none"/>
                <w:lang w:eastAsia="zh-CN"/>
              </w:rPr>
              <w:t>）、</w:t>
            </w:r>
            <w:r>
              <w:rPr>
                <w:rFonts w:hint="eastAsia" w:ascii="Times New Roman" w:hAnsi="Times New Roman" w:cs="Times New Roman"/>
                <w:b w:val="0"/>
                <w:bCs w:val="0"/>
                <w:color w:val="auto"/>
                <w:sz w:val="24"/>
                <w:szCs w:val="24"/>
                <w:u w:val="none"/>
                <w:lang w:val="en-US" w:eastAsia="zh-CN"/>
              </w:rPr>
              <w:t>0.0007t</w:t>
            </w:r>
            <w:r>
              <w:rPr>
                <w:rFonts w:hint="default" w:ascii="Times New Roman" w:hAnsi="Times New Roman" w:cs="Times New Roman"/>
                <w:b w:val="0"/>
                <w:bCs w:val="0"/>
                <w:color w:val="auto"/>
                <w:sz w:val="24"/>
                <w:szCs w:val="24"/>
                <w:u w:val="none"/>
              </w:rPr>
              <w:t>/a</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0.000</w:t>
            </w:r>
            <w:r>
              <w:rPr>
                <w:rFonts w:hint="eastAsia" w:ascii="Times New Roman" w:hAnsi="Times New Roman" w:cs="Times New Roman"/>
                <w:b w:val="0"/>
                <w:bCs w:val="0"/>
                <w:color w:val="auto"/>
                <w:sz w:val="24"/>
                <w:szCs w:val="24"/>
                <w:u w:val="none"/>
                <w:lang w:val="en-US" w:eastAsia="zh-CN"/>
              </w:rPr>
              <w:t>097k</w:t>
            </w:r>
            <w:r>
              <w:rPr>
                <w:rFonts w:hint="default" w:ascii="Times New Roman" w:hAnsi="Times New Roman" w:cs="Times New Roman"/>
                <w:b w:val="0"/>
                <w:bCs w:val="0"/>
                <w:color w:val="auto"/>
                <w:sz w:val="24"/>
                <w:szCs w:val="24"/>
                <w:u w:val="none"/>
                <w:lang w:val="en-US" w:eastAsia="zh-CN"/>
              </w:rPr>
              <w:t>g/h</w:t>
            </w:r>
            <w:r>
              <w:rPr>
                <w:rFonts w:hint="default" w:ascii="Times New Roman" w:hAnsi="Times New Roman" w:cs="Times New Roman"/>
                <w:b w:val="0"/>
                <w:bCs w:val="0"/>
                <w:color w:val="auto"/>
                <w:sz w:val="24"/>
                <w:szCs w:val="24"/>
                <w:u w:val="none"/>
                <w:lang w:eastAsia="zh-CN"/>
              </w:rPr>
              <w:t>），排放浓度分别为</w:t>
            </w:r>
            <w:r>
              <w:rPr>
                <w:rFonts w:hint="eastAsia" w:ascii="Times New Roman" w:hAnsi="Times New Roman" w:cs="Times New Roman"/>
                <w:b w:val="0"/>
                <w:bCs/>
                <w:color w:val="auto"/>
                <w:sz w:val="24"/>
                <w:szCs w:val="24"/>
                <w:u w:val="none"/>
                <w:lang w:val="en-US" w:eastAsia="zh-CN"/>
              </w:rPr>
              <w:t>2.8</w:t>
            </w:r>
            <w:r>
              <w:rPr>
                <w:rFonts w:hint="default" w:ascii="Times New Roman" w:hAnsi="Times New Roman" w:cs="Times New Roman"/>
                <w:b w:val="0"/>
                <w:bCs/>
                <w:color w:val="auto"/>
                <w:sz w:val="24"/>
                <w:szCs w:val="24"/>
                <w:u w:val="none"/>
              </w:rPr>
              <w:t>mg/m</w:t>
            </w:r>
            <w:r>
              <w:rPr>
                <w:rFonts w:hint="default" w:ascii="Times New Roman" w:hAnsi="Times New Roman" w:cs="Times New Roman"/>
                <w:b w:val="0"/>
                <w:bCs/>
                <w:color w:val="auto"/>
                <w:sz w:val="24"/>
                <w:szCs w:val="24"/>
                <w:u w:val="none"/>
                <w:vertAlign w:val="superscript"/>
              </w:rPr>
              <w:t>3</w:t>
            </w:r>
            <w:r>
              <w:rPr>
                <w:rFonts w:hint="default" w:ascii="Times New Roman" w:hAnsi="Times New Roman" w:cs="Times New Roman"/>
                <w:b w:val="0"/>
                <w:bCs/>
                <w:color w:val="auto"/>
                <w:sz w:val="24"/>
                <w:szCs w:val="24"/>
                <w:u w:val="none"/>
              </w:rPr>
              <w:t>、</w:t>
            </w:r>
            <w:r>
              <w:rPr>
                <w:rFonts w:hint="eastAsia" w:ascii="Times New Roman" w:hAnsi="Times New Roman" w:cs="Times New Roman"/>
                <w:b w:val="0"/>
                <w:bCs/>
                <w:color w:val="auto"/>
                <w:sz w:val="24"/>
                <w:szCs w:val="24"/>
                <w:u w:val="none"/>
                <w:lang w:val="en-US" w:eastAsia="zh-CN"/>
              </w:rPr>
              <w:t>0.6</w:t>
            </w:r>
            <w:r>
              <w:rPr>
                <w:rFonts w:hint="default" w:ascii="Times New Roman" w:hAnsi="Times New Roman" w:cs="Times New Roman"/>
                <w:b w:val="0"/>
                <w:bCs/>
                <w:color w:val="auto"/>
                <w:sz w:val="24"/>
                <w:szCs w:val="24"/>
                <w:u w:val="none"/>
              </w:rPr>
              <w:t>mg/m</w:t>
            </w:r>
            <w:r>
              <w:rPr>
                <w:rFonts w:hint="default" w:ascii="Times New Roman" w:hAnsi="Times New Roman" w:cs="Times New Roman"/>
                <w:b w:val="0"/>
                <w:bCs/>
                <w:color w:val="auto"/>
                <w:sz w:val="24"/>
                <w:szCs w:val="24"/>
                <w:u w:val="none"/>
                <w:vertAlign w:val="superscript"/>
              </w:rPr>
              <w:t>3</w:t>
            </w:r>
            <w:r>
              <w:rPr>
                <w:rFonts w:hint="default" w:ascii="Times New Roman" w:hAnsi="Times New Roman" w:cs="Times New Roman"/>
                <w:b w:val="0"/>
                <w:bCs/>
                <w:color w:val="auto"/>
                <w:sz w:val="24"/>
                <w:szCs w:val="24"/>
                <w:u w:val="none"/>
              </w:rPr>
              <w:t>、</w:t>
            </w:r>
            <w:r>
              <w:rPr>
                <w:rFonts w:hint="eastAsia" w:ascii="Times New Roman" w:hAnsi="Times New Roman" w:cs="Times New Roman"/>
                <w:b w:val="0"/>
                <w:bCs/>
                <w:color w:val="auto"/>
                <w:sz w:val="24"/>
                <w:szCs w:val="24"/>
                <w:u w:val="none"/>
                <w:lang w:val="en-US" w:eastAsia="zh-CN"/>
              </w:rPr>
              <w:t>4.8</w:t>
            </w:r>
            <w:r>
              <w:rPr>
                <w:rFonts w:hint="default" w:ascii="Times New Roman" w:hAnsi="Times New Roman" w:cs="Times New Roman"/>
                <w:b w:val="0"/>
                <w:bCs/>
                <w:color w:val="auto"/>
                <w:sz w:val="24"/>
                <w:szCs w:val="24"/>
                <w:u w:val="none"/>
              </w:rPr>
              <w:t>mg/m</w:t>
            </w:r>
            <w:r>
              <w:rPr>
                <w:rFonts w:hint="default" w:ascii="Times New Roman" w:hAnsi="Times New Roman" w:cs="Times New Roman"/>
                <w:b w:val="0"/>
                <w:bCs/>
                <w:color w:val="auto"/>
                <w:sz w:val="24"/>
                <w:szCs w:val="24"/>
                <w:u w:val="none"/>
                <w:vertAlign w:val="superscript"/>
              </w:rPr>
              <w:t>3</w:t>
            </w:r>
            <w:r>
              <w:rPr>
                <w:rFonts w:hint="default" w:ascii="Times New Roman" w:hAnsi="Times New Roman" w:cs="Times New Roman"/>
                <w:b w:val="0"/>
                <w:bCs/>
                <w:color w:val="auto"/>
                <w:sz w:val="24"/>
                <w:szCs w:val="24"/>
                <w:u w:val="none"/>
              </w:rPr>
              <w:t>、</w:t>
            </w:r>
            <w:r>
              <w:rPr>
                <w:rFonts w:hint="default" w:ascii="Times New Roman" w:hAnsi="Times New Roman" w:cs="Times New Roman"/>
                <w:b w:val="0"/>
                <w:bCs/>
                <w:color w:val="auto"/>
                <w:sz w:val="24"/>
                <w:szCs w:val="24"/>
                <w:u w:val="none"/>
                <w:lang w:val="en-US" w:eastAsia="zh-CN"/>
              </w:rPr>
              <w:t>0.0</w:t>
            </w:r>
            <w:r>
              <w:rPr>
                <w:rFonts w:hint="eastAsia" w:ascii="Times New Roman" w:hAnsi="Times New Roman" w:cs="Times New Roman"/>
                <w:b w:val="0"/>
                <w:bCs/>
                <w:color w:val="auto"/>
                <w:sz w:val="24"/>
                <w:szCs w:val="24"/>
                <w:u w:val="none"/>
                <w:lang w:val="en-US" w:eastAsia="zh-CN"/>
              </w:rPr>
              <w:t>097</w:t>
            </w:r>
            <w:r>
              <w:rPr>
                <w:rFonts w:hint="default" w:ascii="Times New Roman" w:hAnsi="Times New Roman" w:cs="Times New Roman"/>
                <w:b w:val="0"/>
                <w:bCs/>
                <w:color w:val="auto"/>
                <w:sz w:val="24"/>
                <w:szCs w:val="24"/>
                <w:u w:val="none"/>
              </w:rPr>
              <w:t>mg/m</w:t>
            </w:r>
            <w:r>
              <w:rPr>
                <w:rFonts w:hint="default" w:ascii="Times New Roman" w:hAnsi="Times New Roman" w:cs="Times New Roman"/>
                <w:b w:val="0"/>
                <w:bCs/>
                <w:color w:val="auto"/>
                <w:sz w:val="24"/>
                <w:szCs w:val="24"/>
                <w:u w:val="none"/>
                <w:vertAlign w:val="superscript"/>
              </w:rPr>
              <w:t>3</w:t>
            </w:r>
            <w:r>
              <w:rPr>
                <w:rFonts w:hint="default" w:ascii="Times New Roman" w:hAnsi="Times New Roman" w:cs="Times New Roman"/>
                <w:b w:val="0"/>
                <w:bCs/>
                <w:color w:val="auto"/>
                <w:sz w:val="24"/>
                <w:szCs w:val="24"/>
                <w:u w:val="none"/>
                <w:vertAlign w:val="baseline"/>
                <w:lang w:eastAsia="zh-CN"/>
              </w:rPr>
              <w:t>。</w:t>
            </w:r>
          </w:p>
          <w:p>
            <w:pPr>
              <w:spacing w:line="360" w:lineRule="auto"/>
              <w:ind w:firstLine="480" w:firstLineChars="200"/>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1.</w:t>
            </w:r>
            <w:r>
              <w:rPr>
                <w:rFonts w:hint="eastAsia" w:ascii="Times New Roman" w:hAnsi="Times New Roman" w:cs="Times New Roman"/>
                <w:b w:val="0"/>
                <w:bCs w:val="0"/>
                <w:color w:val="auto"/>
                <w:sz w:val="24"/>
                <w:szCs w:val="24"/>
                <w:highlight w:val="none"/>
                <w:u w:val="none"/>
                <w:lang w:val="en-US" w:eastAsia="zh-CN"/>
              </w:rPr>
              <w:t>2箔扎</w:t>
            </w:r>
            <w:r>
              <w:rPr>
                <w:rFonts w:hint="default" w:ascii="Times New Roman" w:hAnsi="Times New Roman" w:eastAsia="宋体" w:cs="Times New Roman"/>
                <w:b w:val="0"/>
                <w:bCs w:val="0"/>
                <w:color w:val="auto"/>
                <w:sz w:val="24"/>
                <w:szCs w:val="24"/>
                <w:highlight w:val="none"/>
                <w:u w:val="none"/>
                <w:lang w:val="en-US" w:eastAsia="zh-CN"/>
              </w:rPr>
              <w:t>过程产生的废气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箔轧机轧制过程中轧制油喷洒在轧制材表面上，在轧制过程中由于加压、高速轧制而散发油雾，主要污染物为非甲烷总烃。</w:t>
            </w:r>
            <w:r>
              <w:rPr>
                <w:rFonts w:hint="default" w:ascii="Times New Roman" w:hAnsi="Times New Roman" w:eastAsia="宋体" w:cs="Times New Roman"/>
                <w:color w:val="auto"/>
                <w:sz w:val="24"/>
                <w:szCs w:val="24"/>
                <w:highlight w:val="none"/>
                <w:lang w:val="en-US" w:eastAsia="zh-CN"/>
              </w:rPr>
              <w:t>经类比</w:t>
            </w:r>
            <w:r>
              <w:rPr>
                <w:rFonts w:hint="eastAsia" w:ascii="Times New Roman" w:hAnsi="Times New Roman" w:cs="Times New Roman"/>
                <w:color w:val="auto"/>
                <w:sz w:val="24"/>
                <w:szCs w:val="24"/>
                <w:highlight w:val="none"/>
                <w:lang w:val="en-US" w:eastAsia="zh-CN"/>
              </w:rPr>
              <w:t>现有工程验收数据，箔扎工序油雾产生系数为0.09kg/t-产品，本次改建</w:t>
            </w:r>
            <w:r>
              <w:rPr>
                <w:rFonts w:hint="default" w:ascii="Times New Roman" w:hAnsi="Times New Roman" w:cs="Times New Roman"/>
                <w:color w:val="auto"/>
                <w:sz w:val="24"/>
                <w:szCs w:val="24"/>
                <w:highlight w:val="none"/>
                <w:lang w:val="en-US" w:eastAsia="zh-CN"/>
              </w:rPr>
              <w:t>箔轧</w:t>
            </w:r>
            <w:r>
              <w:rPr>
                <w:rFonts w:hint="default" w:ascii="Times New Roman" w:hAnsi="Times New Roman" w:eastAsia="宋体" w:cs="Times New Roman"/>
                <w:color w:val="auto"/>
                <w:sz w:val="24"/>
                <w:szCs w:val="24"/>
                <w:highlight w:val="none"/>
                <w:lang w:val="en-US" w:eastAsia="zh-CN"/>
              </w:rPr>
              <w:t>油雾产生量为</w:t>
            </w:r>
            <w:r>
              <w:rPr>
                <w:rFonts w:hint="eastAsia" w:ascii="Times New Roman" w:hAnsi="Times New Roman" w:cs="Times New Roman"/>
                <w:color w:val="auto"/>
                <w:sz w:val="24"/>
                <w:szCs w:val="24"/>
                <w:highlight w:val="none"/>
                <w:lang w:val="en-US" w:eastAsia="zh-CN"/>
              </w:rPr>
              <w:t>0.9</w:t>
            </w:r>
            <w:r>
              <w:rPr>
                <w:rFonts w:hint="default" w:ascii="Times New Roman" w:hAnsi="Times New Roman" w:eastAsia="宋体" w:cs="Times New Roman"/>
                <w:color w:val="auto"/>
                <w:sz w:val="24"/>
                <w:szCs w:val="24"/>
                <w:highlight w:val="none"/>
                <w:lang w:val="en-US" w:eastAsia="zh-CN"/>
              </w:rPr>
              <w:t>t/a，采用集气罩+烟雾净化装置处理</w:t>
            </w:r>
            <w:r>
              <w:rPr>
                <w:rFonts w:hint="eastAsia" w:ascii="Times New Roman" w:hAnsi="Times New Roman" w:cs="Times New Roman"/>
                <w:color w:val="auto"/>
                <w:sz w:val="24"/>
                <w:szCs w:val="24"/>
                <w:highlight w:val="none"/>
                <w:lang w:val="en-US" w:eastAsia="zh-CN"/>
              </w:rPr>
              <w:t>，处理后经20m排气筒排放</w:t>
            </w:r>
            <w:r>
              <w:rPr>
                <w:rFonts w:hint="default" w:ascii="Times New Roman" w:hAnsi="Times New Roman" w:eastAsia="宋体" w:cs="Times New Roman"/>
                <w:color w:val="auto"/>
                <w:sz w:val="24"/>
                <w:szCs w:val="24"/>
                <w:lang w:val="en-US" w:eastAsia="zh-CN"/>
              </w:rPr>
              <w:t>，去除效率</w:t>
            </w:r>
            <w:r>
              <w:rPr>
                <w:rFonts w:hint="eastAsia" w:ascii="Times New Roman" w:hAnsi="Times New Roman" w:cs="Times New Roman"/>
                <w:color w:val="auto"/>
                <w:sz w:val="24"/>
                <w:szCs w:val="24"/>
                <w:lang w:val="en-US" w:eastAsia="zh-CN"/>
              </w:rPr>
              <w:t>保守</w:t>
            </w:r>
            <w:r>
              <w:rPr>
                <w:rFonts w:hint="default" w:ascii="Times New Roman" w:hAnsi="Times New Roman" w:eastAsia="宋体" w:cs="Times New Roman"/>
                <w:color w:val="auto"/>
                <w:sz w:val="24"/>
                <w:szCs w:val="24"/>
                <w:lang w:val="en-US" w:eastAsia="zh-CN"/>
              </w:rPr>
              <w:t>按</w:t>
            </w:r>
            <w:r>
              <w:rPr>
                <w:rFonts w:hint="eastAsia" w:ascii="Times New Roman" w:hAnsi="Times New Roman"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0%计，集气罩的收集效率按9</w:t>
            </w:r>
            <w:r>
              <w:rPr>
                <w:rFonts w:hint="eastAsia" w:ascii="Times New Roman" w:hAnsi="Times New Roman"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%计</w:t>
            </w:r>
            <w:r>
              <w:rPr>
                <w:rFonts w:hint="eastAsia" w:ascii="Times New Roman" w:hAnsi="Times New Roman" w:cs="Times New Roman"/>
                <w:color w:val="auto"/>
                <w:sz w:val="24"/>
                <w:szCs w:val="24"/>
                <w:lang w:val="en-US" w:eastAsia="zh-CN"/>
              </w:rPr>
              <w:t>。</w:t>
            </w:r>
            <w:r>
              <w:rPr>
                <w:rFonts w:hint="eastAsia" w:ascii="Times New Roman" w:hAnsi="Times New Roman" w:cs="Times New Roman"/>
                <w:b w:val="0"/>
                <w:bCs/>
                <w:i w:val="0"/>
                <w:iCs w:val="0"/>
                <w:color w:val="auto"/>
                <w:sz w:val="24"/>
                <w:u w:val="none"/>
                <w:lang w:eastAsia="zh-CN"/>
              </w:rPr>
              <w:t>箔轧工序</w:t>
            </w:r>
            <w:r>
              <w:rPr>
                <w:rFonts w:hint="default" w:ascii="Times New Roman" w:hAnsi="Times New Roman" w:eastAsia="宋体" w:cs="Times New Roman"/>
                <w:b w:val="0"/>
                <w:bCs/>
                <w:i w:val="0"/>
                <w:iCs w:val="0"/>
                <w:color w:val="auto"/>
                <w:sz w:val="24"/>
                <w:u w:val="none"/>
                <w:lang w:eastAsia="zh-CN"/>
              </w:rPr>
              <w:t>设置风机风量是</w:t>
            </w:r>
            <w:r>
              <w:rPr>
                <w:rFonts w:hint="eastAsia" w:ascii="Times New Roman" w:hAnsi="Times New Roman" w:cs="Times New Roman"/>
                <w:b w:val="0"/>
                <w:bCs/>
                <w:i w:val="0"/>
                <w:iCs w:val="0"/>
                <w:color w:val="auto"/>
                <w:sz w:val="24"/>
                <w:highlight w:val="none"/>
                <w:u w:val="none"/>
                <w:lang w:val="en-US" w:eastAsia="zh-CN"/>
              </w:rPr>
              <w:t>500</w:t>
            </w:r>
            <w:r>
              <w:rPr>
                <w:rFonts w:hint="default" w:ascii="Times New Roman" w:hAnsi="Times New Roman" w:eastAsia="宋体" w:cs="Times New Roman"/>
                <w:b w:val="0"/>
                <w:bCs/>
                <w:i w:val="0"/>
                <w:iCs w:val="0"/>
                <w:color w:val="auto"/>
                <w:sz w:val="24"/>
                <w:highlight w:val="none"/>
                <w:u w:val="none"/>
                <w:lang w:eastAsia="zh-CN"/>
              </w:rPr>
              <w:t>0m</w:t>
            </w:r>
            <w:r>
              <w:rPr>
                <w:rFonts w:hint="default" w:ascii="Times New Roman" w:hAnsi="Times New Roman" w:eastAsia="宋体" w:cs="Times New Roman"/>
                <w:b w:val="0"/>
                <w:bCs/>
                <w:i w:val="0"/>
                <w:iCs w:val="0"/>
                <w:color w:val="auto"/>
                <w:sz w:val="24"/>
                <w:highlight w:val="none"/>
                <w:u w:val="none"/>
                <w:vertAlign w:val="superscript"/>
                <w:lang w:eastAsia="zh-CN"/>
              </w:rPr>
              <w:t>3</w:t>
            </w:r>
            <w:r>
              <w:rPr>
                <w:rFonts w:hint="default" w:ascii="Times New Roman" w:hAnsi="Times New Roman" w:eastAsia="宋体" w:cs="Times New Roman"/>
                <w:b w:val="0"/>
                <w:bCs/>
                <w:i w:val="0"/>
                <w:iCs w:val="0"/>
                <w:color w:val="auto"/>
                <w:sz w:val="24"/>
                <w:highlight w:val="none"/>
                <w:u w:val="none"/>
                <w:lang w:eastAsia="zh-CN"/>
              </w:rPr>
              <w:t>/h</w:t>
            </w:r>
            <w:r>
              <w:rPr>
                <w:rFonts w:hint="eastAsia" w:ascii="Times New Roman" w:hAnsi="Times New Roman" w:cs="Times New Roman"/>
                <w:b w:val="0"/>
                <w:bCs/>
                <w:i w:val="0"/>
                <w:iCs w:val="0"/>
                <w:color w:val="auto"/>
                <w:sz w:val="24"/>
                <w:highlight w:val="none"/>
                <w:u w:val="none"/>
                <w:lang w:eastAsia="zh-CN"/>
              </w:rPr>
              <w:t>，</w:t>
            </w:r>
            <w:r>
              <w:rPr>
                <w:rFonts w:hint="eastAsia" w:ascii="Times New Roman" w:hAnsi="Times New Roman" w:cs="Times New Roman"/>
                <w:color w:val="auto"/>
                <w:sz w:val="24"/>
                <w:szCs w:val="24"/>
                <w:lang w:val="en-US" w:eastAsia="zh-CN"/>
              </w:rPr>
              <w:t>经处理后，</w:t>
            </w:r>
            <w:r>
              <w:rPr>
                <w:rFonts w:hint="eastAsia" w:ascii="Times New Roman" w:hAnsi="Times New Roman" w:eastAsia="宋体" w:cs="Times New Roman"/>
                <w:b w:val="0"/>
                <w:bCs w:val="0"/>
                <w:color w:val="auto"/>
                <w:sz w:val="24"/>
                <w:szCs w:val="24"/>
                <w:u w:val="none"/>
                <w:vertAlign w:val="baseline"/>
                <w:lang w:val="en-US" w:eastAsia="zh-CN"/>
              </w:rPr>
              <w:t>非甲烷总烃</w:t>
            </w:r>
            <w:r>
              <w:rPr>
                <w:rFonts w:hint="default" w:ascii="Times New Roman" w:hAnsi="Times New Roman" w:eastAsia="宋体" w:cs="Times New Roman"/>
                <w:b w:val="0"/>
                <w:bCs w:val="0"/>
                <w:color w:val="auto"/>
                <w:sz w:val="24"/>
                <w:szCs w:val="24"/>
                <w:u w:val="none"/>
                <w:vertAlign w:val="baseline"/>
                <w:lang w:val="en-US" w:eastAsia="zh-CN"/>
              </w:rPr>
              <w:t>排放量为</w:t>
            </w:r>
            <w:r>
              <w:rPr>
                <w:rFonts w:hint="eastAsia" w:ascii="Times New Roman" w:hAnsi="Times New Roman" w:cs="Times New Roman"/>
                <w:b w:val="0"/>
                <w:bCs w:val="0"/>
                <w:color w:val="auto"/>
                <w:sz w:val="24"/>
                <w:szCs w:val="24"/>
                <w:u w:val="none"/>
                <w:vertAlign w:val="baseline"/>
                <w:lang w:val="en-US" w:eastAsia="zh-CN"/>
              </w:rPr>
              <w:t>0.243</w:t>
            </w:r>
            <w:r>
              <w:rPr>
                <w:rFonts w:hint="default" w:ascii="Times New Roman" w:hAnsi="Times New Roman" w:eastAsia="宋体" w:cs="Times New Roman"/>
                <w:b w:val="0"/>
                <w:bCs w:val="0"/>
                <w:color w:val="auto"/>
                <w:sz w:val="24"/>
                <w:szCs w:val="24"/>
                <w:u w:val="none"/>
                <w:vertAlign w:val="baseline"/>
                <w:lang w:val="en-US" w:eastAsia="zh-CN"/>
              </w:rPr>
              <w:t>t/a，排放速率为</w:t>
            </w:r>
            <w:r>
              <w:rPr>
                <w:rFonts w:hint="eastAsia" w:ascii="Times New Roman" w:hAnsi="Times New Roman" w:cs="Times New Roman"/>
                <w:b w:val="0"/>
                <w:bCs w:val="0"/>
                <w:color w:val="auto"/>
                <w:sz w:val="24"/>
                <w:szCs w:val="24"/>
                <w:u w:val="none"/>
                <w:vertAlign w:val="baseline"/>
                <w:lang w:val="en-US" w:eastAsia="zh-CN"/>
              </w:rPr>
              <w:t>0.034</w:t>
            </w:r>
            <w:r>
              <w:rPr>
                <w:rFonts w:hint="default" w:ascii="Times New Roman" w:hAnsi="Times New Roman" w:eastAsia="宋体" w:cs="Times New Roman"/>
                <w:b w:val="0"/>
                <w:bCs w:val="0"/>
                <w:color w:val="auto"/>
                <w:sz w:val="24"/>
                <w:szCs w:val="24"/>
                <w:u w:val="none"/>
                <w:vertAlign w:val="baseline"/>
                <w:lang w:val="en-US" w:eastAsia="zh-CN"/>
              </w:rPr>
              <w:t>kg/h，排放浓度为</w:t>
            </w:r>
            <w:r>
              <w:rPr>
                <w:rFonts w:hint="eastAsia" w:ascii="Times New Roman" w:hAnsi="Times New Roman" w:cs="Times New Roman"/>
                <w:b w:val="0"/>
                <w:bCs w:val="0"/>
                <w:color w:val="auto"/>
                <w:sz w:val="24"/>
                <w:szCs w:val="24"/>
                <w:u w:val="none"/>
                <w:vertAlign w:val="baseline"/>
                <w:lang w:val="en-US" w:eastAsia="zh-CN"/>
              </w:rPr>
              <w:t>6.8</w:t>
            </w:r>
            <w:r>
              <w:rPr>
                <w:rFonts w:hint="default" w:ascii="Times New Roman" w:hAnsi="Times New Roman" w:eastAsia="宋体" w:cs="Times New Roman"/>
                <w:b w:val="0"/>
                <w:bCs w:val="0"/>
                <w:color w:val="auto"/>
                <w:sz w:val="24"/>
                <w:szCs w:val="24"/>
                <w:u w:val="none"/>
                <w:vertAlign w:val="baseline"/>
                <w:lang w:val="en-US" w:eastAsia="zh-CN"/>
              </w:rPr>
              <w:t>mg/m</w:t>
            </w:r>
            <w:r>
              <w:rPr>
                <w:rFonts w:hint="default" w:ascii="Times New Roman" w:hAnsi="Times New Roman" w:eastAsia="宋体" w:cs="Times New Roman"/>
                <w:b w:val="0"/>
                <w:bCs w:val="0"/>
                <w:color w:val="auto"/>
                <w:sz w:val="24"/>
                <w:szCs w:val="24"/>
                <w:u w:val="none"/>
                <w:vertAlign w:val="superscript"/>
                <w:lang w:val="en-US" w:eastAsia="zh-CN"/>
              </w:rPr>
              <w:t>3</w:t>
            </w:r>
            <w:r>
              <w:rPr>
                <w:rFonts w:hint="eastAsia" w:ascii="Times New Roman" w:hAnsi="Times New Roman" w:cs="Times New Roman"/>
                <w:b w:val="0"/>
                <w:bCs w:val="0"/>
                <w:color w:val="auto"/>
                <w:sz w:val="24"/>
                <w:szCs w:val="24"/>
                <w:u w:val="none"/>
                <w:vertAlign w:val="baseline"/>
                <w:lang w:val="en-US" w:eastAsia="zh-CN"/>
              </w:rPr>
              <w:t>，</w:t>
            </w:r>
            <w:r>
              <w:rPr>
                <w:rFonts w:hint="eastAsia" w:ascii="Times New Roman" w:hAnsi="Times New Roman" w:eastAsia="宋体" w:cs="Times New Roman"/>
                <w:b w:val="0"/>
                <w:bCs w:val="0"/>
                <w:color w:val="auto"/>
                <w:sz w:val="24"/>
                <w:szCs w:val="24"/>
                <w:u w:val="none"/>
                <w:lang w:val="en-US" w:eastAsia="zh-CN"/>
              </w:rPr>
              <w:t>可以满足</w:t>
            </w:r>
            <w:r>
              <w:rPr>
                <w:rFonts w:hint="default" w:ascii="Times New Roman" w:hAnsi="Times New Roman" w:eastAsia="宋体" w:cs="Times New Roman"/>
                <w:b w:val="0"/>
                <w:bCs/>
                <w:color w:val="auto"/>
                <w:sz w:val="24"/>
                <w:szCs w:val="24"/>
                <w:u w:val="none"/>
                <w:lang w:val="en-US" w:eastAsia="zh-CN"/>
              </w:rPr>
              <w:t>《大气污染物综合排放标准》（GB16297-1996）二级标准（非甲烷总烃最高允许排放浓度120mg/m</w:t>
            </w:r>
            <w:r>
              <w:rPr>
                <w:rFonts w:hint="default" w:ascii="Times New Roman" w:hAnsi="Times New Roman" w:eastAsia="宋体" w:cs="Times New Roman"/>
                <w:b w:val="0"/>
                <w:bCs/>
                <w:color w:val="auto"/>
                <w:sz w:val="24"/>
                <w:szCs w:val="24"/>
                <w:u w:val="none"/>
                <w:vertAlign w:val="superscript"/>
                <w:lang w:val="en-US" w:eastAsia="zh-CN"/>
              </w:rPr>
              <w:t>3</w:t>
            </w:r>
            <w:r>
              <w:rPr>
                <w:rFonts w:hint="default" w:ascii="Times New Roman" w:hAnsi="Times New Roman" w:eastAsia="宋体" w:cs="Times New Roman"/>
                <w:b w:val="0"/>
                <w:bCs/>
                <w:color w:val="auto"/>
                <w:sz w:val="24"/>
                <w:szCs w:val="24"/>
                <w:u w:val="none"/>
                <w:lang w:val="en-US" w:eastAsia="zh-CN"/>
              </w:rPr>
              <w:t>，20m高排气筒最高允许排放速率17kg/h），非甲烷总烃排放浓度也满足《关于全省开展工业企业挥发性有机物专项治理工作中排放建议值的通知》（豫环攻坚办〔2017〕162号）排放建议限值（非甲烷总烃≤80mg/m</w:t>
            </w:r>
            <w:r>
              <w:rPr>
                <w:rFonts w:hint="default" w:ascii="Times New Roman" w:hAnsi="Times New Roman" w:eastAsia="宋体" w:cs="Times New Roman"/>
                <w:b w:val="0"/>
                <w:bCs/>
                <w:color w:val="auto"/>
                <w:sz w:val="24"/>
                <w:szCs w:val="24"/>
                <w:u w:val="none"/>
                <w:vertAlign w:val="superscript"/>
                <w:lang w:val="en-US" w:eastAsia="zh-CN"/>
              </w:rPr>
              <w:t>3</w:t>
            </w:r>
            <w:r>
              <w:rPr>
                <w:rFonts w:hint="default" w:ascii="Times New Roman" w:hAnsi="Times New Roman" w:eastAsia="宋体" w:cs="Times New Roman"/>
                <w:b w:val="0"/>
                <w:bCs/>
                <w:color w:val="auto"/>
                <w:sz w:val="24"/>
                <w:szCs w:val="24"/>
                <w:u w:val="none"/>
                <w:lang w:val="en-US" w:eastAsia="zh-CN"/>
              </w:rPr>
              <w:t>）。</w:t>
            </w:r>
          </w:p>
          <w:p>
            <w:pPr>
              <w:pStyle w:val="26"/>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cs="Times New Roman"/>
                <w:b w:val="0"/>
                <w:bCs w:val="0"/>
                <w:color w:val="auto"/>
                <w:sz w:val="24"/>
                <w:szCs w:val="24"/>
                <w:u w:val="none"/>
                <w:vertAlign w:val="baseline"/>
                <w:lang w:val="en-US" w:eastAsia="zh-CN"/>
              </w:rPr>
              <w:t>本项目建成后全厂废气排放情况一览表。</w:t>
            </w:r>
          </w:p>
          <w:p>
            <w:pPr>
              <w:pStyle w:val="2"/>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本项目建成后全厂废气排放情况一览表</w:t>
            </w:r>
            <w:r>
              <w:rPr>
                <w:rFonts w:hint="eastAsia" w:ascii="Times New Roman" w:hAnsi="Times New Roman" w:cs="Times New Roman"/>
                <w:color w:val="auto"/>
                <w:sz w:val="24"/>
                <w:szCs w:val="24"/>
                <w:lang w:val="en-US" w:eastAsia="zh-CN"/>
              </w:rPr>
              <w:t>（已建工程）</w:t>
            </w:r>
          </w:p>
          <w:tbl>
            <w:tblPr>
              <w:tblStyle w:val="28"/>
              <w:tblW w:w="803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1868"/>
              <w:gridCol w:w="1159"/>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373"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lang w:val="en-US" w:eastAsia="zh-CN"/>
                    </w:rPr>
                    <w:t>产污环节</w:t>
                  </w:r>
                </w:p>
              </w:tc>
              <w:tc>
                <w:tcPr>
                  <w:tcW w:w="1868"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lang w:val="en-US" w:eastAsia="zh-CN"/>
                    </w:rPr>
                    <w:t>污染物种类</w:t>
                  </w:r>
                </w:p>
              </w:tc>
              <w:tc>
                <w:tcPr>
                  <w:tcW w:w="1159"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lang w:val="en-US" w:eastAsia="zh-CN"/>
                    </w:rPr>
                    <w:t>排放形式</w:t>
                  </w:r>
                </w:p>
              </w:tc>
              <w:tc>
                <w:tcPr>
                  <w:tcW w:w="2636"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kern w:val="2"/>
                      <w:sz w:val="21"/>
                      <w:szCs w:val="21"/>
                      <w:u w:val="single"/>
                      <w:lang w:val="en-US" w:eastAsia="zh-CN" w:bidi="ar-SA"/>
                    </w:rPr>
                  </w:pPr>
                  <w:r>
                    <w:rPr>
                      <w:rFonts w:hint="default" w:ascii="Times New Roman" w:hAnsi="Times New Roman" w:eastAsia="宋体" w:cs="Times New Roman"/>
                      <w:b/>
                      <w:bCs/>
                      <w:color w:val="auto"/>
                      <w:sz w:val="21"/>
                      <w:szCs w:val="21"/>
                      <w:u w:val="single"/>
                      <w:lang w:val="en-US" w:eastAsia="zh-CN"/>
                    </w:rPr>
                    <w:t>治理设施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373" w:type="dxa"/>
                  <w:vMerge w:val="restar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lang w:val="en-US" w:eastAsia="zh-CN"/>
                    </w:rPr>
                    <w:t>DA001熔炼废气排放口</w:t>
                  </w:r>
                </w:p>
              </w:tc>
              <w:tc>
                <w:tcPr>
                  <w:tcW w:w="1868" w:type="dxa"/>
                  <w:vAlign w:val="center"/>
                </w:tcPr>
                <w:p>
                  <w:pPr>
                    <w:pStyle w:val="48"/>
                    <w:adjustRightInd/>
                    <w:snapToGrid/>
                    <w:spacing w:line="240" w:lineRule="auto"/>
                    <w:ind w:firstLine="0" w:firstLineChars="0"/>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lang w:eastAsia="zh-CN"/>
                    </w:rPr>
                    <w:t>颗粒物</w:t>
                  </w:r>
                </w:p>
              </w:tc>
              <w:tc>
                <w:tcPr>
                  <w:tcW w:w="1159" w:type="dxa"/>
                  <w:vMerge w:val="restar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有组织</w:t>
                  </w:r>
                </w:p>
              </w:tc>
              <w:tc>
                <w:tcPr>
                  <w:tcW w:w="2636" w:type="dxa"/>
                  <w:vMerge w:val="restar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kern w:val="21"/>
                      <w:sz w:val="21"/>
                      <w:szCs w:val="21"/>
                      <w:highlight w:val="none"/>
                      <w:u w:val="single"/>
                    </w:rPr>
                    <w:t>袋式除尘器+</w:t>
                  </w:r>
                  <w:r>
                    <w:rPr>
                      <w:rFonts w:hint="default" w:ascii="Times New Roman" w:hAnsi="Times New Roman" w:cs="Times New Roman"/>
                      <w:b/>
                      <w:bCs/>
                      <w:color w:val="auto"/>
                      <w:kern w:val="21"/>
                      <w:sz w:val="21"/>
                      <w:szCs w:val="21"/>
                      <w:highlight w:val="none"/>
                      <w:u w:val="single"/>
                      <w:lang w:val="en-US" w:eastAsia="zh-CN"/>
                    </w:rPr>
                    <w:t>20</w:t>
                  </w:r>
                  <w:r>
                    <w:rPr>
                      <w:rFonts w:hint="default" w:ascii="Times New Roman" w:hAnsi="Times New Roman" w:cs="Times New Roman"/>
                      <w:b/>
                      <w:bCs/>
                      <w:color w:val="auto"/>
                      <w:kern w:val="21"/>
                      <w:sz w:val="21"/>
                      <w:szCs w:val="21"/>
                      <w:highlight w:val="none"/>
                      <w:u w:val="single"/>
                    </w:rPr>
                    <w:t>m排气筒</w:t>
                  </w:r>
                  <w:r>
                    <w:rPr>
                      <w:rFonts w:hint="default" w:ascii="Times New Roman" w:hAnsi="Times New Roman" w:cs="Times New Roman"/>
                      <w:b/>
                      <w:bCs/>
                      <w:color w:val="auto"/>
                      <w:kern w:val="21"/>
                      <w:sz w:val="21"/>
                      <w:szCs w:val="21"/>
                      <w:highlight w:val="none"/>
                      <w:u w:val="single"/>
                      <w:lang w:eastAsia="zh-CN"/>
                    </w:rPr>
                    <w:t>（</w:t>
                  </w:r>
                  <w:r>
                    <w:rPr>
                      <w:rFonts w:hint="default" w:ascii="Times New Roman" w:hAnsi="Times New Roman" w:cs="Times New Roman"/>
                      <w:b/>
                      <w:bCs/>
                      <w:color w:val="auto"/>
                      <w:kern w:val="21"/>
                      <w:sz w:val="21"/>
                      <w:szCs w:val="21"/>
                      <w:highlight w:val="none"/>
                      <w:u w:val="single"/>
                      <w:lang w:val="en-US" w:eastAsia="zh-CN"/>
                    </w:rPr>
                    <w:t>倾动炉共用一根排气筒</w:t>
                  </w:r>
                  <w:r>
                    <w:rPr>
                      <w:rFonts w:hint="default" w:ascii="Times New Roman" w:hAnsi="Times New Roman" w:cs="Times New Roman"/>
                      <w:b/>
                      <w:bCs/>
                      <w:color w:val="auto"/>
                      <w:kern w:val="21"/>
                      <w:sz w:val="21"/>
                      <w:szCs w:val="21"/>
                      <w:highlight w:val="none"/>
                      <w:u w:val="single"/>
                      <w:lang w:eastAsia="zh-CN"/>
                    </w:rPr>
                    <w:t>）</w:t>
                  </w:r>
                  <w:r>
                    <w:rPr>
                      <w:rFonts w:hint="eastAsia" w:ascii="Times New Roman" w:hAnsi="Times New Roman" w:cs="Times New Roman"/>
                      <w:b/>
                      <w:bCs/>
                      <w:color w:val="auto"/>
                      <w:kern w:val="21"/>
                      <w:sz w:val="21"/>
                      <w:szCs w:val="21"/>
                      <w:highlight w:val="none"/>
                      <w:u w:val="single"/>
                      <w:lang w:eastAsia="zh-CN"/>
                    </w:rPr>
                    <w:t>，</w:t>
                  </w:r>
                  <w:r>
                    <w:rPr>
                      <w:rFonts w:hint="eastAsia" w:ascii="Times New Roman" w:hAnsi="Times New Roman" w:cs="Times New Roman"/>
                      <w:b/>
                      <w:bCs/>
                      <w:color w:val="auto"/>
                      <w:kern w:val="21"/>
                      <w:sz w:val="21"/>
                      <w:szCs w:val="21"/>
                      <w:highlight w:val="none"/>
                      <w:u w:val="singl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373" w:type="dxa"/>
                  <w:vMerge w:val="continue"/>
                  <w:vAlign w:val="center"/>
                </w:tcPr>
                <w:p>
                  <w:pPr>
                    <w:jc w:val="center"/>
                    <w:rPr>
                      <w:rFonts w:hint="default" w:ascii="Times New Roman" w:hAnsi="Times New Roman" w:cs="Times New Roman"/>
                      <w:b/>
                      <w:bCs/>
                      <w:color w:val="auto"/>
                      <w:sz w:val="21"/>
                      <w:szCs w:val="21"/>
                      <w:u w:val="single"/>
                      <w:lang w:val="en-US" w:eastAsia="zh-CN"/>
                    </w:rPr>
                  </w:pPr>
                </w:p>
              </w:tc>
              <w:tc>
                <w:tcPr>
                  <w:tcW w:w="1868" w:type="dxa"/>
                  <w:vAlign w:val="center"/>
                </w:tcPr>
                <w:p>
                  <w:pPr>
                    <w:pStyle w:val="48"/>
                    <w:adjustRightInd/>
                    <w:snapToGrid/>
                    <w:spacing w:line="240" w:lineRule="auto"/>
                    <w:ind w:firstLine="0" w:firstLineChars="0"/>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lang w:eastAsia="zh-CN"/>
                    </w:rPr>
                    <w:t>二氧化硫</w:t>
                  </w:r>
                </w:p>
              </w:tc>
              <w:tc>
                <w:tcPr>
                  <w:tcW w:w="1159"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2636"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2373" w:type="dxa"/>
                  <w:vMerge w:val="continue"/>
                  <w:vAlign w:val="center"/>
                </w:tcPr>
                <w:p>
                  <w:pPr>
                    <w:jc w:val="center"/>
                    <w:rPr>
                      <w:rFonts w:hint="default" w:ascii="Times New Roman" w:hAnsi="Times New Roman" w:cs="Times New Roman"/>
                      <w:b/>
                      <w:bCs/>
                      <w:color w:val="auto"/>
                      <w:sz w:val="21"/>
                      <w:szCs w:val="21"/>
                      <w:u w:val="single"/>
                      <w:lang w:val="en-US" w:eastAsia="zh-CN"/>
                    </w:rPr>
                  </w:pPr>
                </w:p>
              </w:tc>
              <w:tc>
                <w:tcPr>
                  <w:tcW w:w="1868" w:type="dxa"/>
                  <w:vAlign w:val="center"/>
                </w:tcPr>
                <w:p>
                  <w:pPr>
                    <w:pStyle w:val="48"/>
                    <w:adjustRightInd/>
                    <w:snapToGrid/>
                    <w:spacing w:line="240" w:lineRule="auto"/>
                    <w:ind w:firstLine="0" w:firstLineChars="0"/>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lang w:eastAsia="zh-CN"/>
                    </w:rPr>
                    <w:t>氮氧化物</w:t>
                  </w:r>
                </w:p>
              </w:tc>
              <w:tc>
                <w:tcPr>
                  <w:tcW w:w="1159"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2636"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2373" w:type="dxa"/>
                  <w:vMerge w:val="continue"/>
                  <w:vAlign w:val="center"/>
                </w:tcPr>
                <w:p>
                  <w:pPr>
                    <w:jc w:val="center"/>
                    <w:rPr>
                      <w:rFonts w:hint="default" w:ascii="Times New Roman" w:hAnsi="Times New Roman" w:cs="Times New Roman"/>
                      <w:b/>
                      <w:bCs/>
                      <w:color w:val="auto"/>
                      <w:sz w:val="21"/>
                      <w:szCs w:val="21"/>
                      <w:u w:val="single"/>
                      <w:lang w:val="en-US" w:eastAsia="zh-CN"/>
                    </w:rPr>
                  </w:pPr>
                </w:p>
              </w:tc>
              <w:tc>
                <w:tcPr>
                  <w:tcW w:w="1868" w:type="dxa"/>
                  <w:vAlign w:val="center"/>
                </w:tcPr>
                <w:p>
                  <w:pPr>
                    <w:pStyle w:val="48"/>
                    <w:adjustRightInd/>
                    <w:snapToGrid/>
                    <w:spacing w:line="240" w:lineRule="auto"/>
                    <w:ind w:firstLine="0" w:firstLineChars="0"/>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lang w:eastAsia="zh-CN"/>
                    </w:rPr>
                    <w:t>铅及其化合物</w:t>
                  </w:r>
                </w:p>
              </w:tc>
              <w:tc>
                <w:tcPr>
                  <w:tcW w:w="1159"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2636"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vAlign w:val="center"/>
                </w:tcPr>
                <w:p>
                  <w:pPr>
                    <w:pStyle w:val="48"/>
                    <w:adjustRightInd/>
                    <w:snapToGrid/>
                    <w:spacing w:line="240" w:lineRule="auto"/>
                    <w:ind w:firstLine="0" w:firstLineChars="0"/>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lang w:val="en-US" w:eastAsia="zh-CN"/>
                    </w:rPr>
                    <w:t>DA002</w:t>
                  </w:r>
                  <w:r>
                    <w:rPr>
                      <w:rFonts w:hint="default" w:ascii="Times New Roman" w:hAnsi="Times New Roman" w:cs="Times New Roman"/>
                      <w:b/>
                      <w:bCs/>
                      <w:color w:val="auto"/>
                      <w:sz w:val="21"/>
                      <w:szCs w:val="21"/>
                      <w:u w:val="single"/>
                    </w:rPr>
                    <w:t>热轧</w:t>
                  </w:r>
                  <w:r>
                    <w:rPr>
                      <w:rFonts w:hint="eastAsia" w:ascii="Times New Roman" w:hAnsi="Times New Roman" w:cs="Times New Roman"/>
                      <w:b/>
                      <w:bCs/>
                      <w:color w:val="auto"/>
                      <w:sz w:val="21"/>
                      <w:szCs w:val="21"/>
                      <w:u w:val="single"/>
                      <w:lang w:val="en-US" w:eastAsia="zh-CN"/>
                    </w:rPr>
                    <w:t>1#</w:t>
                  </w:r>
                  <w:r>
                    <w:rPr>
                      <w:rFonts w:hint="default" w:ascii="Times New Roman" w:hAnsi="Times New Roman" w:cs="Times New Roman"/>
                      <w:b/>
                      <w:bCs/>
                      <w:color w:val="auto"/>
                      <w:sz w:val="21"/>
                      <w:szCs w:val="21"/>
                      <w:u w:val="single"/>
                    </w:rPr>
                    <w:t>油雾净化出口</w:t>
                  </w:r>
                </w:p>
              </w:tc>
              <w:tc>
                <w:tcPr>
                  <w:tcW w:w="1868"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lang w:eastAsia="zh-CN"/>
                    </w:rPr>
                    <w:t>非甲烷总烃</w:t>
                  </w:r>
                </w:p>
              </w:tc>
              <w:tc>
                <w:tcPr>
                  <w:tcW w:w="1159"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有组织</w:t>
                  </w:r>
                </w:p>
              </w:tc>
              <w:tc>
                <w:tcPr>
                  <w:tcW w:w="2636" w:type="dxa"/>
                  <w:vAlign w:val="center"/>
                </w:tcPr>
                <w:p>
                  <w:pPr>
                    <w:jc w:val="center"/>
                    <w:rPr>
                      <w:rFonts w:hint="default" w:ascii="Times New Roman" w:hAnsi="Times New Roman" w:cs="Times New Roman" w:eastAsiaTheme="minorEastAsia"/>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rPr>
                    <w:t>油雾净化</w:t>
                  </w:r>
                  <w:r>
                    <w:rPr>
                      <w:rFonts w:hint="default" w:ascii="Times New Roman" w:hAnsi="Times New Roman" w:cs="Times New Roman"/>
                      <w:b/>
                      <w:bCs/>
                      <w:color w:val="auto"/>
                      <w:sz w:val="21"/>
                      <w:szCs w:val="21"/>
                      <w:u w:val="single"/>
                      <w:lang w:eastAsia="zh-CN"/>
                    </w:rPr>
                    <w:t>装置</w:t>
                  </w:r>
                  <w:r>
                    <w:rPr>
                      <w:rFonts w:hint="default" w:ascii="Times New Roman" w:hAnsi="Times New Roman" w:cs="Times New Roman"/>
                      <w:b/>
                      <w:bCs/>
                      <w:color w:val="auto"/>
                      <w:sz w:val="21"/>
                      <w:szCs w:val="21"/>
                      <w:u w:val="single"/>
                      <w:lang w:val="en-US" w:eastAsia="zh-CN"/>
                    </w:rPr>
                    <w:t>+20m高排气筒</w:t>
                  </w:r>
                  <w:r>
                    <w:rPr>
                      <w:rFonts w:hint="eastAsia" w:ascii="Times New Roman" w:hAnsi="Times New Roman" w:cs="Times New Roman"/>
                      <w:b/>
                      <w:bCs/>
                      <w:color w:val="auto"/>
                      <w:kern w:val="21"/>
                      <w:sz w:val="21"/>
                      <w:szCs w:val="21"/>
                      <w:highlight w:val="none"/>
                      <w:u w:val="single"/>
                      <w:lang w:eastAsia="zh-CN"/>
                    </w:rPr>
                    <w:t>，</w:t>
                  </w:r>
                  <w:r>
                    <w:rPr>
                      <w:rFonts w:hint="eastAsia" w:ascii="Times New Roman" w:hAnsi="Times New Roman" w:cs="Times New Roman"/>
                      <w:b/>
                      <w:bCs/>
                      <w:color w:val="auto"/>
                      <w:kern w:val="21"/>
                      <w:sz w:val="21"/>
                      <w:szCs w:val="21"/>
                      <w:highlight w:val="none"/>
                      <w:u w:val="singl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373" w:type="dxa"/>
                  <w:vAlign w:val="center"/>
                </w:tcPr>
                <w:p>
                  <w:pPr>
                    <w:pStyle w:val="48"/>
                    <w:adjustRightInd/>
                    <w:snapToGrid/>
                    <w:spacing w:line="240" w:lineRule="auto"/>
                    <w:ind w:firstLine="0" w:firstLineChars="0"/>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lang w:val="en-US" w:eastAsia="zh-CN"/>
                    </w:rPr>
                    <w:t>DA003</w:t>
                  </w:r>
                  <w:r>
                    <w:rPr>
                      <w:rFonts w:hint="default" w:ascii="Times New Roman" w:hAnsi="Times New Roman" w:cs="Times New Roman"/>
                      <w:b/>
                      <w:bCs/>
                      <w:color w:val="auto"/>
                      <w:sz w:val="21"/>
                      <w:szCs w:val="21"/>
                      <w:u w:val="single"/>
                    </w:rPr>
                    <w:t>箔轧</w:t>
                  </w:r>
                  <w:r>
                    <w:rPr>
                      <w:rFonts w:hint="default" w:ascii="Times New Roman" w:hAnsi="Times New Roman" w:cs="Times New Roman"/>
                      <w:b/>
                      <w:bCs/>
                      <w:color w:val="auto"/>
                      <w:sz w:val="21"/>
                      <w:szCs w:val="21"/>
                      <w:u w:val="single"/>
                      <w:lang w:val="en-US" w:eastAsia="zh-CN"/>
                    </w:rPr>
                    <w:t>1#</w:t>
                  </w:r>
                  <w:r>
                    <w:rPr>
                      <w:rFonts w:hint="default" w:ascii="Times New Roman" w:hAnsi="Times New Roman" w:cs="Times New Roman"/>
                      <w:b/>
                      <w:bCs/>
                      <w:color w:val="auto"/>
                      <w:sz w:val="21"/>
                      <w:szCs w:val="21"/>
                      <w:u w:val="single"/>
                    </w:rPr>
                    <w:t>油雾净化出口</w:t>
                  </w:r>
                </w:p>
              </w:tc>
              <w:tc>
                <w:tcPr>
                  <w:tcW w:w="1868"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lang w:eastAsia="zh-CN"/>
                    </w:rPr>
                    <w:t>非甲烷总烃</w:t>
                  </w:r>
                </w:p>
              </w:tc>
              <w:tc>
                <w:tcPr>
                  <w:tcW w:w="1159"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有组织</w:t>
                  </w:r>
                </w:p>
              </w:tc>
              <w:tc>
                <w:tcPr>
                  <w:tcW w:w="2636"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rPr>
                    <w:t>油雾净化</w:t>
                  </w:r>
                  <w:r>
                    <w:rPr>
                      <w:rFonts w:hint="default" w:ascii="Times New Roman" w:hAnsi="Times New Roman" w:cs="Times New Roman"/>
                      <w:b/>
                      <w:bCs/>
                      <w:color w:val="auto"/>
                      <w:sz w:val="21"/>
                      <w:szCs w:val="21"/>
                      <w:u w:val="single"/>
                      <w:lang w:eastAsia="zh-CN"/>
                    </w:rPr>
                    <w:t>装置</w:t>
                  </w:r>
                  <w:r>
                    <w:rPr>
                      <w:rFonts w:hint="default" w:ascii="Times New Roman" w:hAnsi="Times New Roman" w:cs="Times New Roman"/>
                      <w:b/>
                      <w:bCs/>
                      <w:color w:val="auto"/>
                      <w:sz w:val="21"/>
                      <w:szCs w:val="21"/>
                      <w:u w:val="single"/>
                      <w:lang w:val="en-US" w:eastAsia="zh-CN"/>
                    </w:rPr>
                    <w:t>+20m高排气筒</w:t>
                  </w:r>
                  <w:r>
                    <w:rPr>
                      <w:rFonts w:hint="eastAsia" w:ascii="Times New Roman" w:hAnsi="Times New Roman" w:cs="Times New Roman"/>
                      <w:b/>
                      <w:bCs/>
                      <w:color w:val="auto"/>
                      <w:kern w:val="21"/>
                      <w:sz w:val="21"/>
                      <w:szCs w:val="21"/>
                      <w:highlight w:val="none"/>
                      <w:u w:val="single"/>
                      <w:lang w:eastAsia="zh-CN"/>
                    </w:rPr>
                    <w:t>，</w:t>
                  </w:r>
                  <w:r>
                    <w:rPr>
                      <w:rFonts w:hint="eastAsia" w:ascii="Times New Roman" w:hAnsi="Times New Roman" w:cs="Times New Roman"/>
                      <w:b/>
                      <w:bCs/>
                      <w:color w:val="auto"/>
                      <w:kern w:val="21"/>
                      <w:sz w:val="21"/>
                      <w:szCs w:val="21"/>
                      <w:highlight w:val="none"/>
                      <w:u w:val="singl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373" w:type="dxa"/>
                  <w:vAlign w:val="center"/>
                </w:tcPr>
                <w:p>
                  <w:pPr>
                    <w:pStyle w:val="48"/>
                    <w:adjustRightInd/>
                    <w:snapToGrid/>
                    <w:spacing w:line="240" w:lineRule="auto"/>
                    <w:ind w:firstLine="0" w:firstLineChars="0"/>
                    <w:jc w:val="center"/>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DA004</w:t>
                  </w:r>
                  <w:r>
                    <w:rPr>
                      <w:rFonts w:hint="default" w:ascii="Times New Roman" w:hAnsi="Times New Roman" w:cs="Times New Roman"/>
                      <w:b/>
                      <w:bCs/>
                      <w:color w:val="auto"/>
                      <w:sz w:val="21"/>
                      <w:szCs w:val="21"/>
                      <w:u w:val="single"/>
                    </w:rPr>
                    <w:t>箔轧</w:t>
                  </w:r>
                  <w:r>
                    <w:rPr>
                      <w:rFonts w:hint="default" w:ascii="Times New Roman" w:hAnsi="Times New Roman" w:cs="Times New Roman"/>
                      <w:b/>
                      <w:bCs/>
                      <w:color w:val="auto"/>
                      <w:sz w:val="21"/>
                      <w:szCs w:val="21"/>
                      <w:u w:val="single"/>
                      <w:lang w:val="en-US" w:eastAsia="zh-CN"/>
                    </w:rPr>
                    <w:t>2#</w:t>
                  </w:r>
                  <w:r>
                    <w:rPr>
                      <w:rFonts w:hint="default" w:ascii="Times New Roman" w:hAnsi="Times New Roman" w:cs="Times New Roman"/>
                      <w:b/>
                      <w:bCs/>
                      <w:color w:val="auto"/>
                      <w:sz w:val="21"/>
                      <w:szCs w:val="21"/>
                      <w:u w:val="single"/>
                    </w:rPr>
                    <w:t>油雾净化出口</w:t>
                  </w:r>
                </w:p>
              </w:tc>
              <w:tc>
                <w:tcPr>
                  <w:tcW w:w="1868" w:type="dxa"/>
                  <w:vAlign w:val="center"/>
                </w:tcPr>
                <w:p>
                  <w:pPr>
                    <w:jc w:val="center"/>
                    <w:rPr>
                      <w:rFonts w:hint="default" w:ascii="Times New Roman" w:hAnsi="Times New Roman"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非甲烷总烃</w:t>
                  </w:r>
                </w:p>
              </w:tc>
              <w:tc>
                <w:tcPr>
                  <w:tcW w:w="1159"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有组织</w:t>
                  </w:r>
                </w:p>
              </w:tc>
              <w:tc>
                <w:tcPr>
                  <w:tcW w:w="2636" w:type="dxa"/>
                  <w:vAlign w:val="center"/>
                </w:tcPr>
                <w:p>
                  <w:pPr>
                    <w:jc w:val="center"/>
                    <w:rPr>
                      <w:rFonts w:hint="default"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油雾净化</w:t>
                  </w:r>
                  <w:r>
                    <w:rPr>
                      <w:rFonts w:hint="default" w:ascii="Times New Roman" w:hAnsi="Times New Roman" w:cs="Times New Roman"/>
                      <w:b/>
                      <w:bCs/>
                      <w:color w:val="auto"/>
                      <w:sz w:val="21"/>
                      <w:szCs w:val="21"/>
                      <w:u w:val="single"/>
                      <w:lang w:eastAsia="zh-CN"/>
                    </w:rPr>
                    <w:t>装置</w:t>
                  </w:r>
                  <w:r>
                    <w:rPr>
                      <w:rFonts w:hint="default" w:ascii="Times New Roman" w:hAnsi="Times New Roman" w:cs="Times New Roman"/>
                      <w:b/>
                      <w:bCs/>
                      <w:color w:val="auto"/>
                      <w:sz w:val="21"/>
                      <w:szCs w:val="21"/>
                      <w:u w:val="single"/>
                      <w:lang w:val="en-US" w:eastAsia="zh-CN"/>
                    </w:rPr>
                    <w:t>+20m高排气筒</w:t>
                  </w:r>
                  <w:r>
                    <w:rPr>
                      <w:rFonts w:hint="eastAsia" w:ascii="Times New Roman" w:hAnsi="Times New Roman" w:cs="Times New Roman"/>
                      <w:b/>
                      <w:bCs/>
                      <w:color w:val="auto"/>
                      <w:kern w:val="21"/>
                      <w:sz w:val="21"/>
                      <w:szCs w:val="21"/>
                      <w:highlight w:val="none"/>
                      <w:u w:val="single"/>
                      <w:lang w:eastAsia="zh-CN"/>
                    </w:rPr>
                    <w:t>，</w:t>
                  </w:r>
                  <w:r>
                    <w:rPr>
                      <w:rFonts w:hint="eastAsia" w:ascii="Times New Roman" w:hAnsi="Times New Roman" w:cs="Times New Roman"/>
                      <w:b/>
                      <w:bCs/>
                      <w:color w:val="auto"/>
                      <w:kern w:val="21"/>
                      <w:sz w:val="21"/>
                      <w:szCs w:val="21"/>
                      <w:highlight w:val="none"/>
                      <w:u w:val="singl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vAlign w:val="center"/>
                </w:tcPr>
                <w:p>
                  <w:pPr>
                    <w:pStyle w:val="48"/>
                    <w:adjustRightInd/>
                    <w:snapToGrid/>
                    <w:spacing w:line="240" w:lineRule="auto"/>
                    <w:ind w:firstLine="0" w:firstLineChars="0"/>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lang w:val="en-US" w:eastAsia="zh-CN"/>
                    </w:rPr>
                    <w:t>DA005</w:t>
                  </w:r>
                  <w:r>
                    <w:rPr>
                      <w:rFonts w:hint="default" w:ascii="Times New Roman" w:hAnsi="Times New Roman" w:cs="Times New Roman"/>
                      <w:b/>
                      <w:bCs/>
                      <w:color w:val="auto"/>
                      <w:sz w:val="21"/>
                      <w:szCs w:val="21"/>
                      <w:u w:val="single"/>
                    </w:rPr>
                    <w:t>冷轧</w:t>
                  </w:r>
                  <w:r>
                    <w:rPr>
                      <w:rFonts w:hint="default" w:ascii="Times New Roman" w:hAnsi="Times New Roman" w:cs="Times New Roman"/>
                      <w:b/>
                      <w:bCs/>
                      <w:color w:val="auto"/>
                      <w:sz w:val="21"/>
                      <w:szCs w:val="21"/>
                      <w:u w:val="single"/>
                      <w:lang w:val="en-US" w:eastAsia="zh-CN"/>
                    </w:rPr>
                    <w:t>1#</w:t>
                  </w:r>
                  <w:r>
                    <w:rPr>
                      <w:rFonts w:hint="default" w:ascii="Times New Roman" w:hAnsi="Times New Roman" w:cs="Times New Roman"/>
                      <w:b/>
                      <w:bCs/>
                      <w:color w:val="auto"/>
                      <w:sz w:val="21"/>
                      <w:szCs w:val="21"/>
                      <w:u w:val="single"/>
                    </w:rPr>
                    <w:t>油雾净化出口</w:t>
                  </w:r>
                </w:p>
              </w:tc>
              <w:tc>
                <w:tcPr>
                  <w:tcW w:w="1868"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lang w:eastAsia="zh-CN"/>
                    </w:rPr>
                    <w:t>非甲烷总烃</w:t>
                  </w:r>
                </w:p>
              </w:tc>
              <w:tc>
                <w:tcPr>
                  <w:tcW w:w="1159"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有组织</w:t>
                  </w:r>
                </w:p>
              </w:tc>
              <w:tc>
                <w:tcPr>
                  <w:tcW w:w="2636"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rPr>
                    <w:t>油雾净化</w:t>
                  </w:r>
                  <w:r>
                    <w:rPr>
                      <w:rFonts w:hint="default" w:ascii="Times New Roman" w:hAnsi="Times New Roman" w:cs="Times New Roman"/>
                      <w:b/>
                      <w:bCs/>
                      <w:color w:val="auto"/>
                      <w:sz w:val="21"/>
                      <w:szCs w:val="21"/>
                      <w:u w:val="single"/>
                      <w:lang w:eastAsia="zh-CN"/>
                    </w:rPr>
                    <w:t>装置</w:t>
                  </w:r>
                  <w:r>
                    <w:rPr>
                      <w:rFonts w:hint="default" w:ascii="Times New Roman" w:hAnsi="Times New Roman" w:cs="Times New Roman"/>
                      <w:b/>
                      <w:bCs/>
                      <w:color w:val="auto"/>
                      <w:sz w:val="21"/>
                      <w:szCs w:val="21"/>
                      <w:u w:val="single"/>
                      <w:lang w:val="en-US" w:eastAsia="zh-CN"/>
                    </w:rPr>
                    <w:t>+20m高排气筒</w:t>
                  </w:r>
                  <w:r>
                    <w:rPr>
                      <w:rFonts w:hint="eastAsia" w:ascii="Times New Roman" w:hAnsi="Times New Roman" w:cs="Times New Roman"/>
                      <w:b/>
                      <w:bCs/>
                      <w:color w:val="auto"/>
                      <w:kern w:val="21"/>
                      <w:sz w:val="21"/>
                      <w:szCs w:val="21"/>
                      <w:highlight w:val="none"/>
                      <w:u w:val="single"/>
                      <w:lang w:eastAsia="zh-CN"/>
                    </w:rPr>
                    <w:t>，</w:t>
                  </w:r>
                  <w:r>
                    <w:rPr>
                      <w:rFonts w:hint="eastAsia" w:ascii="Times New Roman" w:hAnsi="Times New Roman" w:cs="Times New Roman"/>
                      <w:b/>
                      <w:bCs/>
                      <w:color w:val="auto"/>
                      <w:kern w:val="21"/>
                      <w:sz w:val="21"/>
                      <w:szCs w:val="21"/>
                      <w:highlight w:val="none"/>
                      <w:u w:val="singl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373"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DA006</w:t>
                  </w:r>
                  <w:r>
                    <w:rPr>
                      <w:rFonts w:hint="default" w:ascii="Times New Roman" w:hAnsi="Times New Roman" w:cs="Times New Roman"/>
                      <w:b/>
                      <w:bCs/>
                      <w:color w:val="auto"/>
                      <w:sz w:val="21"/>
                      <w:szCs w:val="21"/>
                      <w:u w:val="single"/>
                    </w:rPr>
                    <w:t>冷轧</w:t>
                  </w:r>
                  <w:r>
                    <w:rPr>
                      <w:rFonts w:hint="default" w:ascii="Times New Roman" w:hAnsi="Times New Roman" w:cs="Times New Roman"/>
                      <w:b/>
                      <w:bCs/>
                      <w:color w:val="auto"/>
                      <w:sz w:val="21"/>
                      <w:szCs w:val="21"/>
                      <w:u w:val="single"/>
                      <w:lang w:val="en-US" w:eastAsia="zh-CN"/>
                    </w:rPr>
                    <w:t>2#</w:t>
                  </w:r>
                  <w:r>
                    <w:rPr>
                      <w:rFonts w:hint="default" w:ascii="Times New Roman" w:hAnsi="Times New Roman" w:cs="Times New Roman"/>
                      <w:b/>
                      <w:bCs/>
                      <w:color w:val="auto"/>
                      <w:sz w:val="21"/>
                      <w:szCs w:val="21"/>
                      <w:u w:val="single"/>
                    </w:rPr>
                    <w:t>油雾净化出口</w:t>
                  </w:r>
                </w:p>
              </w:tc>
              <w:tc>
                <w:tcPr>
                  <w:tcW w:w="1868"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lang w:eastAsia="zh-CN"/>
                    </w:rPr>
                    <w:t>非甲烷总烃</w:t>
                  </w:r>
                </w:p>
              </w:tc>
              <w:tc>
                <w:tcPr>
                  <w:tcW w:w="1159"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有组织</w:t>
                  </w:r>
                </w:p>
              </w:tc>
              <w:tc>
                <w:tcPr>
                  <w:tcW w:w="2636"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lang w:val="en-US" w:eastAsia="zh-CN"/>
                    </w:rPr>
                    <w:t>油雾净化装置</w:t>
                  </w:r>
                  <w:r>
                    <w:rPr>
                      <w:rFonts w:hint="default" w:ascii="Times New Roman" w:hAnsi="Times New Roman" w:cs="Times New Roman"/>
                      <w:b/>
                      <w:bCs/>
                      <w:color w:val="auto"/>
                      <w:sz w:val="21"/>
                      <w:szCs w:val="21"/>
                      <w:u w:val="single"/>
                      <w:lang w:val="en-US" w:eastAsia="zh-CN"/>
                    </w:rPr>
                    <w:t>+20m高排气筒</w:t>
                  </w:r>
                  <w:r>
                    <w:rPr>
                      <w:rFonts w:hint="eastAsia" w:ascii="Times New Roman" w:hAnsi="Times New Roman" w:cs="Times New Roman"/>
                      <w:b/>
                      <w:bCs/>
                      <w:color w:val="auto"/>
                      <w:kern w:val="21"/>
                      <w:sz w:val="21"/>
                      <w:szCs w:val="21"/>
                      <w:highlight w:val="none"/>
                      <w:u w:val="single"/>
                      <w:lang w:eastAsia="zh-CN"/>
                    </w:rPr>
                    <w:t>，</w:t>
                  </w:r>
                  <w:r>
                    <w:rPr>
                      <w:rFonts w:hint="eastAsia" w:ascii="Times New Roman" w:hAnsi="Times New Roman" w:cs="Times New Roman"/>
                      <w:b/>
                      <w:bCs/>
                      <w:color w:val="auto"/>
                      <w:kern w:val="21"/>
                      <w:sz w:val="21"/>
                      <w:szCs w:val="21"/>
                      <w:highlight w:val="none"/>
                      <w:u w:val="singl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73" w:type="dxa"/>
                  <w:vMerge w:val="restar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燃气发生器</w:t>
                  </w:r>
                  <w:r>
                    <w:rPr>
                      <w:rFonts w:hint="default" w:ascii="Times New Roman" w:hAnsi="Times New Roman" w:eastAsia="宋体" w:cs="Times New Roman"/>
                      <w:b/>
                      <w:bCs/>
                      <w:color w:val="auto"/>
                      <w:sz w:val="21"/>
                      <w:szCs w:val="21"/>
                      <w:u w:val="single"/>
                      <w:lang w:val="en-US" w:eastAsia="zh-CN"/>
                    </w:rPr>
                    <w:t>废气排放口</w:t>
                  </w:r>
                  <w:r>
                    <w:rPr>
                      <w:rFonts w:hint="default" w:ascii="Times New Roman" w:hAnsi="Times New Roman" w:cs="Times New Roman"/>
                      <w:b/>
                      <w:bCs/>
                      <w:color w:val="auto"/>
                      <w:sz w:val="21"/>
                      <w:szCs w:val="21"/>
                      <w:u w:val="single"/>
                      <w:lang w:val="en-US" w:eastAsia="zh-CN"/>
                    </w:rPr>
                    <w:t>DA007</w:t>
                  </w:r>
                </w:p>
              </w:tc>
              <w:tc>
                <w:tcPr>
                  <w:tcW w:w="1868"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lang w:val="en-US" w:eastAsia="zh-CN"/>
                    </w:rPr>
                    <w:t>颗粒物</w:t>
                  </w:r>
                </w:p>
              </w:tc>
              <w:tc>
                <w:tcPr>
                  <w:tcW w:w="1159" w:type="dxa"/>
                  <w:vMerge w:val="restar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有组织</w:t>
                  </w:r>
                </w:p>
              </w:tc>
              <w:tc>
                <w:tcPr>
                  <w:tcW w:w="2636" w:type="dxa"/>
                  <w:vMerge w:val="restart"/>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lang w:val="en-GB" w:eastAsia="zh-CN"/>
                    </w:rPr>
                    <w:t>低氮燃烧</w:t>
                  </w:r>
                  <w:r>
                    <w:rPr>
                      <w:rFonts w:hint="eastAsia" w:ascii="Times New Roman" w:hAnsi="Times New Roman" w:cs="Times New Roman"/>
                      <w:b/>
                      <w:bCs/>
                      <w:color w:val="auto"/>
                      <w:sz w:val="21"/>
                      <w:szCs w:val="21"/>
                      <w:u w:val="single"/>
                      <w:lang w:val="en-US" w:eastAsia="zh-CN"/>
                    </w:rPr>
                    <w:t>+</w:t>
                  </w:r>
                  <w:r>
                    <w:rPr>
                      <w:rFonts w:hint="eastAsia" w:ascii="Times New Roman" w:hAnsi="Times New Roman" w:cs="Times New Roman"/>
                      <w:b/>
                      <w:bCs/>
                      <w:color w:val="auto"/>
                      <w:sz w:val="21"/>
                      <w:szCs w:val="21"/>
                      <w:u w:val="single"/>
                      <w:lang w:val="en-GB" w:eastAsia="zh-CN"/>
                    </w:rPr>
                    <w:t>烟气循环</w:t>
                  </w:r>
                  <w:r>
                    <w:rPr>
                      <w:rFonts w:hint="default" w:ascii="Times New Roman" w:hAnsi="Times New Roman" w:eastAsia="宋体" w:cs="Times New Roman"/>
                      <w:b/>
                      <w:bCs/>
                      <w:color w:val="auto"/>
                      <w:sz w:val="21"/>
                      <w:szCs w:val="21"/>
                      <w:u w:val="single"/>
                      <w:lang w:val="en-US" w:eastAsia="zh-CN"/>
                    </w:rPr>
                    <w:t>+</w:t>
                  </w:r>
                  <w:r>
                    <w:rPr>
                      <w:rFonts w:hint="default" w:ascii="Times New Roman" w:hAnsi="Times New Roman" w:cs="Times New Roman"/>
                      <w:b/>
                      <w:bCs/>
                      <w:color w:val="auto"/>
                      <w:sz w:val="21"/>
                      <w:szCs w:val="21"/>
                      <w:u w:val="single"/>
                      <w:lang w:val="en-US" w:eastAsia="zh-CN"/>
                    </w:rPr>
                    <w:t>20</w:t>
                  </w:r>
                  <w:r>
                    <w:rPr>
                      <w:rFonts w:hint="default" w:ascii="Times New Roman" w:hAnsi="Times New Roman" w:eastAsia="宋体" w:cs="Times New Roman"/>
                      <w:b/>
                      <w:bCs/>
                      <w:color w:val="auto"/>
                      <w:sz w:val="21"/>
                      <w:szCs w:val="21"/>
                      <w:u w:val="single"/>
                    </w:rPr>
                    <w:t>m高排气筒</w:t>
                  </w:r>
                  <w:r>
                    <w:rPr>
                      <w:rFonts w:hint="eastAsia" w:ascii="Times New Roman" w:hAnsi="Times New Roman" w:cs="Times New Roman"/>
                      <w:b/>
                      <w:bCs/>
                      <w:color w:val="auto"/>
                      <w:kern w:val="21"/>
                      <w:sz w:val="21"/>
                      <w:szCs w:val="21"/>
                      <w:highlight w:val="none"/>
                      <w:u w:val="single"/>
                      <w:lang w:eastAsia="zh-CN"/>
                    </w:rPr>
                    <w:t>，</w:t>
                  </w:r>
                  <w:r>
                    <w:rPr>
                      <w:rFonts w:hint="eastAsia" w:ascii="Times New Roman" w:hAnsi="Times New Roman" w:cs="Times New Roman"/>
                      <w:b/>
                      <w:bCs/>
                      <w:color w:val="auto"/>
                      <w:kern w:val="21"/>
                      <w:sz w:val="21"/>
                      <w:szCs w:val="21"/>
                      <w:highlight w:val="none"/>
                      <w:u w:val="singl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373" w:type="dxa"/>
                  <w:vMerge w:val="continue"/>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1868"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lang w:val="en-US" w:eastAsia="zh-CN"/>
                    </w:rPr>
                    <w:t>二氧化硫</w:t>
                  </w:r>
                </w:p>
              </w:tc>
              <w:tc>
                <w:tcPr>
                  <w:tcW w:w="1159"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2636"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3" w:type="dxa"/>
                  <w:vMerge w:val="continue"/>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1868"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lang w:val="en-US" w:eastAsia="zh-CN"/>
                    </w:rPr>
                    <w:t>氮氧化物</w:t>
                  </w:r>
                </w:p>
              </w:tc>
              <w:tc>
                <w:tcPr>
                  <w:tcW w:w="1159"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2636"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3" w:type="dxa"/>
                  <w:vMerge w:val="restar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DA008</w:t>
                  </w:r>
                  <w:r>
                    <w:rPr>
                      <w:rFonts w:hint="default" w:ascii="Times New Roman" w:hAnsi="Times New Roman" w:cs="Times New Roman"/>
                      <w:b/>
                      <w:bCs/>
                      <w:color w:val="auto"/>
                      <w:sz w:val="21"/>
                      <w:szCs w:val="21"/>
                      <w:u w:val="single"/>
                      <w:lang w:val="en-US" w:eastAsia="zh-CN"/>
                    </w:rPr>
                    <w:t>熔炼废气排放口</w:t>
                  </w:r>
                </w:p>
              </w:tc>
              <w:tc>
                <w:tcPr>
                  <w:tcW w:w="1868" w:type="dxa"/>
                  <w:vAlign w:val="center"/>
                </w:tcPr>
                <w:p>
                  <w:pPr>
                    <w:pStyle w:val="48"/>
                    <w:adjustRightInd/>
                    <w:snapToGrid/>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eastAsia="zh-CN"/>
                    </w:rPr>
                    <w:t>颗粒物</w:t>
                  </w:r>
                </w:p>
              </w:tc>
              <w:tc>
                <w:tcPr>
                  <w:tcW w:w="1159" w:type="dxa"/>
                  <w:vMerge w:val="restart"/>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default" w:ascii="Times New Roman" w:hAnsi="Times New Roman" w:eastAsia="宋体" w:cs="Times New Roman"/>
                      <w:b/>
                      <w:bCs/>
                      <w:color w:val="auto"/>
                      <w:sz w:val="21"/>
                      <w:szCs w:val="21"/>
                      <w:u w:val="single"/>
                      <w:vertAlign w:val="baseline"/>
                      <w:lang w:val="en-US" w:eastAsia="zh-CN"/>
                    </w:rPr>
                    <w:t>有组织</w:t>
                  </w:r>
                </w:p>
              </w:tc>
              <w:tc>
                <w:tcPr>
                  <w:tcW w:w="2636" w:type="dxa"/>
                  <w:vMerge w:val="restart"/>
                  <w:vAlign w:val="center"/>
                </w:tcPr>
                <w:p>
                  <w:pPr>
                    <w:jc w:val="center"/>
                    <w:rPr>
                      <w:rFonts w:hint="default" w:ascii="Times New Roman" w:hAnsi="Times New Roman" w:eastAsia="宋体" w:cs="Times New Roman"/>
                      <w:b/>
                      <w:bCs/>
                      <w:color w:val="auto"/>
                      <w:kern w:val="2"/>
                      <w:sz w:val="21"/>
                      <w:szCs w:val="21"/>
                      <w:u w:val="single"/>
                      <w:vertAlign w:val="baseline"/>
                      <w:lang w:val="en-US" w:eastAsia="zh-CN" w:bidi="ar-SA"/>
                    </w:rPr>
                  </w:pPr>
                  <w:r>
                    <w:rPr>
                      <w:rFonts w:hint="default" w:ascii="Times New Roman" w:hAnsi="Times New Roman" w:cs="Times New Roman"/>
                      <w:b/>
                      <w:bCs/>
                      <w:color w:val="auto"/>
                      <w:kern w:val="21"/>
                      <w:sz w:val="21"/>
                      <w:szCs w:val="21"/>
                      <w:highlight w:val="none"/>
                      <w:u w:val="single"/>
                    </w:rPr>
                    <w:t>袋式除尘器+</w:t>
                  </w:r>
                  <w:r>
                    <w:rPr>
                      <w:rFonts w:hint="default" w:ascii="Times New Roman" w:hAnsi="Times New Roman" w:cs="Times New Roman"/>
                      <w:b/>
                      <w:bCs/>
                      <w:color w:val="auto"/>
                      <w:kern w:val="21"/>
                      <w:sz w:val="21"/>
                      <w:szCs w:val="21"/>
                      <w:highlight w:val="none"/>
                      <w:u w:val="single"/>
                      <w:lang w:val="en-US" w:eastAsia="zh-CN"/>
                    </w:rPr>
                    <w:t>20</w:t>
                  </w:r>
                  <w:r>
                    <w:rPr>
                      <w:rFonts w:hint="default" w:ascii="Times New Roman" w:hAnsi="Times New Roman" w:cs="Times New Roman"/>
                      <w:b/>
                      <w:bCs/>
                      <w:color w:val="auto"/>
                      <w:kern w:val="21"/>
                      <w:sz w:val="21"/>
                      <w:szCs w:val="21"/>
                      <w:highlight w:val="none"/>
                      <w:u w:val="single"/>
                    </w:rPr>
                    <w:t>m排气筒</w:t>
                  </w:r>
                  <w:r>
                    <w:rPr>
                      <w:rFonts w:hint="eastAsia" w:ascii="Times New Roman" w:hAnsi="Times New Roman" w:cs="Times New Roman"/>
                      <w:b/>
                      <w:bCs/>
                      <w:color w:val="auto"/>
                      <w:kern w:val="21"/>
                      <w:sz w:val="21"/>
                      <w:szCs w:val="21"/>
                      <w:highlight w:val="none"/>
                      <w:u w:val="single"/>
                      <w:lang w:eastAsia="zh-CN"/>
                    </w:rPr>
                    <w:t>，</w:t>
                  </w:r>
                  <w:r>
                    <w:rPr>
                      <w:rFonts w:hint="eastAsia" w:ascii="Times New Roman" w:hAnsi="Times New Roman" w:cs="Times New Roman"/>
                      <w:b/>
                      <w:bCs/>
                      <w:color w:val="auto"/>
                      <w:kern w:val="21"/>
                      <w:sz w:val="21"/>
                      <w:szCs w:val="21"/>
                      <w:highlight w:val="none"/>
                      <w:u w:val="single"/>
                      <w:lang w:val="en-US" w:eastAsia="zh-CN"/>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3" w:type="dxa"/>
                  <w:vMerge w:val="continue"/>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1868" w:type="dxa"/>
                  <w:vAlign w:val="center"/>
                </w:tcPr>
                <w:p>
                  <w:pPr>
                    <w:pStyle w:val="48"/>
                    <w:adjustRightInd/>
                    <w:snapToGrid/>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eastAsia="zh-CN"/>
                    </w:rPr>
                    <w:t>二氧化硫</w:t>
                  </w:r>
                </w:p>
              </w:tc>
              <w:tc>
                <w:tcPr>
                  <w:tcW w:w="1159"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2636"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3" w:type="dxa"/>
                  <w:vMerge w:val="continue"/>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1868" w:type="dxa"/>
                  <w:vAlign w:val="center"/>
                </w:tcPr>
                <w:p>
                  <w:pPr>
                    <w:pStyle w:val="48"/>
                    <w:adjustRightInd/>
                    <w:snapToGrid/>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eastAsia="zh-CN"/>
                    </w:rPr>
                    <w:t>氮氧化物</w:t>
                  </w:r>
                </w:p>
              </w:tc>
              <w:tc>
                <w:tcPr>
                  <w:tcW w:w="1159"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2636"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3" w:type="dxa"/>
                  <w:vMerge w:val="continue"/>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1868" w:type="dxa"/>
                  <w:vAlign w:val="center"/>
                </w:tcPr>
                <w:p>
                  <w:pPr>
                    <w:pStyle w:val="48"/>
                    <w:adjustRightInd/>
                    <w:snapToGrid/>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eastAsia="zh-CN"/>
                    </w:rPr>
                    <w:t>铅及其化合物</w:t>
                  </w:r>
                </w:p>
              </w:tc>
              <w:tc>
                <w:tcPr>
                  <w:tcW w:w="1159"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c>
                <w:tcPr>
                  <w:tcW w:w="2636" w:type="dxa"/>
                  <w:vMerge w:val="continue"/>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73" w:type="dxa"/>
                  <w:vAlign w:val="center"/>
                </w:tcPr>
                <w:p>
                  <w:pPr>
                    <w:pStyle w:val="48"/>
                    <w:adjustRightInd/>
                    <w:snapToGrid/>
                    <w:spacing w:line="240" w:lineRule="auto"/>
                    <w:ind w:firstLine="0" w:firstLineChars="0"/>
                    <w:jc w:val="center"/>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DA0</w:t>
                  </w:r>
                  <w:r>
                    <w:rPr>
                      <w:rFonts w:hint="eastAsia" w:ascii="Times New Roman" w:cs="Times New Roman"/>
                      <w:b/>
                      <w:bCs/>
                      <w:color w:val="auto"/>
                      <w:sz w:val="21"/>
                      <w:szCs w:val="21"/>
                      <w:u w:val="single"/>
                      <w:lang w:val="en-US" w:eastAsia="zh-CN"/>
                    </w:rPr>
                    <w:t>09</w:t>
                  </w:r>
                  <w:r>
                    <w:rPr>
                      <w:rFonts w:hint="default" w:ascii="Times New Roman" w:hAnsi="Times New Roman" w:cs="Times New Roman"/>
                      <w:b/>
                      <w:bCs/>
                      <w:color w:val="auto"/>
                      <w:sz w:val="21"/>
                      <w:szCs w:val="21"/>
                      <w:u w:val="single"/>
                    </w:rPr>
                    <w:t>箔轧油雾净化出口</w:t>
                  </w:r>
                </w:p>
              </w:tc>
              <w:tc>
                <w:tcPr>
                  <w:tcW w:w="1868" w:type="dxa"/>
                  <w:vAlign w:val="center"/>
                </w:tcPr>
                <w:p>
                  <w:pPr>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eastAsia="zh-CN"/>
                    </w:rPr>
                    <w:t>非甲烷总烃</w:t>
                  </w:r>
                </w:p>
              </w:tc>
              <w:tc>
                <w:tcPr>
                  <w:tcW w:w="1159"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eastAsia="宋体" w:cs="Times New Roman"/>
                      <w:b/>
                      <w:bCs/>
                      <w:color w:val="auto"/>
                      <w:sz w:val="21"/>
                      <w:szCs w:val="21"/>
                      <w:u w:val="single"/>
                      <w:vertAlign w:val="baseline"/>
                      <w:lang w:val="en-US" w:eastAsia="zh-CN"/>
                    </w:rPr>
                    <w:t>有组织</w:t>
                  </w:r>
                </w:p>
              </w:tc>
              <w:tc>
                <w:tcPr>
                  <w:tcW w:w="2636" w:type="dxa"/>
                  <w:vAlign w:val="center"/>
                </w:tcPr>
                <w:p>
                  <w:pPr>
                    <w:jc w:val="center"/>
                    <w:rPr>
                      <w:rFonts w:hint="default" w:ascii="Times New Roman" w:hAnsi="Times New Roman" w:eastAsia="宋体"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rPr>
                    <w:t>油雾净化</w:t>
                  </w:r>
                  <w:r>
                    <w:rPr>
                      <w:rFonts w:hint="default" w:ascii="Times New Roman" w:hAnsi="Times New Roman" w:cs="Times New Roman"/>
                      <w:b/>
                      <w:bCs/>
                      <w:color w:val="auto"/>
                      <w:sz w:val="21"/>
                      <w:szCs w:val="21"/>
                      <w:u w:val="single"/>
                      <w:lang w:eastAsia="zh-CN"/>
                    </w:rPr>
                    <w:t>装置</w:t>
                  </w:r>
                  <w:r>
                    <w:rPr>
                      <w:rFonts w:hint="default" w:ascii="Times New Roman" w:hAnsi="Times New Roman" w:cs="Times New Roman"/>
                      <w:b/>
                      <w:bCs/>
                      <w:color w:val="auto"/>
                      <w:sz w:val="21"/>
                      <w:szCs w:val="21"/>
                      <w:u w:val="single"/>
                      <w:lang w:val="en-US" w:eastAsia="zh-CN"/>
                    </w:rPr>
                    <w:t>+20m高排气筒</w:t>
                  </w:r>
                  <w:r>
                    <w:rPr>
                      <w:rFonts w:hint="eastAsia" w:ascii="Times New Roman" w:hAnsi="Times New Roman" w:cs="Times New Roman"/>
                      <w:b/>
                      <w:bCs/>
                      <w:color w:val="auto"/>
                      <w:kern w:val="21"/>
                      <w:sz w:val="21"/>
                      <w:szCs w:val="21"/>
                      <w:highlight w:val="none"/>
                      <w:u w:val="single"/>
                      <w:lang w:eastAsia="zh-CN"/>
                    </w:rPr>
                    <w:t>，</w:t>
                  </w:r>
                  <w:r>
                    <w:rPr>
                      <w:rFonts w:hint="eastAsia" w:ascii="Times New Roman" w:hAnsi="Times New Roman" w:cs="Times New Roman"/>
                      <w:b/>
                      <w:bCs/>
                      <w:color w:val="auto"/>
                      <w:kern w:val="21"/>
                      <w:sz w:val="21"/>
                      <w:szCs w:val="21"/>
                      <w:highlight w:val="none"/>
                      <w:u w:val="single"/>
                      <w:lang w:val="en-US" w:eastAsia="zh-CN"/>
                    </w:rPr>
                    <w:t>新增</w:t>
                  </w:r>
                </w:p>
              </w:tc>
            </w:tr>
          </w:tbl>
          <w:p>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4"/>
                <w:szCs w:val="24"/>
                <w:u w:val="single"/>
                <w:vertAlign w:val="baseline"/>
                <w:lang w:val="en-US" w:eastAsia="zh-CN"/>
              </w:rPr>
            </w:pPr>
            <w:r>
              <w:rPr>
                <w:rFonts w:hint="eastAsia" w:ascii="Times New Roman" w:hAnsi="Times New Roman" w:cs="Times New Roman"/>
                <w:b/>
                <w:bCs/>
                <w:color w:val="auto"/>
                <w:sz w:val="24"/>
                <w:szCs w:val="24"/>
                <w:u w:val="single"/>
                <w:vertAlign w:val="baseline"/>
                <w:lang w:val="en-US" w:eastAsia="zh-CN"/>
              </w:rPr>
              <w:t>注：DA008、DA009为本次改建项目新增排气筒。</w:t>
            </w:r>
          </w:p>
          <w:p>
            <w:pPr>
              <w:pStyle w:val="47"/>
              <w:spacing w:line="360" w:lineRule="auto"/>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1.</w:t>
            </w:r>
            <w:r>
              <w:rPr>
                <w:rFonts w:hint="eastAsia" w:ascii="Times New Roman" w:hAnsi="Times New Roman" w:cs="Times New Roman"/>
                <w:b w:val="0"/>
                <w:bCs w:val="0"/>
                <w:color w:val="auto"/>
                <w:sz w:val="24"/>
                <w:szCs w:val="24"/>
                <w:u w:val="none"/>
                <w:lang w:val="en-US" w:eastAsia="zh-CN"/>
              </w:rPr>
              <w:t>3</w:t>
            </w:r>
            <w:r>
              <w:rPr>
                <w:rFonts w:hint="default" w:ascii="Times New Roman" w:hAnsi="Times New Roman" w:eastAsia="宋体" w:cs="Times New Roman"/>
                <w:b w:val="0"/>
                <w:bCs w:val="0"/>
                <w:color w:val="auto"/>
                <w:sz w:val="24"/>
                <w:szCs w:val="24"/>
                <w:u w:val="none"/>
              </w:rPr>
              <w:t>非正常工况</w:t>
            </w:r>
          </w:p>
          <w:p>
            <w:pPr>
              <w:pStyle w:val="47"/>
              <w:spacing w:line="360" w:lineRule="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2"/>
                <w:sz w:val="24"/>
                <w:szCs w:val="24"/>
                <w:u w:val="none"/>
              </w:rPr>
              <w:t>由于设备开停机或者治理措施故障会导致废气非正常排放，本项目非正常工况下废气排放量以产生量计，详见下表。非正常工况下排放的污染浓度较高，因此，本评价要求一旦出现非正常工况，企业应立即停产检修，待故障修复后方可继续生产，本项目非正常工况</w:t>
            </w:r>
            <w:r>
              <w:rPr>
                <w:rFonts w:hint="default" w:ascii="Times New Roman" w:hAnsi="Times New Roman" w:eastAsia="宋体" w:cs="Times New Roman"/>
                <w:color w:val="auto"/>
                <w:kern w:val="2"/>
                <w:sz w:val="24"/>
                <w:szCs w:val="24"/>
                <w:u w:val="none"/>
                <w:lang w:eastAsia="zh-CN"/>
              </w:rPr>
              <w:t>考虑为箔轧油雾净化</w:t>
            </w:r>
            <w:r>
              <w:rPr>
                <w:rFonts w:hint="eastAsia" w:ascii="Times New Roman" w:hAnsi="Times New Roman" w:cs="Times New Roman"/>
                <w:color w:val="auto"/>
                <w:kern w:val="2"/>
                <w:sz w:val="24"/>
                <w:szCs w:val="24"/>
                <w:u w:val="none"/>
                <w:lang w:val="en-US" w:eastAsia="zh-CN"/>
              </w:rPr>
              <w:t>装置</w:t>
            </w:r>
            <w:r>
              <w:rPr>
                <w:rFonts w:hint="default" w:ascii="Times New Roman" w:hAnsi="Times New Roman" w:eastAsia="宋体" w:cs="Times New Roman"/>
                <w:color w:val="auto"/>
                <w:kern w:val="2"/>
                <w:sz w:val="24"/>
                <w:szCs w:val="24"/>
                <w:u w:val="none"/>
                <w:lang w:eastAsia="zh-CN"/>
              </w:rPr>
              <w:t>发生处理故障，</w:t>
            </w:r>
            <w:r>
              <w:rPr>
                <w:rFonts w:hint="default" w:ascii="Times New Roman" w:hAnsi="Times New Roman" w:eastAsia="宋体" w:cs="Times New Roman"/>
                <w:color w:val="auto"/>
                <w:kern w:val="2"/>
                <w:sz w:val="24"/>
                <w:szCs w:val="24"/>
                <w:u w:val="none"/>
              </w:rPr>
              <w:t>污染源排放情况见</w:t>
            </w:r>
            <w:r>
              <w:rPr>
                <w:rFonts w:hint="default" w:ascii="Times New Roman" w:hAnsi="Times New Roman" w:eastAsia="宋体" w:cs="Times New Roman"/>
                <w:color w:val="auto"/>
                <w:kern w:val="2"/>
                <w:sz w:val="24"/>
                <w:szCs w:val="24"/>
                <w:u w:val="none"/>
                <w:lang w:eastAsia="zh-CN"/>
              </w:rPr>
              <w:t>下</w:t>
            </w:r>
            <w:r>
              <w:rPr>
                <w:rFonts w:hint="default" w:ascii="Times New Roman" w:hAnsi="Times New Roman" w:eastAsia="宋体" w:cs="Times New Roman"/>
                <w:color w:val="auto"/>
                <w:kern w:val="2"/>
                <w:sz w:val="24"/>
                <w:szCs w:val="24"/>
                <w:u w:val="none"/>
              </w:rPr>
              <w:t>表</w:t>
            </w:r>
            <w:r>
              <w:rPr>
                <w:rFonts w:hint="default" w:ascii="Times New Roman" w:hAnsi="Times New Roman" w:cs="Times New Roman"/>
                <w:color w:val="auto"/>
                <w:kern w:val="0"/>
                <w:sz w:val="21"/>
                <w:szCs w:val="21"/>
              </w:rPr>
              <w:t>。</w:t>
            </w:r>
          </w:p>
          <w:p>
            <w:pPr>
              <w:pStyle w:val="2"/>
              <w:spacing w:line="360" w:lineRule="auto"/>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sz w:val="24"/>
                <w:szCs w:val="32"/>
              </w:rPr>
              <w:t>非正常工况排放情况</w:t>
            </w:r>
          </w:p>
          <w:tbl>
            <w:tblPr>
              <w:tblStyle w:val="28"/>
              <w:tblW w:w="7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5"/>
              <w:gridCol w:w="1354"/>
              <w:gridCol w:w="1101"/>
              <w:gridCol w:w="869"/>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sz w:val="21"/>
                      <w:szCs w:val="21"/>
                      <w:highlight w:val="none"/>
                    </w:rPr>
                    <w:t>非正常排放源</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sz w:val="21"/>
                      <w:szCs w:val="21"/>
                      <w:highlight w:val="none"/>
                    </w:rPr>
                    <w:t>非正常排放原因</w:t>
                  </w:r>
                </w:p>
              </w:tc>
              <w:tc>
                <w:tcPr>
                  <w:tcW w:w="1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sz w:val="21"/>
                      <w:szCs w:val="21"/>
                      <w:highlight w:val="none"/>
                    </w:rPr>
                    <w:t>污染物</w:t>
                  </w:r>
                </w:p>
              </w:tc>
              <w:tc>
                <w:tcPr>
                  <w:tcW w:w="11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sz w:val="21"/>
                      <w:szCs w:val="21"/>
                      <w:highlight w:val="none"/>
                    </w:rPr>
                    <w:t>排放速率（kg/h）</w:t>
                  </w:r>
                </w:p>
              </w:tc>
              <w:tc>
                <w:tcPr>
                  <w:tcW w:w="8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持续</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sz w:val="21"/>
                      <w:szCs w:val="21"/>
                      <w:highlight w:val="none"/>
                    </w:rPr>
                    <w:t>时间</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color w:val="auto"/>
                      <w:sz w:val="21"/>
                      <w:szCs w:val="21"/>
                      <w:highlight w:val="none"/>
                    </w:rPr>
                    <w:t>年发生频次/次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default" w:ascii="Times New Roman" w:hAnsi="Times New Roman" w:cs="Times New Roman"/>
                      <w:b w:val="0"/>
                      <w:bCs w:val="0"/>
                      <w:color w:val="auto"/>
                      <w:sz w:val="21"/>
                      <w:szCs w:val="21"/>
                      <w:u w:val="none"/>
                    </w:rPr>
                    <w:t>箔轧油雾净化出口</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vertAlign w:val="baseline"/>
                      <w:lang w:val="en-US"/>
                    </w:rPr>
                  </w:pPr>
                  <w:r>
                    <w:rPr>
                      <w:rFonts w:hint="default" w:ascii="Times New Roman" w:hAnsi="Times New Roman" w:cs="Times New Roman"/>
                      <w:color w:val="auto"/>
                      <w:kern w:val="2"/>
                      <w:sz w:val="21"/>
                      <w:szCs w:val="21"/>
                      <w:highlight w:val="none"/>
                      <w:vertAlign w:val="baseline"/>
                      <w:lang w:val="en-US" w:eastAsia="zh-CN" w:bidi="ar-SA"/>
                    </w:rPr>
                    <w:t>设备运转异常，去除效率</w:t>
                  </w:r>
                  <w:r>
                    <w:rPr>
                      <w:rFonts w:hint="eastAsia" w:ascii="Times New Roman" w:hAnsi="Times New Roman" w:cs="Times New Roman"/>
                      <w:color w:val="auto"/>
                      <w:kern w:val="2"/>
                      <w:sz w:val="21"/>
                      <w:szCs w:val="21"/>
                      <w:highlight w:val="none"/>
                      <w:vertAlign w:val="baseline"/>
                      <w:lang w:val="en-US" w:eastAsia="zh-CN" w:bidi="ar-SA"/>
                    </w:rPr>
                    <w:t>为0</w:t>
                  </w:r>
                </w:p>
              </w:tc>
              <w:tc>
                <w:tcPr>
                  <w:tcW w:w="1354" w:type="dxa"/>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snapToGrid w:val="0"/>
                      <w:color w:val="auto"/>
                      <w:lang w:val="en-US" w:eastAsia="zh-CN"/>
                    </w:rPr>
                    <w:t>非甲烷总烃</w:t>
                  </w:r>
                </w:p>
              </w:tc>
              <w:tc>
                <w:tcPr>
                  <w:tcW w:w="1101" w:type="dxa"/>
                  <w:noWrap w:val="0"/>
                  <w:vAlign w:val="center"/>
                </w:tcPr>
                <w:p>
                  <w:pPr>
                    <w:widowControl/>
                    <w:spacing w:line="240" w:lineRule="auto"/>
                    <w:jc w:val="center"/>
                    <w:textAlignment w:val="center"/>
                    <w:rPr>
                      <w:rFonts w:hint="default" w:ascii="Times New Roman" w:hAnsi="Times New Roman" w:eastAsia="宋体" w:cs="Times New Roman"/>
                      <w:bCs/>
                      <w:color w:val="auto"/>
                      <w:kern w:val="2"/>
                      <w:sz w:val="21"/>
                      <w:szCs w:val="21"/>
                      <w:highlight w:val="none"/>
                      <w:vertAlign w:val="baseline"/>
                      <w:lang w:val="en-US" w:eastAsia="zh-CN" w:bidi="ar-SA"/>
                    </w:rPr>
                  </w:pPr>
                  <w:r>
                    <w:rPr>
                      <w:rFonts w:hint="eastAsia" w:ascii="Times New Roman" w:hAnsi="Times New Roman" w:cs="Times New Roman"/>
                      <w:b w:val="0"/>
                      <w:bCs w:val="0"/>
                      <w:color w:val="auto"/>
                      <w:sz w:val="21"/>
                      <w:szCs w:val="21"/>
                      <w:lang w:val="en-US" w:eastAsia="zh-CN"/>
                    </w:rPr>
                    <w:t>0.113</w:t>
                  </w:r>
                </w:p>
              </w:tc>
              <w:tc>
                <w:tcPr>
                  <w:tcW w:w="869" w:type="dxa"/>
                  <w:noWrap w:val="0"/>
                  <w:vAlign w:val="center"/>
                </w:tcPr>
                <w:p>
                  <w:pPr>
                    <w:widowControl/>
                    <w:spacing w:line="240" w:lineRule="auto"/>
                    <w:jc w:val="center"/>
                    <w:textAlignment w:val="center"/>
                    <w:rPr>
                      <w:rFonts w:hint="default" w:ascii="Times New Roman" w:hAnsi="Times New Roman" w:eastAsia="宋体" w:cs="Times New Roman"/>
                      <w:bCs/>
                      <w:color w:val="auto"/>
                      <w:sz w:val="21"/>
                      <w:szCs w:val="21"/>
                      <w:highlight w:val="none"/>
                      <w:vertAlign w:val="baseline"/>
                      <w:lang w:val="en-US" w:eastAsia="zh-CN"/>
                    </w:rPr>
                  </w:pPr>
                  <w:r>
                    <w:rPr>
                      <w:rFonts w:hint="eastAsia" w:ascii="Times New Roman" w:hAnsi="Times New Roman" w:cs="Times New Roman"/>
                      <w:color w:val="auto"/>
                      <w:kern w:val="0"/>
                      <w:szCs w:val="21"/>
                      <w:lang w:val="en-US" w:eastAsia="zh-CN"/>
                    </w:rPr>
                    <w:t>30min</w:t>
                  </w:r>
                </w:p>
              </w:tc>
              <w:tc>
                <w:tcPr>
                  <w:tcW w:w="1216" w:type="dxa"/>
                  <w:noWrap w:val="0"/>
                  <w:vAlign w:val="center"/>
                </w:tcPr>
                <w:p>
                  <w:pPr>
                    <w:widowControl/>
                    <w:spacing w:line="240" w:lineRule="auto"/>
                    <w:jc w:val="center"/>
                    <w:textAlignment w:val="center"/>
                    <w:rPr>
                      <w:rFonts w:hint="default" w:ascii="Times New Roman" w:hAnsi="Times New Roman" w:eastAsia="宋体" w:cs="Times New Roman"/>
                      <w:bCs/>
                      <w:color w:val="auto"/>
                      <w:sz w:val="21"/>
                      <w:szCs w:val="21"/>
                      <w:highlight w:val="none"/>
                      <w:vertAlign w:val="baseline"/>
                      <w:lang w:val="en-US" w:eastAsia="zh-CN"/>
                    </w:rPr>
                  </w:pPr>
                  <w:r>
                    <w:rPr>
                      <w:rFonts w:hint="default" w:ascii="Times New Roman" w:hAnsi="Times New Roman" w:cs="Times New Roman"/>
                      <w:color w:val="auto"/>
                      <w:kern w:val="0"/>
                      <w:szCs w:val="21"/>
                      <w:lang w:val="en-US" w:eastAsia="zh-CN"/>
                    </w:rPr>
                    <w:t>1</w:t>
                  </w:r>
                </w:p>
              </w:tc>
            </w:tr>
          </w:tbl>
          <w:p>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1.4</w:t>
            </w:r>
            <w:r>
              <w:rPr>
                <w:rFonts w:hint="default" w:ascii="Times New Roman" w:hAnsi="Times New Roman" w:eastAsia="宋体" w:cs="Times New Roman"/>
                <w:color w:val="auto"/>
                <w:sz w:val="24"/>
                <w:szCs w:val="24"/>
                <w:vertAlign w:val="baseline"/>
                <w:lang w:val="en-US" w:eastAsia="zh-CN"/>
              </w:rPr>
              <w:t>项目废气监测计划见下表。</w:t>
            </w:r>
          </w:p>
          <w:p>
            <w:pPr>
              <w:pStyle w:val="2"/>
              <w:bidi w:val="0"/>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本次</w:t>
            </w:r>
            <w:r>
              <w:rPr>
                <w:rFonts w:hint="eastAsia" w:ascii="Times New Roman" w:hAnsi="Times New Roman" w:cs="Times New Roman"/>
                <w:color w:val="auto"/>
                <w:sz w:val="24"/>
                <w:szCs w:val="24"/>
                <w:lang w:val="en-US" w:eastAsia="zh-CN"/>
              </w:rPr>
              <w:t>改建</w:t>
            </w:r>
            <w:r>
              <w:rPr>
                <w:rFonts w:hint="default" w:ascii="Times New Roman" w:hAnsi="Times New Roman" w:cs="Times New Roman"/>
                <w:color w:val="auto"/>
                <w:sz w:val="24"/>
                <w:szCs w:val="24"/>
                <w:lang w:val="en-US" w:eastAsia="zh-CN"/>
              </w:rPr>
              <w:t>废气监测计划内容一览表</w:t>
            </w:r>
          </w:p>
          <w:tbl>
            <w:tblPr>
              <w:tblStyle w:val="28"/>
              <w:tblW w:w="7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1479"/>
              <w:gridCol w:w="971"/>
              <w:gridCol w:w="861"/>
              <w:gridCol w:w="943"/>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gridSpan w:val="2"/>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w:t>
                  </w:r>
                </w:p>
              </w:tc>
              <w:tc>
                <w:tcPr>
                  <w:tcW w:w="1479"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监测项目</w:t>
                  </w:r>
                </w:p>
              </w:tc>
              <w:tc>
                <w:tcPr>
                  <w:tcW w:w="971"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监测因子</w:t>
                  </w:r>
                </w:p>
              </w:tc>
              <w:tc>
                <w:tcPr>
                  <w:tcW w:w="861"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取样位置</w:t>
                  </w:r>
                </w:p>
              </w:tc>
              <w:tc>
                <w:tcPr>
                  <w:tcW w:w="943"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监测频率</w:t>
                  </w:r>
                </w:p>
              </w:tc>
              <w:tc>
                <w:tcPr>
                  <w:tcW w:w="2846"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426" w:type="dxa"/>
                  <w:vMerge w:val="restart"/>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废气</w:t>
                  </w:r>
                </w:p>
              </w:tc>
              <w:tc>
                <w:tcPr>
                  <w:tcW w:w="426" w:type="dxa"/>
                  <w:vMerge w:val="restart"/>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点源</w:t>
                  </w:r>
                </w:p>
              </w:tc>
              <w:tc>
                <w:tcPr>
                  <w:tcW w:w="1479" w:type="dxa"/>
                  <w:noWrap w:val="0"/>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b w:val="0"/>
                      <w:bCs w:val="0"/>
                      <w:color w:val="auto"/>
                      <w:sz w:val="21"/>
                      <w:szCs w:val="21"/>
                      <w:u w:val="none"/>
                      <w:lang w:val="en-US" w:eastAsia="zh-CN"/>
                    </w:rPr>
                    <w:t>熔炼废气排放口</w:t>
                  </w:r>
                </w:p>
              </w:tc>
              <w:tc>
                <w:tcPr>
                  <w:tcW w:w="971"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颗粒物、二氧化硫、氮氧化物、</w:t>
                  </w:r>
                  <w:r>
                    <w:rPr>
                      <w:rFonts w:hint="default" w:ascii="Times New Roman" w:hAnsi="Times New Roman" w:cs="Times New Roman"/>
                      <w:b w:val="0"/>
                      <w:bCs w:val="0"/>
                      <w:color w:val="auto"/>
                      <w:sz w:val="21"/>
                      <w:szCs w:val="21"/>
                      <w:u w:val="none"/>
                      <w:lang w:eastAsia="zh-CN"/>
                    </w:rPr>
                    <w:t>铅及其化合物</w:t>
                  </w:r>
                </w:p>
              </w:tc>
              <w:tc>
                <w:tcPr>
                  <w:tcW w:w="861"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排气筒出口</w:t>
                  </w:r>
                </w:p>
              </w:tc>
              <w:tc>
                <w:tcPr>
                  <w:tcW w:w="943"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烟尘、二氧化硫、铅及其化合物：</w:t>
                  </w:r>
                  <w:r>
                    <w:rPr>
                      <w:rFonts w:hint="default" w:ascii="Times New Roman" w:hAnsi="Times New Roman" w:eastAsia="宋体" w:cs="Times New Roman"/>
                      <w:color w:val="auto"/>
                      <w:sz w:val="21"/>
                      <w:szCs w:val="21"/>
                      <w:vertAlign w:val="baseline"/>
                      <w:lang w:val="en-US" w:eastAsia="zh-CN"/>
                    </w:rPr>
                    <w:t>1次/年</w:t>
                  </w:r>
                  <w:r>
                    <w:rPr>
                      <w:rFonts w:hint="default" w:ascii="Times New Roman" w:hAnsi="Times New Roman" w:cs="Times New Roman"/>
                      <w:color w:val="auto"/>
                      <w:sz w:val="21"/>
                      <w:szCs w:val="21"/>
                      <w:vertAlign w:val="baseline"/>
                      <w:lang w:val="en-US" w:eastAsia="zh-CN"/>
                    </w:rPr>
                    <w:t>；氮氧化物：1次/月</w:t>
                  </w:r>
                </w:p>
              </w:tc>
              <w:tc>
                <w:tcPr>
                  <w:tcW w:w="2846" w:type="dxa"/>
                  <w:noWrap w:val="0"/>
                  <w:vAlign w:val="center"/>
                </w:tcPr>
                <w:p>
                  <w:pPr>
                    <w:autoSpaceDE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b w:val="0"/>
                      <w:bCs w:val="0"/>
                      <w:color w:val="auto"/>
                      <w:sz w:val="21"/>
                      <w:szCs w:val="21"/>
                      <w:u w:val="none"/>
                    </w:rPr>
                    <w:t>满足《河南省工业炉窑大气污染物排放标准》（DB41/1066-2020）表1标准限值要求（</w:t>
                  </w:r>
                  <w:r>
                    <w:rPr>
                      <w:rFonts w:hint="default" w:ascii="Times New Roman" w:hAnsi="Times New Roman" w:cs="Times New Roman"/>
                      <w:b w:val="0"/>
                      <w:bCs w:val="0"/>
                      <w:color w:val="auto"/>
                      <w:sz w:val="21"/>
                      <w:szCs w:val="21"/>
                      <w:highlight w:val="none"/>
                      <w:u w:val="none"/>
                    </w:rPr>
                    <w:t>颗粒物≤</w:t>
                  </w:r>
                  <w:r>
                    <w:rPr>
                      <w:rFonts w:hint="eastAsia" w:ascii="Times New Roman" w:hAnsi="Times New Roman" w:cs="Times New Roman"/>
                      <w:b w:val="0"/>
                      <w:bCs w:val="0"/>
                      <w:color w:val="auto"/>
                      <w:sz w:val="21"/>
                      <w:szCs w:val="21"/>
                      <w:highlight w:val="none"/>
                      <w:u w:val="none"/>
                      <w:lang w:val="en-US" w:eastAsia="zh-CN"/>
                    </w:rPr>
                    <w:t>10</w:t>
                  </w:r>
                  <w:r>
                    <w:rPr>
                      <w:rFonts w:hint="default" w:ascii="Times New Roman" w:hAnsi="Times New Roman" w:cs="Times New Roman"/>
                      <w:b w:val="0"/>
                      <w:bCs w:val="0"/>
                      <w:color w:val="auto"/>
                      <w:sz w:val="21"/>
                      <w:szCs w:val="21"/>
                      <w:highlight w:val="none"/>
                      <w:u w:val="none"/>
                    </w:rPr>
                    <w:t>mg/m</w:t>
                  </w:r>
                  <w:r>
                    <w:rPr>
                      <w:rFonts w:hint="default" w:ascii="Times New Roman" w:hAnsi="Times New Roman" w:cs="Times New Roman"/>
                      <w:b w:val="0"/>
                      <w:bCs w:val="0"/>
                      <w:color w:val="auto"/>
                      <w:sz w:val="21"/>
                      <w:szCs w:val="21"/>
                      <w:highlight w:val="none"/>
                      <w:u w:val="none"/>
                      <w:vertAlign w:val="superscript"/>
                    </w:rPr>
                    <w:t>3</w:t>
                  </w:r>
                  <w:r>
                    <w:rPr>
                      <w:rFonts w:hint="default" w:ascii="Times New Roman" w:hAnsi="Times New Roman" w:cs="Times New Roman"/>
                      <w:b w:val="0"/>
                      <w:bCs w:val="0"/>
                      <w:color w:val="auto"/>
                      <w:sz w:val="21"/>
                      <w:szCs w:val="21"/>
                      <w:highlight w:val="none"/>
                      <w:u w:val="none"/>
                    </w:rPr>
                    <w:t>、二氧化硫≤</w:t>
                  </w:r>
                  <w:r>
                    <w:rPr>
                      <w:rFonts w:hint="eastAsia" w:ascii="Times New Roman" w:hAnsi="Times New Roman" w:cs="Times New Roman"/>
                      <w:b w:val="0"/>
                      <w:bCs w:val="0"/>
                      <w:color w:val="auto"/>
                      <w:sz w:val="21"/>
                      <w:szCs w:val="21"/>
                      <w:highlight w:val="none"/>
                      <w:u w:val="none"/>
                      <w:lang w:val="en-US" w:eastAsia="zh-CN"/>
                    </w:rPr>
                    <w:t>5</w:t>
                  </w:r>
                  <w:r>
                    <w:rPr>
                      <w:rFonts w:hint="default" w:ascii="Times New Roman" w:hAnsi="Times New Roman" w:cs="Times New Roman"/>
                      <w:b w:val="0"/>
                      <w:bCs w:val="0"/>
                      <w:color w:val="auto"/>
                      <w:sz w:val="21"/>
                      <w:szCs w:val="21"/>
                      <w:highlight w:val="none"/>
                      <w:u w:val="none"/>
                    </w:rPr>
                    <w:t>0mg/m</w:t>
                  </w:r>
                  <w:r>
                    <w:rPr>
                      <w:rFonts w:hint="default" w:ascii="Times New Roman" w:hAnsi="Times New Roman" w:cs="Times New Roman"/>
                      <w:b w:val="0"/>
                      <w:bCs w:val="0"/>
                      <w:color w:val="auto"/>
                      <w:sz w:val="21"/>
                      <w:szCs w:val="21"/>
                      <w:highlight w:val="none"/>
                      <w:u w:val="none"/>
                      <w:vertAlign w:val="superscript"/>
                    </w:rPr>
                    <w:t>3</w:t>
                  </w:r>
                  <w:r>
                    <w:rPr>
                      <w:rFonts w:hint="default" w:ascii="Times New Roman" w:hAnsi="Times New Roman" w:cs="Times New Roman"/>
                      <w:b w:val="0"/>
                      <w:bCs w:val="0"/>
                      <w:color w:val="auto"/>
                      <w:sz w:val="21"/>
                      <w:szCs w:val="21"/>
                      <w:highlight w:val="none"/>
                      <w:u w:val="none"/>
                    </w:rPr>
                    <w:t>、氮氧化物≤300mg/m</w:t>
                  </w:r>
                  <w:r>
                    <w:rPr>
                      <w:rFonts w:hint="default" w:ascii="Times New Roman" w:hAnsi="Times New Roman" w:cs="Times New Roman"/>
                      <w:b w:val="0"/>
                      <w:bCs w:val="0"/>
                      <w:color w:val="auto"/>
                      <w:sz w:val="21"/>
                      <w:szCs w:val="21"/>
                      <w:highlight w:val="none"/>
                      <w:u w:val="none"/>
                      <w:vertAlign w:val="superscript"/>
                    </w:rPr>
                    <w:t>3</w:t>
                  </w:r>
                  <w:r>
                    <w:rPr>
                      <w:rFonts w:hint="default" w:ascii="Times New Roman" w:hAnsi="Times New Roman" w:cs="Times New Roman"/>
                      <w:b w:val="0"/>
                      <w:bCs w:val="0"/>
                      <w:color w:val="auto"/>
                      <w:sz w:val="21"/>
                      <w:szCs w:val="21"/>
                      <w:highlight w:val="none"/>
                      <w:u w:val="none"/>
                      <w:vertAlign w:val="baseline"/>
                      <w:lang w:eastAsia="zh-CN"/>
                    </w:rPr>
                    <w:t>、铅及其化合物</w:t>
                  </w:r>
                  <w:r>
                    <w:rPr>
                      <w:rFonts w:hint="default" w:ascii="Times New Roman" w:hAnsi="Times New Roman" w:cs="Times New Roman"/>
                      <w:b w:val="0"/>
                      <w:bCs w:val="0"/>
                      <w:color w:val="auto"/>
                      <w:sz w:val="21"/>
                      <w:szCs w:val="21"/>
                      <w:highlight w:val="none"/>
                      <w:u w:val="none"/>
                    </w:rPr>
                    <w:t>≤</w:t>
                  </w:r>
                  <w:r>
                    <w:rPr>
                      <w:rFonts w:hint="default" w:ascii="Times New Roman" w:hAnsi="Times New Roman" w:cs="Times New Roman"/>
                      <w:b w:val="0"/>
                      <w:bCs w:val="0"/>
                      <w:color w:val="auto"/>
                      <w:sz w:val="21"/>
                      <w:szCs w:val="21"/>
                      <w:highlight w:val="none"/>
                      <w:u w:val="none"/>
                      <w:lang w:val="en-US" w:eastAsia="zh-CN"/>
                    </w:rPr>
                    <w:t>0.7</w:t>
                  </w:r>
                  <w:r>
                    <w:rPr>
                      <w:rFonts w:hint="default" w:ascii="Times New Roman" w:hAnsi="Times New Roman" w:cs="Times New Roman"/>
                      <w:b w:val="0"/>
                      <w:bCs w:val="0"/>
                      <w:color w:val="auto"/>
                      <w:sz w:val="21"/>
                      <w:szCs w:val="21"/>
                      <w:highlight w:val="none"/>
                      <w:u w:val="none"/>
                    </w:rPr>
                    <w:t>mg/m</w:t>
                  </w:r>
                  <w:r>
                    <w:rPr>
                      <w:rFonts w:hint="default" w:ascii="Times New Roman" w:hAnsi="Times New Roman" w:cs="Times New Roman"/>
                      <w:b w:val="0"/>
                      <w:bCs w:val="0"/>
                      <w:color w:val="auto"/>
                      <w:sz w:val="21"/>
                      <w:szCs w:val="21"/>
                      <w:highlight w:val="none"/>
                      <w:u w:val="none"/>
                      <w:vertAlign w:val="superscript"/>
                    </w:rPr>
                    <w:t>3</w:t>
                  </w:r>
                  <w:r>
                    <w:rPr>
                      <w:rFonts w:hint="default" w:ascii="Times New Roman" w:hAnsi="Times New Roman" w:cs="Times New Roman"/>
                      <w:b w:val="0"/>
                      <w:bCs w:val="0"/>
                      <w:color w:val="auto"/>
                      <w:sz w:val="21"/>
                      <w:szCs w:val="21"/>
                      <w:u w:val="none"/>
                    </w:rPr>
                    <w:t>）</w:t>
                  </w:r>
                  <w:r>
                    <w:rPr>
                      <w:rFonts w:hint="default" w:ascii="Times New Roman" w:hAnsi="Times New Roman" w:cs="Times New Roman"/>
                      <w:b w:val="0"/>
                      <w:bCs w:val="0"/>
                      <w:color w:val="auto"/>
                      <w:sz w:val="21"/>
                      <w:szCs w:val="21"/>
                      <w:u w:val="none"/>
                      <w:lang w:eastAsia="zh-CN"/>
                    </w:rPr>
                    <w:t>同时满足</w:t>
                  </w:r>
                  <w:r>
                    <w:rPr>
                      <w:rFonts w:hint="default" w:ascii="Times New Roman" w:hAnsi="Times New Roman" w:cs="Times New Roman"/>
                      <w:color w:val="auto"/>
                      <w:sz w:val="21"/>
                      <w:szCs w:val="21"/>
                      <w:lang w:val="en-US" w:eastAsia="zh-CN"/>
                    </w:rPr>
                    <w:t>《重污染天气重点行业应急减排措施制定技术指南(2020年修订版》 第十四、有色金属压延行业A级标准限值</w:t>
                  </w:r>
                  <w:r>
                    <w:rPr>
                      <w:rFonts w:hint="default" w:ascii="Times New Roman" w:hAnsi="Times New Roman" w:cs="Times New Roman"/>
                      <w:b w:val="0"/>
                      <w:bCs w:val="0"/>
                      <w:color w:val="auto"/>
                      <w:sz w:val="21"/>
                      <w:szCs w:val="21"/>
                      <w:u w:val="none"/>
                    </w:rPr>
                    <w:t>（颗粒物≤</w:t>
                  </w:r>
                  <w:r>
                    <w:rPr>
                      <w:rFonts w:hint="default" w:ascii="Times New Roman" w:hAnsi="Times New Roman" w:cs="Times New Roman"/>
                      <w:b w:val="0"/>
                      <w:bCs w:val="0"/>
                      <w:color w:val="auto"/>
                      <w:sz w:val="21"/>
                      <w:szCs w:val="21"/>
                      <w:u w:val="none"/>
                      <w:lang w:val="en-US" w:eastAsia="zh-CN"/>
                    </w:rPr>
                    <w:t>1</w:t>
                  </w:r>
                  <w:r>
                    <w:rPr>
                      <w:rFonts w:hint="default" w:ascii="Times New Roman" w:hAnsi="Times New Roman" w:cs="Times New Roman"/>
                      <w:b w:val="0"/>
                      <w:bCs w:val="0"/>
                      <w:color w:val="auto"/>
                      <w:sz w:val="21"/>
                      <w:szCs w:val="21"/>
                      <w:u w:val="none"/>
                    </w:rPr>
                    <w:t>0mg/m</w:t>
                  </w:r>
                  <w:r>
                    <w:rPr>
                      <w:rFonts w:hint="default" w:ascii="Times New Roman" w:hAnsi="Times New Roman" w:cs="Times New Roman"/>
                      <w:b w:val="0"/>
                      <w:bCs w:val="0"/>
                      <w:color w:val="auto"/>
                      <w:sz w:val="21"/>
                      <w:szCs w:val="21"/>
                      <w:u w:val="none"/>
                      <w:vertAlign w:val="superscript"/>
                    </w:rPr>
                    <w:t>3</w:t>
                  </w:r>
                  <w:r>
                    <w:rPr>
                      <w:rFonts w:hint="default" w:ascii="Times New Roman" w:hAnsi="Times New Roman" w:cs="Times New Roman"/>
                      <w:b w:val="0"/>
                      <w:bCs w:val="0"/>
                      <w:color w:val="auto"/>
                      <w:sz w:val="21"/>
                      <w:szCs w:val="21"/>
                      <w:u w:val="none"/>
                    </w:rPr>
                    <w:t>、二氧化硫≤</w:t>
                  </w:r>
                  <w:r>
                    <w:rPr>
                      <w:rFonts w:hint="default" w:ascii="Times New Roman" w:hAnsi="Times New Roman" w:cs="Times New Roman"/>
                      <w:b w:val="0"/>
                      <w:bCs w:val="0"/>
                      <w:color w:val="auto"/>
                      <w:sz w:val="21"/>
                      <w:szCs w:val="21"/>
                      <w:u w:val="none"/>
                      <w:lang w:val="en-US" w:eastAsia="zh-CN"/>
                    </w:rPr>
                    <w:t>5</w:t>
                  </w:r>
                  <w:r>
                    <w:rPr>
                      <w:rFonts w:hint="default" w:ascii="Times New Roman" w:hAnsi="Times New Roman" w:cs="Times New Roman"/>
                      <w:b w:val="0"/>
                      <w:bCs w:val="0"/>
                      <w:color w:val="auto"/>
                      <w:sz w:val="21"/>
                      <w:szCs w:val="21"/>
                      <w:u w:val="none"/>
                    </w:rPr>
                    <w:t>0mg/m</w:t>
                  </w:r>
                  <w:r>
                    <w:rPr>
                      <w:rFonts w:hint="default" w:ascii="Times New Roman" w:hAnsi="Times New Roman" w:cs="Times New Roman"/>
                      <w:b w:val="0"/>
                      <w:bCs w:val="0"/>
                      <w:color w:val="auto"/>
                      <w:sz w:val="21"/>
                      <w:szCs w:val="21"/>
                      <w:u w:val="none"/>
                      <w:vertAlign w:val="superscript"/>
                    </w:rPr>
                    <w:t>3</w:t>
                  </w:r>
                  <w:r>
                    <w:rPr>
                      <w:rFonts w:hint="default" w:ascii="Times New Roman" w:hAnsi="Times New Roman" w:cs="Times New Roman"/>
                      <w:b w:val="0"/>
                      <w:bCs w:val="0"/>
                      <w:color w:val="auto"/>
                      <w:sz w:val="21"/>
                      <w:szCs w:val="21"/>
                      <w:u w:val="none"/>
                    </w:rPr>
                    <w:t>、氮氧化物≤</w:t>
                  </w:r>
                  <w:r>
                    <w:rPr>
                      <w:rFonts w:hint="default" w:ascii="Times New Roman" w:hAnsi="Times New Roman" w:cs="Times New Roman"/>
                      <w:b w:val="0"/>
                      <w:bCs w:val="0"/>
                      <w:color w:val="auto"/>
                      <w:sz w:val="21"/>
                      <w:szCs w:val="21"/>
                      <w:u w:val="none"/>
                      <w:lang w:val="en-US" w:eastAsia="zh-CN"/>
                    </w:rPr>
                    <w:t>5</w:t>
                  </w:r>
                  <w:r>
                    <w:rPr>
                      <w:rFonts w:hint="default" w:ascii="Times New Roman" w:hAnsi="Times New Roman" w:cs="Times New Roman"/>
                      <w:b w:val="0"/>
                      <w:bCs w:val="0"/>
                      <w:color w:val="auto"/>
                      <w:sz w:val="21"/>
                      <w:szCs w:val="21"/>
                      <w:u w:val="none"/>
                    </w:rPr>
                    <w:t>0mg/m</w:t>
                  </w:r>
                  <w:r>
                    <w:rPr>
                      <w:rFonts w:hint="default" w:ascii="Times New Roman" w:hAnsi="Times New Roman" w:cs="Times New Roman"/>
                      <w:b w:val="0"/>
                      <w:bCs w:val="0"/>
                      <w:color w:val="auto"/>
                      <w:sz w:val="21"/>
                      <w:szCs w:val="21"/>
                      <w:u w:val="none"/>
                      <w:vertAlign w:val="superscript"/>
                    </w:rPr>
                    <w:t>3</w:t>
                  </w:r>
                  <w:r>
                    <w:rPr>
                      <w:rFonts w:hint="default" w:ascii="Times New Roman" w:hAnsi="Times New Roman" w:cs="Times New Roman"/>
                      <w:b w:val="0"/>
                      <w:bCs w:val="0"/>
                      <w:color w:val="auto"/>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2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42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1479" w:type="dxa"/>
                  <w:noWrap w:val="0"/>
                  <w:vAlign w:val="center"/>
                </w:tcPr>
                <w:p>
                  <w:pPr>
                    <w:pStyle w:val="48"/>
                    <w:adjustRightInd/>
                    <w:snapToGrid/>
                    <w:spacing w:line="240" w:lineRule="auto"/>
                    <w:ind w:firstLine="0" w:firstLineChars="0"/>
                    <w:jc w:val="center"/>
                    <w:rPr>
                      <w:rFonts w:hint="default" w:ascii="Times New Roman" w:hAnsi="Times New Roman" w:cs="Times New Roman"/>
                      <w:b w:val="0"/>
                      <w:bCs w:val="0"/>
                      <w:color w:val="auto"/>
                      <w:sz w:val="21"/>
                      <w:szCs w:val="21"/>
                      <w:u w:val="none"/>
                      <w:lang w:val="en-US" w:eastAsia="zh-CN"/>
                    </w:rPr>
                  </w:pPr>
                  <w:r>
                    <w:rPr>
                      <w:rFonts w:hint="eastAsia" w:ascii="Times New Roman" w:cs="Times New Roman"/>
                      <w:b w:val="0"/>
                      <w:bCs w:val="0"/>
                      <w:color w:val="auto"/>
                      <w:sz w:val="21"/>
                      <w:szCs w:val="21"/>
                      <w:u w:val="none"/>
                      <w:lang w:val="en-US" w:eastAsia="zh-CN"/>
                    </w:rPr>
                    <w:t>箔扎</w:t>
                  </w:r>
                  <w:r>
                    <w:rPr>
                      <w:rFonts w:hint="default" w:ascii="Times New Roman" w:hAnsi="Times New Roman" w:cs="Times New Roman"/>
                      <w:b w:val="0"/>
                      <w:bCs w:val="0"/>
                      <w:color w:val="auto"/>
                      <w:sz w:val="21"/>
                      <w:szCs w:val="21"/>
                      <w:u w:val="none"/>
                    </w:rPr>
                    <w:t>油雾净化出口</w:t>
                  </w:r>
                </w:p>
              </w:tc>
              <w:tc>
                <w:tcPr>
                  <w:tcW w:w="971"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b w:val="0"/>
                      <w:bCs w:val="0"/>
                      <w:color w:val="auto"/>
                      <w:sz w:val="21"/>
                      <w:szCs w:val="21"/>
                      <w:highlight w:val="none"/>
                      <w:u w:val="none"/>
                      <w:lang w:val="en-US" w:eastAsia="zh-CN"/>
                    </w:rPr>
                    <w:t>非甲烷总烃</w:t>
                  </w:r>
                </w:p>
              </w:tc>
              <w:tc>
                <w:tcPr>
                  <w:tcW w:w="861"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排气筒出口</w:t>
                  </w:r>
                </w:p>
              </w:tc>
              <w:tc>
                <w:tcPr>
                  <w:tcW w:w="943"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1年一次</w:t>
                  </w:r>
                </w:p>
              </w:tc>
              <w:tc>
                <w:tcPr>
                  <w:tcW w:w="2846" w:type="dxa"/>
                  <w:noWrap w:val="0"/>
                  <w:vAlign w:val="center"/>
                </w:tcPr>
                <w:p>
                  <w:pPr>
                    <w:autoSpaceDE w:val="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vertAlign w:val="baseline"/>
                      <w:lang w:val="en-US" w:eastAsia="zh-CN"/>
                    </w:rPr>
                    <w:t>《大气污染物综合排放标准》（GB16297-1996）二级排放标准要求及《关于全省开展工业企业挥发性有机物专项治理工作中排放建议值的通知》（豫环攻坚函</w:t>
                  </w:r>
                  <w:r>
                    <w:rPr>
                      <w:rFonts w:hint="default" w:ascii="Times New Roman" w:hAnsi="Times New Roman" w:cs="Times New Roman"/>
                      <w:b w:val="0"/>
                      <w:bCs/>
                      <w:color w:val="auto"/>
                      <w:sz w:val="21"/>
                      <w:szCs w:val="21"/>
                      <w:u w:val="none"/>
                      <w:lang w:val="en-US" w:eastAsia="zh-CN"/>
                    </w:rPr>
                    <w:t>〔2017〕</w:t>
                  </w:r>
                  <w:r>
                    <w:rPr>
                      <w:rFonts w:hint="default" w:ascii="Times New Roman" w:hAnsi="Times New Roman" w:cs="Times New Roman"/>
                      <w:b w:val="0"/>
                      <w:bCs w:val="0"/>
                      <w:color w:val="auto"/>
                      <w:sz w:val="21"/>
                      <w:szCs w:val="21"/>
                      <w:u w:val="none"/>
                      <w:vertAlign w:val="baseline"/>
                      <w:lang w:val="en-US" w:eastAsia="zh-CN"/>
                    </w:rPr>
                    <w:t>162号）要求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26" w:type="dxa"/>
                  <w:vMerge w:val="continue"/>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426"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面源</w:t>
                  </w:r>
                </w:p>
              </w:tc>
              <w:tc>
                <w:tcPr>
                  <w:tcW w:w="1479"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厂界</w:t>
                  </w:r>
                </w:p>
              </w:tc>
              <w:tc>
                <w:tcPr>
                  <w:tcW w:w="971"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非甲烷总烃</w:t>
                  </w:r>
                </w:p>
              </w:tc>
              <w:tc>
                <w:tcPr>
                  <w:tcW w:w="861"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厂界上风向及下风向</w:t>
                  </w:r>
                </w:p>
              </w:tc>
              <w:tc>
                <w:tcPr>
                  <w:tcW w:w="943"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1次/年</w:t>
                  </w:r>
                </w:p>
              </w:tc>
              <w:tc>
                <w:tcPr>
                  <w:tcW w:w="2846" w:type="dxa"/>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b w:val="0"/>
                      <w:bCs/>
                      <w:color w:val="auto"/>
                      <w:sz w:val="21"/>
                      <w:szCs w:val="21"/>
                      <w:u w:val="none"/>
                      <w:lang w:val="en-US" w:eastAsia="zh-CN"/>
                    </w:rPr>
                    <w:t>非甲烷总烃排放浓度</w:t>
                  </w:r>
                  <w:r>
                    <w:rPr>
                      <w:rFonts w:hint="default" w:ascii="Times New Roman" w:hAnsi="Times New Roman" w:eastAsia="宋体" w:cs="Times New Roman"/>
                      <w:color w:val="auto"/>
                      <w:sz w:val="21"/>
                      <w:szCs w:val="21"/>
                      <w:vertAlign w:val="baseline"/>
                      <w:lang w:val="en-US" w:eastAsia="zh-CN"/>
                    </w:rPr>
                    <w:t>《挥发性有机物无组织排放控制标准》（GB37822-2019）特别排放限值（厂房外设置监控点）（监控点处任意一次浓度值20mg/m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、监控点处1h平均浓度值6mg/m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w:t>
                  </w:r>
                  <w:r>
                    <w:rPr>
                      <w:rFonts w:hint="eastAsia" w:ascii="Times New Roman" w:hAnsi="Times New Roman" w:eastAsia="宋体" w:cs="Times New Roman"/>
                      <w:color w:val="auto"/>
                      <w:sz w:val="21"/>
                      <w:szCs w:val="21"/>
                      <w:vertAlign w:val="baseline"/>
                      <w:lang w:val="en-US" w:eastAsia="zh-CN"/>
                    </w:rPr>
                    <w:t>；</w:t>
                  </w:r>
                  <w:r>
                    <w:rPr>
                      <w:rFonts w:hint="default" w:ascii="Times New Roman" w:hAnsi="Times New Roman" w:cs="Times New Roman"/>
                      <w:b w:val="0"/>
                      <w:bCs/>
                      <w:color w:val="auto"/>
                      <w:sz w:val="21"/>
                      <w:szCs w:val="21"/>
                      <w:u w:val="none"/>
                      <w:lang w:val="en-US" w:eastAsia="zh-CN"/>
                    </w:rPr>
                    <w:t>同时也满足《关于全省开展工业企业挥发性有机物专项治理工作中排放建议值的通知》（豫环攻坚办〔2017〕162号）（厂界2.0</w:t>
                  </w:r>
                  <w:r>
                    <w:rPr>
                      <w:rFonts w:hint="default" w:ascii="Times New Roman" w:hAnsi="Times New Roman" w:eastAsia="宋体" w:cs="Times New Roman"/>
                      <w:color w:val="auto"/>
                      <w:sz w:val="21"/>
                      <w:szCs w:val="21"/>
                      <w:vertAlign w:val="baseline"/>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cs="Times New Roman"/>
                      <w:b w:val="0"/>
                      <w:bCs/>
                      <w:color w:val="auto"/>
                      <w:sz w:val="21"/>
                      <w:szCs w:val="21"/>
                      <w:u w:val="none"/>
                      <w:lang w:val="en-US" w:eastAsia="zh-CN"/>
                    </w:rPr>
                    <w:t>）</w:t>
                  </w:r>
                </w:p>
              </w:tc>
            </w:tr>
          </w:tbl>
          <w:p>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2、废气污染防治措施及可行性分析</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vertAlign w:val="baseline"/>
                <w:lang w:eastAsia="zh-CN"/>
              </w:rPr>
            </w:pPr>
            <w:r>
              <w:rPr>
                <w:rFonts w:hint="default" w:ascii="Times New Roman" w:hAnsi="Times New Roman" w:cs="Times New Roman"/>
                <w:b w:val="0"/>
                <w:bCs w:val="0"/>
                <w:color w:val="auto"/>
                <w:sz w:val="24"/>
                <w:szCs w:val="24"/>
                <w:vertAlign w:val="baseline"/>
                <w:lang w:eastAsia="zh-CN"/>
              </w:rPr>
              <w:t>（</w:t>
            </w:r>
            <w:r>
              <w:rPr>
                <w:rFonts w:hint="eastAsia" w:ascii="Times New Roman" w:hAnsi="Times New Roman" w:cs="Times New Roman"/>
                <w:b w:val="0"/>
                <w:bCs w:val="0"/>
                <w:color w:val="auto"/>
                <w:sz w:val="24"/>
                <w:szCs w:val="24"/>
                <w:vertAlign w:val="baseline"/>
                <w:lang w:val="en-US" w:eastAsia="zh-CN"/>
              </w:rPr>
              <w:t>1</w:t>
            </w:r>
            <w:r>
              <w:rPr>
                <w:rFonts w:hint="default" w:ascii="Times New Roman" w:hAnsi="Times New Roman" w:cs="Times New Roman"/>
                <w:b w:val="0"/>
                <w:bCs w:val="0"/>
                <w:color w:val="auto"/>
                <w:sz w:val="24"/>
                <w:szCs w:val="24"/>
                <w:vertAlign w:val="baseline"/>
                <w:lang w:eastAsia="zh-CN"/>
              </w:rPr>
              <w:t>）非甲烷总烃</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u w:val="none"/>
                <w:vertAlign w:val="baseline"/>
                <w:lang w:eastAsia="zh-CN"/>
              </w:rPr>
            </w:pPr>
            <w:r>
              <w:rPr>
                <w:rFonts w:hint="default" w:ascii="Times New Roman" w:hAnsi="Times New Roman" w:eastAsia="宋体" w:cs="Times New Roman"/>
                <w:b w:val="0"/>
                <w:bCs w:val="0"/>
                <w:color w:val="auto"/>
                <w:sz w:val="24"/>
                <w:szCs w:val="24"/>
                <w:u w:val="none"/>
                <w:vertAlign w:val="baseline"/>
                <w:lang w:eastAsia="zh-CN"/>
              </w:rPr>
              <w:t>本项目产生的有机废气经</w:t>
            </w:r>
            <w:r>
              <w:rPr>
                <w:rFonts w:hint="default" w:ascii="Times New Roman" w:hAnsi="Times New Roman" w:eastAsia="宋体" w:cs="Times New Roman"/>
                <w:b w:val="0"/>
                <w:bCs w:val="0"/>
                <w:color w:val="auto"/>
                <w:sz w:val="24"/>
                <w:szCs w:val="24"/>
                <w:u w:val="none"/>
                <w:vertAlign w:val="baseline"/>
                <w:lang w:val="en-US" w:eastAsia="zh-CN"/>
              </w:rPr>
              <w:t>油</w:t>
            </w:r>
            <w:r>
              <w:rPr>
                <w:rFonts w:hint="default" w:ascii="Times New Roman" w:hAnsi="Times New Roman" w:cs="Times New Roman"/>
                <w:b w:val="0"/>
                <w:bCs w:val="0"/>
                <w:color w:val="auto"/>
                <w:sz w:val="24"/>
                <w:szCs w:val="24"/>
                <w:u w:val="none"/>
                <w:vertAlign w:val="baseline"/>
                <w:lang w:val="en-US" w:eastAsia="zh-CN"/>
              </w:rPr>
              <w:t>雾</w:t>
            </w:r>
            <w:r>
              <w:rPr>
                <w:rFonts w:hint="default" w:ascii="Times New Roman" w:hAnsi="Times New Roman" w:eastAsia="宋体" w:cs="Times New Roman"/>
                <w:b w:val="0"/>
                <w:bCs w:val="0"/>
                <w:color w:val="auto"/>
                <w:sz w:val="24"/>
                <w:szCs w:val="24"/>
                <w:u w:val="none"/>
                <w:vertAlign w:val="baseline"/>
                <w:lang w:val="en-US" w:eastAsia="zh-CN"/>
              </w:rPr>
              <w:t>回收净化装置</w:t>
            </w:r>
            <w:r>
              <w:rPr>
                <w:rFonts w:hint="default" w:ascii="Times New Roman" w:hAnsi="Times New Roman" w:eastAsia="宋体" w:cs="Times New Roman"/>
                <w:b w:val="0"/>
                <w:bCs w:val="0"/>
                <w:color w:val="auto"/>
                <w:sz w:val="24"/>
                <w:szCs w:val="24"/>
                <w:u w:val="none"/>
                <w:vertAlign w:val="baseline"/>
                <w:lang w:eastAsia="zh-CN"/>
              </w:rPr>
              <w:t>进行处理，处理后经1根</w:t>
            </w:r>
            <w:r>
              <w:rPr>
                <w:rFonts w:hint="default" w:ascii="Times New Roman" w:hAnsi="Times New Roman" w:cs="Times New Roman"/>
                <w:b w:val="0"/>
                <w:bCs w:val="0"/>
                <w:color w:val="auto"/>
                <w:sz w:val="24"/>
                <w:szCs w:val="24"/>
                <w:u w:val="none"/>
                <w:vertAlign w:val="baseline"/>
                <w:lang w:val="en-US" w:eastAsia="zh-CN"/>
              </w:rPr>
              <w:t>20</w:t>
            </w:r>
            <w:r>
              <w:rPr>
                <w:rFonts w:hint="default" w:ascii="Times New Roman" w:hAnsi="Times New Roman" w:eastAsia="宋体" w:cs="Times New Roman"/>
                <w:b w:val="0"/>
                <w:bCs w:val="0"/>
                <w:color w:val="auto"/>
                <w:sz w:val="24"/>
                <w:szCs w:val="24"/>
                <w:u w:val="none"/>
                <w:vertAlign w:val="baseline"/>
                <w:lang w:eastAsia="zh-CN"/>
              </w:rPr>
              <w:t>m排气筒排放。</w:t>
            </w:r>
            <w:r>
              <w:rPr>
                <w:rFonts w:hint="default" w:ascii="Times New Roman" w:hAnsi="Times New Roman" w:eastAsia="宋体" w:cs="Times New Roman"/>
                <w:b w:val="0"/>
                <w:bCs w:val="0"/>
                <w:color w:val="auto"/>
                <w:sz w:val="24"/>
                <w:szCs w:val="24"/>
                <w:u w:val="none"/>
                <w:vertAlign w:val="baseline"/>
                <w:lang w:val="en-US" w:eastAsia="zh-CN"/>
              </w:rPr>
              <w:t>主要特点：一级采用专用德国西马克滤板利用碰撞原理收集轧制油；二级采用过滤丝利用气滤原理收集轧制油，此过滤网具有相当大的空间率，比表面积。经处理后，非甲烷总烃排放浓度也满足《关于全省开展工业企业挥发性有机物专项治理工作中排放建议值的通知》（豫环攻坚办〔2017〕162号）排放建议限值（非甲烷总烃≤80mg/m</w:t>
            </w:r>
            <w:r>
              <w:rPr>
                <w:rFonts w:hint="default" w:ascii="Times New Roman" w:hAnsi="Times New Roman" w:eastAsia="宋体" w:cs="Times New Roman"/>
                <w:b w:val="0"/>
                <w:bCs w:val="0"/>
                <w:color w:val="auto"/>
                <w:sz w:val="24"/>
                <w:szCs w:val="24"/>
                <w:u w:val="none"/>
                <w:vertAlign w:val="superscript"/>
                <w:lang w:val="en-US" w:eastAsia="zh-CN"/>
              </w:rPr>
              <w:t>3</w:t>
            </w:r>
            <w:r>
              <w:rPr>
                <w:rFonts w:hint="default" w:ascii="Times New Roman" w:hAnsi="Times New Roman" w:eastAsia="宋体" w:cs="Times New Roman"/>
                <w:b w:val="0"/>
                <w:bCs w:val="0"/>
                <w:color w:val="auto"/>
                <w:sz w:val="24"/>
                <w:szCs w:val="24"/>
                <w:u w:val="none"/>
                <w:vertAlign w:val="baseline"/>
                <w:lang w:val="en-US" w:eastAsia="zh-CN"/>
              </w:rPr>
              <w:t>）。</w:t>
            </w:r>
            <w:r>
              <w:rPr>
                <w:rFonts w:hint="default" w:ascii="Times New Roman" w:hAnsi="Times New Roman" w:cs="Times New Roman"/>
                <w:b w:val="0"/>
                <w:bCs w:val="0"/>
                <w:color w:val="auto"/>
                <w:sz w:val="24"/>
                <w:szCs w:val="24"/>
                <w:u w:val="none"/>
                <w:vertAlign w:val="baseline"/>
                <w:lang w:eastAsia="zh-CN"/>
              </w:rPr>
              <w:t>因此</w:t>
            </w:r>
            <w:r>
              <w:rPr>
                <w:rFonts w:hint="default" w:ascii="Times New Roman" w:hAnsi="Times New Roman" w:eastAsia="宋体" w:cs="Times New Roman"/>
                <w:b w:val="0"/>
                <w:bCs w:val="0"/>
                <w:color w:val="auto"/>
                <w:sz w:val="24"/>
                <w:szCs w:val="24"/>
                <w:u w:val="none"/>
                <w:vertAlign w:val="baseline"/>
                <w:lang w:eastAsia="zh-CN"/>
              </w:rPr>
              <w:t>，本项目</w:t>
            </w:r>
            <w:r>
              <w:rPr>
                <w:rFonts w:hint="default" w:ascii="Times New Roman" w:hAnsi="Times New Roman" w:cs="Times New Roman"/>
                <w:b w:val="0"/>
                <w:bCs w:val="0"/>
                <w:color w:val="auto"/>
                <w:sz w:val="24"/>
                <w:szCs w:val="24"/>
                <w:u w:val="none"/>
                <w:vertAlign w:val="baseline"/>
                <w:lang w:eastAsia="zh-CN"/>
              </w:rPr>
              <w:t>非甲烷总烃</w:t>
            </w:r>
            <w:r>
              <w:rPr>
                <w:rFonts w:hint="default" w:ascii="Times New Roman" w:hAnsi="Times New Roman" w:eastAsia="宋体" w:cs="Times New Roman"/>
                <w:b w:val="0"/>
                <w:bCs w:val="0"/>
                <w:color w:val="auto"/>
                <w:sz w:val="24"/>
                <w:szCs w:val="24"/>
                <w:u w:val="none"/>
                <w:vertAlign w:val="baseline"/>
                <w:lang w:eastAsia="zh-CN"/>
              </w:rPr>
              <w:t>采用</w:t>
            </w:r>
            <w:r>
              <w:rPr>
                <w:rFonts w:hint="default" w:ascii="Times New Roman" w:hAnsi="Times New Roman" w:cs="Times New Roman"/>
                <w:b w:val="0"/>
                <w:bCs w:val="0"/>
                <w:color w:val="auto"/>
                <w:sz w:val="24"/>
                <w:szCs w:val="24"/>
                <w:u w:val="none"/>
                <w:vertAlign w:val="baseline"/>
                <w:lang w:val="en-US" w:eastAsia="zh-CN"/>
              </w:rPr>
              <w:t>油雾</w:t>
            </w:r>
            <w:r>
              <w:rPr>
                <w:rFonts w:hint="default" w:ascii="Times New Roman" w:hAnsi="Times New Roman" w:eastAsia="宋体" w:cs="Times New Roman"/>
                <w:b w:val="0"/>
                <w:bCs w:val="0"/>
                <w:color w:val="auto"/>
                <w:sz w:val="24"/>
                <w:szCs w:val="24"/>
                <w:u w:val="none"/>
                <w:vertAlign w:val="baseline"/>
                <w:lang w:val="en-US" w:eastAsia="zh-CN"/>
              </w:rPr>
              <w:t>回收净化装置</w:t>
            </w:r>
            <w:r>
              <w:rPr>
                <w:rFonts w:hint="default" w:ascii="Times New Roman" w:hAnsi="Times New Roman" w:eastAsia="宋体" w:cs="Times New Roman"/>
                <w:b w:val="0"/>
                <w:bCs w:val="0"/>
                <w:color w:val="auto"/>
                <w:sz w:val="24"/>
                <w:szCs w:val="24"/>
                <w:u w:val="none"/>
                <w:vertAlign w:val="baseline"/>
                <w:lang w:eastAsia="zh-CN"/>
              </w:rPr>
              <w:t>，技术可行。</w:t>
            </w:r>
          </w:p>
          <w:p>
            <w:pPr>
              <w:spacing w:line="360" w:lineRule="auto"/>
              <w:ind w:firstLine="480" w:firstLineChars="200"/>
              <w:rPr>
                <w:rFonts w:hint="eastAsia" w:ascii="Times New Roman" w:hAnsi="Times New Roman" w:eastAsia="宋体" w:cs="Times New Roman"/>
                <w:b w:val="0"/>
                <w:bCs w:val="0"/>
                <w:color w:val="auto"/>
                <w:sz w:val="24"/>
                <w:szCs w:val="24"/>
                <w:u w:val="none"/>
                <w:lang w:eastAsia="zh-CN"/>
              </w:rPr>
            </w:pPr>
            <w:r>
              <w:rPr>
                <w:rFonts w:hint="eastAsia" w:ascii="Times New Roman" w:hAnsi="Times New Roman" w:cs="Times New Roman"/>
                <w:b w:val="0"/>
                <w:bCs w:val="0"/>
                <w:color w:val="auto"/>
                <w:sz w:val="24"/>
                <w:szCs w:val="24"/>
                <w:u w:val="none"/>
                <w:lang w:eastAsia="zh-CN"/>
              </w:rPr>
              <w:t>（</w:t>
            </w:r>
            <w:r>
              <w:rPr>
                <w:rFonts w:hint="eastAsia" w:ascii="Times New Roman" w:hAnsi="Times New Roman" w:cs="Times New Roman"/>
                <w:b w:val="0"/>
                <w:bCs w:val="0"/>
                <w:color w:val="auto"/>
                <w:sz w:val="24"/>
                <w:szCs w:val="24"/>
                <w:u w:val="none"/>
                <w:lang w:val="en-US" w:eastAsia="zh-CN"/>
              </w:rPr>
              <w:t>2</w:t>
            </w:r>
            <w:r>
              <w:rPr>
                <w:rFonts w:hint="eastAsia" w:ascii="Times New Roman" w:hAnsi="Times New Roman" w:cs="Times New Roman"/>
                <w:b w:val="0"/>
                <w:bCs w:val="0"/>
                <w:color w:val="auto"/>
                <w:sz w:val="24"/>
                <w:szCs w:val="24"/>
                <w:u w:val="none"/>
                <w:lang w:eastAsia="zh-CN"/>
              </w:rPr>
              <w:t>）倾动炉废气</w:t>
            </w:r>
          </w:p>
          <w:p>
            <w:pPr>
              <w:spacing w:line="360" w:lineRule="auto"/>
              <w:ind w:firstLine="480" w:firstLineChars="20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lang w:eastAsia="zh-CN"/>
              </w:rPr>
              <w:t>根据《</w:t>
            </w:r>
            <w:r>
              <w:rPr>
                <w:rFonts w:hint="default" w:ascii="Times New Roman" w:hAnsi="Times New Roman" w:cs="Times New Roman"/>
                <w:b w:val="0"/>
                <w:bCs w:val="0"/>
                <w:color w:val="auto"/>
                <w:sz w:val="24"/>
                <w:szCs w:val="24"/>
                <w:u w:val="none"/>
                <w:lang w:val="en-US" w:eastAsia="zh-CN"/>
              </w:rPr>
              <w:t>排污许可证申请与核发技术规范有色金属工业——铝冶炼</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 xml:space="preserve">附表A </w:t>
            </w:r>
            <w:r>
              <w:rPr>
                <w:rFonts w:hint="default" w:ascii="Times New Roman" w:hAnsi="Times New Roman" w:eastAsia="宋体" w:cs="Times New Roman"/>
                <w:b w:val="0"/>
                <w:bCs w:val="0"/>
                <w:color w:val="auto"/>
                <w:sz w:val="24"/>
                <w:szCs w:val="24"/>
                <w:u w:val="none"/>
                <w:lang w:val="en-US" w:eastAsia="zh-CN"/>
              </w:rPr>
              <w:t>铝冶炼废气污染防治可行技术推荐表</w:t>
            </w:r>
            <w:r>
              <w:rPr>
                <w:rFonts w:hint="default" w:ascii="Times New Roman" w:hAnsi="Times New Roman" w:cs="Times New Roman"/>
                <w:b w:val="0"/>
                <w:bCs w:val="0"/>
                <w:color w:val="auto"/>
                <w:sz w:val="24"/>
                <w:szCs w:val="24"/>
                <w:u w:val="none"/>
                <w:lang w:val="en-US" w:eastAsia="zh-CN"/>
              </w:rPr>
              <w:t>及</w:t>
            </w:r>
            <w:r>
              <w:rPr>
                <w:rFonts w:hint="default" w:ascii="Times New Roman" w:hAnsi="Times New Roman" w:eastAsia="宋体" w:cs="Times New Roman"/>
                <w:b w:val="0"/>
                <w:bCs w:val="0"/>
                <w:color w:val="auto"/>
                <w:sz w:val="24"/>
                <w:szCs w:val="24"/>
                <w:u w:val="none"/>
                <w:lang w:val="en-US" w:eastAsia="zh-CN"/>
              </w:rPr>
              <w:t>《重污染天气重点行业</w:t>
            </w:r>
            <w:r>
              <w:rPr>
                <w:rFonts w:hint="default" w:ascii="Times New Roman" w:hAnsi="Times New Roman" w:cs="Times New Roman"/>
                <w:color w:val="auto"/>
                <w:sz w:val="24"/>
                <w:szCs w:val="24"/>
                <w:lang w:val="en-US" w:eastAsia="zh-CN"/>
              </w:rPr>
              <w:t>应急减排措施制定技术指南(2020年修订版》第十四、有色金属压延行业A级标准限值</w:t>
            </w:r>
            <w:r>
              <w:rPr>
                <w:rFonts w:hint="default" w:ascii="Times New Roman" w:hAnsi="Times New Roman" w:cs="Times New Roman"/>
                <w:b w:val="0"/>
                <w:bCs w:val="0"/>
                <w:color w:val="auto"/>
                <w:sz w:val="24"/>
                <w:szCs w:val="24"/>
                <w:u w:val="none"/>
              </w:rPr>
              <w:t>（颗粒物≤</w:t>
            </w:r>
            <w:r>
              <w:rPr>
                <w:rFonts w:hint="default" w:ascii="Times New Roman" w:hAnsi="Times New Roman" w:cs="Times New Roman"/>
                <w:b w:val="0"/>
                <w:bCs w:val="0"/>
                <w:color w:val="auto"/>
                <w:sz w:val="24"/>
                <w:szCs w:val="24"/>
                <w:u w:val="none"/>
                <w:lang w:val="en-US" w:eastAsia="zh-CN"/>
              </w:rPr>
              <w:t>1</w:t>
            </w:r>
            <w:r>
              <w:rPr>
                <w:rFonts w:hint="default" w:ascii="Times New Roman" w:hAnsi="Times New Roman" w:cs="Times New Roman"/>
                <w:b w:val="0"/>
                <w:bCs w:val="0"/>
                <w:color w:val="auto"/>
                <w:sz w:val="24"/>
                <w:szCs w:val="24"/>
                <w:u w:val="none"/>
              </w:rPr>
              <w:t>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因此，项目粉尘采用袋式除尘器进行治理是可行的。</w:t>
            </w:r>
          </w:p>
          <w:p>
            <w:pPr>
              <w:spacing w:line="360" w:lineRule="auto"/>
              <w:ind w:firstLine="480" w:firstLineChars="20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项目倾动炉废气经</w:t>
            </w:r>
            <w:r>
              <w:rPr>
                <w:rFonts w:hint="eastAsia" w:ascii="Times New Roman" w:hAnsi="Times New Roman" w:cs="Times New Roman"/>
                <w:b w:val="0"/>
                <w:bCs w:val="0"/>
                <w:color w:val="auto"/>
                <w:sz w:val="24"/>
                <w:szCs w:val="24"/>
                <w:u w:val="none"/>
                <w:lang w:val="en-US" w:eastAsia="zh-CN"/>
              </w:rPr>
              <w:t>袋式除尘器</w:t>
            </w:r>
            <w:r>
              <w:rPr>
                <w:rFonts w:hint="default" w:ascii="Times New Roman" w:hAnsi="Times New Roman" w:cs="Times New Roman"/>
                <w:b w:val="0"/>
                <w:bCs w:val="0"/>
                <w:color w:val="auto"/>
                <w:sz w:val="24"/>
                <w:szCs w:val="24"/>
                <w:u w:val="none"/>
              </w:rPr>
              <w:t>处理后排放浓度均满足《河南省工业炉窑大气污染物排放标准》（DB41/1066-2020）表1标准限值要求（</w:t>
            </w:r>
            <w:r>
              <w:rPr>
                <w:rFonts w:hint="default" w:ascii="Times New Roman" w:hAnsi="Times New Roman" w:cs="Times New Roman"/>
                <w:b w:val="0"/>
                <w:bCs w:val="0"/>
                <w:color w:val="auto"/>
                <w:sz w:val="24"/>
                <w:szCs w:val="24"/>
                <w:highlight w:val="none"/>
                <w:u w:val="none"/>
              </w:rPr>
              <w:t>颗粒物≤</w:t>
            </w:r>
            <w:r>
              <w:rPr>
                <w:rFonts w:hint="eastAsia" w:ascii="Times New Roman" w:hAnsi="Times New Roman" w:cs="Times New Roman"/>
                <w:b w:val="0"/>
                <w:bCs w:val="0"/>
                <w:color w:val="auto"/>
                <w:sz w:val="24"/>
                <w:szCs w:val="24"/>
                <w:highlight w:val="none"/>
                <w:u w:val="none"/>
                <w:lang w:val="en-US" w:eastAsia="zh-CN"/>
              </w:rPr>
              <w:t>1</w:t>
            </w:r>
            <w:r>
              <w:rPr>
                <w:rFonts w:hint="default" w:ascii="Times New Roman" w:hAnsi="Times New Roman" w:cs="Times New Roman"/>
                <w:b w:val="0"/>
                <w:bCs w:val="0"/>
                <w:color w:val="auto"/>
                <w:sz w:val="24"/>
                <w:szCs w:val="24"/>
                <w:highlight w:val="none"/>
                <w:u w:val="none"/>
              </w:rPr>
              <w:t>0mg/m</w:t>
            </w:r>
            <w:r>
              <w:rPr>
                <w:rFonts w:hint="default" w:ascii="Times New Roman" w:hAnsi="Times New Roman" w:cs="Times New Roman"/>
                <w:b w:val="0"/>
                <w:bCs w:val="0"/>
                <w:color w:val="auto"/>
                <w:sz w:val="24"/>
                <w:szCs w:val="24"/>
                <w:highlight w:val="none"/>
                <w:u w:val="none"/>
                <w:vertAlign w:val="superscript"/>
              </w:rPr>
              <w:t>3</w:t>
            </w:r>
            <w:r>
              <w:rPr>
                <w:rFonts w:hint="default" w:ascii="Times New Roman" w:hAnsi="Times New Roman" w:cs="Times New Roman"/>
                <w:b w:val="0"/>
                <w:bCs w:val="0"/>
                <w:color w:val="auto"/>
                <w:sz w:val="24"/>
                <w:szCs w:val="24"/>
                <w:highlight w:val="none"/>
                <w:u w:val="none"/>
              </w:rPr>
              <w:t>、二氧化硫≤</w:t>
            </w:r>
            <w:r>
              <w:rPr>
                <w:rFonts w:hint="eastAsia" w:ascii="Times New Roman" w:hAnsi="Times New Roman" w:cs="Times New Roman"/>
                <w:b w:val="0"/>
                <w:bCs w:val="0"/>
                <w:color w:val="auto"/>
                <w:sz w:val="24"/>
                <w:szCs w:val="24"/>
                <w:highlight w:val="none"/>
                <w:u w:val="none"/>
                <w:lang w:val="en-US" w:eastAsia="zh-CN"/>
              </w:rPr>
              <w:t>5</w:t>
            </w:r>
            <w:r>
              <w:rPr>
                <w:rFonts w:hint="default" w:ascii="Times New Roman" w:hAnsi="Times New Roman" w:cs="Times New Roman"/>
                <w:b w:val="0"/>
                <w:bCs w:val="0"/>
                <w:color w:val="auto"/>
                <w:sz w:val="24"/>
                <w:szCs w:val="24"/>
                <w:highlight w:val="none"/>
                <w:u w:val="none"/>
              </w:rPr>
              <w:t>0mg/m</w:t>
            </w:r>
            <w:r>
              <w:rPr>
                <w:rFonts w:hint="default" w:ascii="Times New Roman" w:hAnsi="Times New Roman" w:cs="Times New Roman"/>
                <w:b w:val="0"/>
                <w:bCs w:val="0"/>
                <w:color w:val="auto"/>
                <w:sz w:val="24"/>
                <w:szCs w:val="24"/>
                <w:highlight w:val="none"/>
                <w:u w:val="none"/>
                <w:vertAlign w:val="superscript"/>
              </w:rPr>
              <w:t>3</w:t>
            </w:r>
            <w:r>
              <w:rPr>
                <w:rFonts w:hint="default" w:ascii="Times New Roman" w:hAnsi="Times New Roman" w:cs="Times New Roman"/>
                <w:b w:val="0"/>
                <w:bCs w:val="0"/>
                <w:color w:val="auto"/>
                <w:sz w:val="24"/>
                <w:szCs w:val="24"/>
                <w:highlight w:val="none"/>
                <w:u w:val="none"/>
              </w:rPr>
              <w:t>、氮氧化物≤300mg/m</w:t>
            </w:r>
            <w:r>
              <w:rPr>
                <w:rFonts w:hint="default" w:ascii="Times New Roman" w:hAnsi="Times New Roman" w:cs="Times New Roman"/>
                <w:b w:val="0"/>
                <w:bCs w:val="0"/>
                <w:color w:val="auto"/>
                <w:sz w:val="24"/>
                <w:szCs w:val="24"/>
                <w:highlight w:val="none"/>
                <w:u w:val="none"/>
                <w:vertAlign w:val="superscript"/>
              </w:rPr>
              <w:t>3</w:t>
            </w:r>
            <w:r>
              <w:rPr>
                <w:rFonts w:hint="default" w:ascii="Times New Roman" w:hAnsi="Times New Roman" w:cs="Times New Roman"/>
                <w:b w:val="0"/>
                <w:bCs w:val="0"/>
                <w:color w:val="auto"/>
                <w:sz w:val="24"/>
                <w:szCs w:val="24"/>
                <w:highlight w:val="none"/>
                <w:u w:val="none"/>
                <w:vertAlign w:val="baseline"/>
                <w:lang w:eastAsia="zh-CN"/>
              </w:rPr>
              <w:t>、铅及其化合物</w:t>
            </w:r>
            <w:r>
              <w:rPr>
                <w:rFonts w:hint="default" w:ascii="Times New Roman" w:hAnsi="Times New Roman" w:cs="Times New Roman"/>
                <w:b w:val="0"/>
                <w:bCs w:val="0"/>
                <w:color w:val="auto"/>
                <w:sz w:val="24"/>
                <w:szCs w:val="24"/>
                <w:highlight w:val="none"/>
                <w:u w:val="none"/>
              </w:rPr>
              <w:t>≤</w:t>
            </w:r>
            <w:r>
              <w:rPr>
                <w:rFonts w:hint="default" w:ascii="Times New Roman" w:hAnsi="Times New Roman" w:cs="Times New Roman"/>
                <w:b w:val="0"/>
                <w:bCs w:val="0"/>
                <w:color w:val="auto"/>
                <w:sz w:val="24"/>
                <w:szCs w:val="24"/>
                <w:highlight w:val="none"/>
                <w:u w:val="none"/>
                <w:lang w:val="en-US" w:eastAsia="zh-CN"/>
              </w:rPr>
              <w:t>0.7</w:t>
            </w:r>
            <w:r>
              <w:rPr>
                <w:rFonts w:hint="default" w:ascii="Times New Roman" w:hAnsi="Times New Roman" w:cs="Times New Roman"/>
                <w:b w:val="0"/>
                <w:bCs w:val="0"/>
                <w:color w:val="auto"/>
                <w:sz w:val="24"/>
                <w:szCs w:val="24"/>
                <w:highlight w:val="none"/>
                <w:u w:val="none"/>
              </w:rPr>
              <w:t>mg/m</w:t>
            </w:r>
            <w:r>
              <w:rPr>
                <w:rFonts w:hint="default" w:ascii="Times New Roman" w:hAnsi="Times New Roman" w:cs="Times New Roman"/>
                <w:b w:val="0"/>
                <w:bCs w:val="0"/>
                <w:color w:val="auto"/>
                <w:sz w:val="24"/>
                <w:szCs w:val="24"/>
                <w:highlight w:val="none"/>
                <w:u w:val="none"/>
                <w:vertAlign w:val="superscript"/>
              </w:rPr>
              <w:t>3</w:t>
            </w:r>
            <w:r>
              <w:rPr>
                <w:rFonts w:hint="default" w:ascii="Times New Roman" w:hAnsi="Times New Roman" w:cs="Times New Roman"/>
                <w:b w:val="0"/>
                <w:bCs w:val="0"/>
                <w:color w:val="auto"/>
                <w:sz w:val="24"/>
                <w:szCs w:val="24"/>
                <w:highlight w:val="none"/>
                <w:u w:val="none"/>
              </w:rPr>
              <w:t>）</w:t>
            </w:r>
            <w:r>
              <w:rPr>
                <w:rFonts w:hint="default" w:ascii="Times New Roman" w:hAnsi="Times New Roman" w:cs="Times New Roman"/>
                <w:b w:val="0"/>
                <w:bCs w:val="0"/>
                <w:color w:val="auto"/>
                <w:sz w:val="24"/>
                <w:szCs w:val="24"/>
                <w:highlight w:val="none"/>
                <w:u w:val="none"/>
                <w:lang w:eastAsia="zh-CN"/>
              </w:rPr>
              <w:t>同</w:t>
            </w:r>
            <w:r>
              <w:rPr>
                <w:rFonts w:hint="default" w:ascii="Times New Roman" w:hAnsi="Times New Roman" w:cs="Times New Roman"/>
                <w:b w:val="0"/>
                <w:bCs w:val="0"/>
                <w:color w:val="auto"/>
                <w:sz w:val="24"/>
                <w:szCs w:val="24"/>
                <w:u w:val="none"/>
                <w:lang w:eastAsia="zh-CN"/>
              </w:rPr>
              <w:t>时满足</w:t>
            </w:r>
            <w:r>
              <w:rPr>
                <w:rFonts w:hint="default" w:ascii="Times New Roman" w:hAnsi="Times New Roman" w:cs="Times New Roman"/>
                <w:color w:val="auto"/>
                <w:sz w:val="24"/>
                <w:szCs w:val="24"/>
                <w:lang w:val="en-US" w:eastAsia="zh-CN"/>
              </w:rPr>
              <w:t>《重污染天气重点行业应急减排措施制定技术指南(2020年修订版》 第十四、有色金属压延行业A级标准限值</w:t>
            </w:r>
            <w:r>
              <w:rPr>
                <w:rFonts w:hint="default" w:ascii="Times New Roman" w:hAnsi="Times New Roman" w:cs="Times New Roman"/>
                <w:b w:val="0"/>
                <w:bCs w:val="0"/>
                <w:color w:val="auto"/>
                <w:sz w:val="24"/>
                <w:szCs w:val="24"/>
                <w:u w:val="none"/>
              </w:rPr>
              <w:t>（颗粒物≤</w:t>
            </w:r>
            <w:r>
              <w:rPr>
                <w:rFonts w:hint="default" w:ascii="Times New Roman" w:hAnsi="Times New Roman" w:cs="Times New Roman"/>
                <w:b w:val="0"/>
                <w:bCs w:val="0"/>
                <w:color w:val="auto"/>
                <w:sz w:val="24"/>
                <w:szCs w:val="24"/>
                <w:u w:val="none"/>
                <w:lang w:val="en-US" w:eastAsia="zh-CN"/>
              </w:rPr>
              <w:t>1</w:t>
            </w:r>
            <w:r>
              <w:rPr>
                <w:rFonts w:hint="default" w:ascii="Times New Roman" w:hAnsi="Times New Roman" w:cs="Times New Roman"/>
                <w:b w:val="0"/>
                <w:bCs w:val="0"/>
                <w:color w:val="auto"/>
                <w:sz w:val="24"/>
                <w:szCs w:val="24"/>
                <w:u w:val="none"/>
              </w:rPr>
              <w:t>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、二氧化硫≤</w:t>
            </w:r>
            <w:r>
              <w:rPr>
                <w:rFonts w:hint="default" w:ascii="Times New Roman" w:hAnsi="Times New Roman" w:cs="Times New Roman"/>
                <w:b w:val="0"/>
                <w:bCs w:val="0"/>
                <w:color w:val="auto"/>
                <w:sz w:val="24"/>
                <w:szCs w:val="24"/>
                <w:u w:val="none"/>
                <w:lang w:val="en-US" w:eastAsia="zh-CN"/>
              </w:rPr>
              <w:t>5</w:t>
            </w:r>
            <w:r>
              <w:rPr>
                <w:rFonts w:hint="default" w:ascii="Times New Roman" w:hAnsi="Times New Roman" w:cs="Times New Roman"/>
                <w:b w:val="0"/>
                <w:bCs w:val="0"/>
                <w:color w:val="auto"/>
                <w:sz w:val="24"/>
                <w:szCs w:val="24"/>
                <w:u w:val="none"/>
              </w:rPr>
              <w:t>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、氮氧化物≤</w:t>
            </w:r>
            <w:r>
              <w:rPr>
                <w:rFonts w:hint="default" w:ascii="Times New Roman" w:hAnsi="Times New Roman" w:cs="Times New Roman"/>
                <w:b w:val="0"/>
                <w:bCs w:val="0"/>
                <w:color w:val="auto"/>
                <w:sz w:val="24"/>
                <w:szCs w:val="24"/>
                <w:u w:val="none"/>
                <w:lang w:val="en-US" w:eastAsia="zh-CN"/>
              </w:rPr>
              <w:t>5</w:t>
            </w:r>
            <w:r>
              <w:rPr>
                <w:rFonts w:hint="default" w:ascii="Times New Roman" w:hAnsi="Times New Roman" w:cs="Times New Roman"/>
                <w:b w:val="0"/>
                <w:bCs w:val="0"/>
                <w:color w:val="auto"/>
                <w:sz w:val="24"/>
                <w:szCs w:val="24"/>
                <w:u w:val="none"/>
              </w:rPr>
              <w:t>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3、环境影响分析</w:t>
            </w:r>
          </w:p>
          <w:p>
            <w:pPr>
              <w:spacing w:line="360" w:lineRule="auto"/>
              <w:ind w:firstLine="480" w:firstLineChars="200"/>
              <w:jc w:val="both"/>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根据上述分析，本项目废气均可以实现达标排放，不会对所在区域大气环境质量造成影响，因此本项目对大气环境影响较小，环境影响可接受。</w:t>
            </w:r>
          </w:p>
          <w:p>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vertAlign w:val="baseline"/>
                <w:lang w:eastAsia="zh-CN"/>
              </w:rPr>
            </w:pPr>
            <w:r>
              <w:rPr>
                <w:rFonts w:hint="default" w:ascii="Times New Roman" w:hAnsi="Times New Roman" w:eastAsia="宋体" w:cs="Times New Roman"/>
                <w:b/>
                <w:bCs/>
                <w:color w:val="auto"/>
                <w:sz w:val="24"/>
                <w:szCs w:val="24"/>
                <w:vertAlign w:val="baseline"/>
                <w:lang w:eastAsia="zh-CN"/>
              </w:rPr>
              <w:t>（二）废</w:t>
            </w:r>
            <w:r>
              <w:rPr>
                <w:rFonts w:hint="default" w:ascii="Times New Roman" w:hAnsi="Times New Roman" w:cs="Times New Roman"/>
                <w:b/>
                <w:bCs/>
                <w:color w:val="auto"/>
                <w:sz w:val="24"/>
                <w:szCs w:val="24"/>
                <w:vertAlign w:val="baseline"/>
                <w:lang w:val="en-US" w:eastAsia="zh-CN"/>
              </w:rPr>
              <w:t>水</w:t>
            </w:r>
          </w:p>
          <w:p>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val="0"/>
                <w:bCs w:val="0"/>
                <w:color w:val="auto"/>
                <w:sz w:val="24"/>
                <w:szCs w:val="24"/>
                <w:highlight w:val="none"/>
                <w:u w:val="none"/>
                <w:lang w:val="en-US" w:eastAsia="zh-CN"/>
              </w:rPr>
            </w:pPr>
            <w:r>
              <w:rPr>
                <w:rFonts w:hint="eastAsia" w:ascii="Times New Roman" w:hAnsi="Times New Roman" w:cs="Times New Roman"/>
                <w:b w:val="0"/>
                <w:bCs w:val="0"/>
                <w:color w:val="auto"/>
                <w:sz w:val="24"/>
                <w:szCs w:val="24"/>
                <w:highlight w:val="none"/>
                <w:u w:val="none"/>
                <w:lang w:val="en-US" w:eastAsia="zh-CN"/>
              </w:rPr>
              <w:t>本项目不新增劳动定员，无新增生活污水，不新增生产废水。</w:t>
            </w:r>
          </w:p>
          <w:p>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（三）噪声</w:t>
            </w:r>
          </w:p>
          <w:p>
            <w:pPr>
              <w:pStyle w:val="2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本项目</w:t>
            </w:r>
            <w:r>
              <w:rPr>
                <w:rFonts w:hint="default" w:ascii="Times New Roman" w:hAnsi="Times New Roman" w:cs="Times New Roman"/>
                <w:color w:val="auto"/>
                <w:sz w:val="24"/>
                <w:szCs w:val="24"/>
                <w:highlight w:val="none"/>
                <w:lang w:eastAsia="zh-CN"/>
              </w:rPr>
              <w:t>噪声源主要为生产设备运行时产生的机械噪声</w:t>
            </w:r>
            <w:r>
              <w:rPr>
                <w:rFonts w:hint="default" w:ascii="Times New Roman" w:hAnsi="Times New Roman" w:eastAsia="宋体" w:cs="Times New Roman"/>
                <w:color w:val="auto"/>
                <w:sz w:val="24"/>
                <w:szCs w:val="24"/>
                <w:highlight w:val="none"/>
              </w:rPr>
              <w:t>等，噪声源强在</w:t>
            </w:r>
            <w:r>
              <w:rPr>
                <w:rFonts w:hint="default" w:ascii="Times New Roman" w:hAnsi="Times New Roman" w:cs="Times New Roman"/>
                <w:color w:val="auto"/>
                <w:sz w:val="24"/>
                <w:szCs w:val="24"/>
                <w:highlight w:val="none"/>
                <w:lang w:val="en-US" w:eastAsia="zh-CN"/>
              </w:rPr>
              <w:t>70~</w:t>
            </w: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dB(A)之间，项目主要噪声源及治理措施如下表</w:t>
            </w:r>
            <w:r>
              <w:rPr>
                <w:rFonts w:hint="default" w:ascii="Times New Roman" w:hAnsi="Times New Roman" w:eastAsia="宋体" w:cs="Times New Roman"/>
                <w:color w:val="auto"/>
                <w:sz w:val="24"/>
                <w:szCs w:val="24"/>
                <w:highlight w:val="none"/>
                <w:lang w:eastAsia="zh-CN"/>
              </w:rPr>
              <w:t>。</w:t>
            </w:r>
          </w:p>
          <w:p>
            <w:pPr>
              <w:pStyle w:val="2"/>
              <w:bidi w:val="0"/>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主要噪声源情况一览表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55"/>
              <w:gridCol w:w="355"/>
              <w:gridCol w:w="355"/>
              <w:gridCol w:w="554"/>
              <w:gridCol w:w="452"/>
              <w:gridCol w:w="355"/>
              <w:gridCol w:w="388"/>
              <w:gridCol w:w="341"/>
              <w:gridCol w:w="194"/>
              <w:gridCol w:w="334"/>
              <w:gridCol w:w="334"/>
              <w:gridCol w:w="263"/>
              <w:gridCol w:w="339"/>
              <w:gridCol w:w="264"/>
              <w:gridCol w:w="264"/>
              <w:gridCol w:w="264"/>
              <w:gridCol w:w="267"/>
              <w:gridCol w:w="264"/>
              <w:gridCol w:w="264"/>
              <w:gridCol w:w="264"/>
              <w:gridCol w:w="267"/>
              <w:gridCol w:w="264"/>
              <w:gridCol w:w="264"/>
              <w:gridCol w:w="265"/>
              <w:gridCol w:w="265"/>
              <w:gridCol w:w="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7" w:hRule="exact"/>
                <w:jc w:val="center"/>
              </w:trPr>
              <w:tc>
                <w:tcPr>
                  <w:tcW w:w="223" w:type="pct"/>
                  <w:vMerge w:val="restart"/>
                  <w:shd w:val="clear" w:color="auto" w:fill="auto"/>
                  <w:vAlign w:val="center"/>
                </w:tcPr>
                <w:p>
                  <w:pPr>
                    <w:jc w:val="center"/>
                    <w:rPr>
                      <w:rFonts w:hint="default" w:ascii="Times New Roman" w:hAnsi="Times New Roman" w:cs="Times New Roman" w:eastAsiaTheme="minorEastAsia"/>
                      <w:b w:val="0"/>
                      <w:bCs/>
                      <w:sz w:val="18"/>
                      <w:szCs w:val="18"/>
                    </w:rPr>
                  </w:pPr>
                  <w:bookmarkStart w:id="0" w:name="PT_6"/>
                  <w:r>
                    <w:rPr>
                      <w:rFonts w:hint="default" w:ascii="Times New Roman" w:hAnsi="Times New Roman" w:cs="Times New Roman" w:eastAsiaTheme="minorEastAsia"/>
                      <w:b w:val="0"/>
                      <w:bCs/>
                      <w:sz w:val="18"/>
                      <w:szCs w:val="18"/>
                    </w:rPr>
                    <w:t>序号</w:t>
                  </w:r>
                </w:p>
              </w:tc>
              <w:tc>
                <w:tcPr>
                  <w:tcW w:w="223" w:type="pct"/>
                  <w:vMerge w:val="restart"/>
                  <w:shd w:val="clear" w:color="auto" w:fill="auto"/>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rPr>
                    <w:t>建筑物名称</w:t>
                  </w:r>
                </w:p>
              </w:tc>
              <w:tc>
                <w:tcPr>
                  <w:tcW w:w="223" w:type="pct"/>
                  <w:vMerge w:val="restart"/>
                  <w:shd w:val="clear" w:color="auto" w:fill="auto"/>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rPr>
                    <w:t>声源名称</w:t>
                  </w:r>
                </w:p>
              </w:tc>
              <w:tc>
                <w:tcPr>
                  <w:tcW w:w="348" w:type="pct"/>
                  <w:vMerge w:val="restart"/>
                  <w:shd w:val="clear" w:color="auto" w:fill="auto"/>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rPr>
                    <w:t>型号</w:t>
                  </w:r>
                </w:p>
              </w:tc>
              <w:tc>
                <w:tcPr>
                  <w:tcW w:w="284" w:type="pct"/>
                  <w:shd w:val="clear" w:color="auto" w:fill="auto"/>
                  <w:vAlign w:val="center"/>
                </w:tcPr>
                <w:p>
                  <w:pPr>
                    <w:jc w:val="center"/>
                    <w:rPr>
                      <w:rFonts w:hint="default" w:ascii="Times New Roman" w:hAnsi="Times New Roman" w:cs="Times New Roman" w:eastAsiaTheme="minorEastAsia"/>
                      <w:b w:val="0"/>
                      <w:bCs/>
                      <w:sz w:val="18"/>
                      <w:szCs w:val="18"/>
                      <w:lang w:eastAsia="zh-CN"/>
                    </w:rPr>
                  </w:pPr>
                  <w:r>
                    <w:rPr>
                      <w:rFonts w:hint="default" w:ascii="Times New Roman" w:hAnsi="Times New Roman" w:cs="Times New Roman" w:eastAsiaTheme="minorEastAsia"/>
                      <w:b w:val="0"/>
                      <w:bCs/>
                      <w:sz w:val="18"/>
                      <w:szCs w:val="18"/>
                      <w:lang w:eastAsia="zh-CN"/>
                    </w:rPr>
                    <w:t>声源源强</w:t>
                  </w:r>
                </w:p>
              </w:tc>
              <w:tc>
                <w:tcPr>
                  <w:tcW w:w="223" w:type="pct"/>
                  <w:vMerge w:val="restart"/>
                  <w:shd w:val="clear" w:color="auto" w:fill="auto"/>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rPr>
                    <w:t>声源控制措施</w:t>
                  </w:r>
                </w:p>
              </w:tc>
              <w:tc>
                <w:tcPr>
                  <w:tcW w:w="580" w:type="pct"/>
                  <w:gridSpan w:val="3"/>
                  <w:shd w:val="clear" w:color="auto" w:fill="auto"/>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rPr>
                    <w:t>空间相对位置/m</w:t>
                  </w:r>
                </w:p>
              </w:tc>
              <w:tc>
                <w:tcPr>
                  <w:tcW w:w="798" w:type="pct"/>
                  <w:gridSpan w:val="4"/>
                  <w:shd w:val="clear" w:color="auto" w:fill="auto"/>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rPr>
                    <w:t>距室内边界距离/m</w:t>
                  </w:r>
                </w:p>
              </w:tc>
              <w:tc>
                <w:tcPr>
                  <w:tcW w:w="666" w:type="pct"/>
                  <w:gridSpan w:val="4"/>
                  <w:shd w:val="clear" w:color="auto" w:fill="auto"/>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rPr>
                    <w:t>室内边界声级/dB(A)</w:t>
                  </w:r>
                </w:p>
              </w:tc>
              <w:tc>
                <w:tcPr>
                  <w:tcW w:w="666" w:type="pct"/>
                  <w:gridSpan w:val="4"/>
                  <w:shd w:val="clear" w:color="auto" w:fill="auto"/>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rPr>
                    <w:t>建筑物插入损失 / dB(A)</w:t>
                  </w:r>
                  <w:bookmarkStart w:id="1" w:name="PT_10"/>
                  <w:bookmarkEnd w:id="1"/>
                </w:p>
              </w:tc>
              <w:tc>
                <w:tcPr>
                  <w:tcW w:w="762" w:type="pct"/>
                  <w:gridSpan w:val="5"/>
                  <w:shd w:val="clear" w:color="auto" w:fill="auto"/>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vMerge w:val="continue"/>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lang w:val="en-US" w:eastAsia="zh-CN"/>
                    </w:rPr>
                  </w:pPr>
                </w:p>
              </w:tc>
              <w:tc>
                <w:tcPr>
                  <w:tcW w:w="223" w:type="pct"/>
                  <w:vMerge w:val="continue"/>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p>
              </w:tc>
              <w:tc>
                <w:tcPr>
                  <w:tcW w:w="223" w:type="pct"/>
                  <w:vMerge w:val="continue"/>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p>
              </w:tc>
              <w:tc>
                <w:tcPr>
                  <w:tcW w:w="348" w:type="pct"/>
                  <w:vMerge w:val="continue"/>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p>
              </w:tc>
              <w:tc>
                <w:tcPr>
                  <w:tcW w:w="284"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rPr>
                    <w:t>声功率级/dB(A)</w:t>
                  </w:r>
                </w:p>
              </w:tc>
              <w:tc>
                <w:tcPr>
                  <w:tcW w:w="223" w:type="pct"/>
                  <w:vMerge w:val="continue"/>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p>
              </w:tc>
              <w:tc>
                <w:tcPr>
                  <w:tcW w:w="244"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rPr>
                    <w:t>X</w:t>
                  </w:r>
                </w:p>
              </w:tc>
              <w:tc>
                <w:tcPr>
                  <w:tcW w:w="214"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rPr>
                    <w:t>Y</w:t>
                  </w:r>
                </w:p>
              </w:tc>
              <w:tc>
                <w:tcPr>
                  <w:tcW w:w="121"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rPr>
                    <w:t>Z</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东</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南</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西</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北</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东</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南</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西</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北</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东</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南</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西</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北</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东</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南</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西</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lang w:val="en-US" w:eastAsia="zh-CN"/>
                    </w:rPr>
                    <w:t>北</w:t>
                  </w:r>
                </w:p>
              </w:tc>
              <w:tc>
                <w:tcPr>
                  <w:tcW w:w="97" w:type="pct"/>
                  <w:shd w:val="clear" w:color="auto" w:fill="auto"/>
                  <w:tcMar>
                    <w:top w:w="0" w:type="dxa"/>
                    <w:left w:w="0" w:type="dxa"/>
                    <w:bottom w:w="0" w:type="dxa"/>
                    <w:right w:w="0" w:type="dxa"/>
                  </w:tcMar>
                  <w:vAlign w:val="center"/>
                </w:tcPr>
                <w:p>
                  <w:pPr>
                    <w:jc w:val="center"/>
                    <w:rPr>
                      <w:rFonts w:hint="default" w:ascii="Times New Roman" w:hAnsi="Times New Roman" w:cs="Times New Roman" w:eastAsiaTheme="minorEastAsia"/>
                      <w:b w:val="0"/>
                      <w:bCs/>
                      <w:sz w:val="18"/>
                      <w:szCs w:val="18"/>
                    </w:rPr>
                  </w:pPr>
                  <w:r>
                    <w:rPr>
                      <w:rFonts w:hint="default" w:ascii="Times New Roman" w:hAnsi="Times New Roman" w:cs="Times New Roman" w:eastAsiaTheme="minorEastAsia"/>
                      <w:b w:val="0"/>
                      <w:bCs/>
                      <w:sz w:val="18"/>
                      <w:szCs w:val="18"/>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w:t>
                  </w:r>
                </w:p>
              </w:tc>
              <w:tc>
                <w:tcPr>
                  <w:tcW w:w="223"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科源-声屏障</w:t>
                  </w:r>
                </w:p>
              </w:tc>
              <w:tc>
                <w:tcPr>
                  <w:tcW w:w="223"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磨床</w:t>
                  </w:r>
                </w:p>
              </w:tc>
              <w:tc>
                <w:tcPr>
                  <w:tcW w:w="348" w:type="pct"/>
                  <w:shd w:val="clear" w:color="auto" w:fill="auto"/>
                  <w:tcMar>
                    <w:top w:w="0" w:type="dxa"/>
                    <w:left w:w="0" w:type="dxa"/>
                    <w:bottom w:w="0" w:type="dxa"/>
                    <w:right w:w="0" w:type="dxa"/>
                  </w:tcMar>
                  <w:vAlign w:val="center"/>
                </w:tcPr>
                <w:p>
                  <w:pPr>
                    <w:jc w:val="center"/>
                    <w:rPr>
                      <w:rFonts w:hint="default" w:ascii="Times New Roman" w:hAnsi="Times New Roman" w:eastAsia="宋体" w:cs="Times New Roman"/>
                      <w:b w:val="0"/>
                      <w:bCs/>
                      <w:sz w:val="18"/>
                      <w:szCs w:val="18"/>
                      <w:lang w:val="en-US" w:eastAsia="zh-CN"/>
                    </w:rPr>
                  </w:pPr>
                  <w:r>
                    <w:rPr>
                      <w:rFonts w:hint="default" w:ascii="Times New Roman" w:hAnsi="Times New Roman" w:cs="Times New Roman"/>
                      <w:b w:val="0"/>
                      <w:bCs/>
                      <w:sz w:val="18"/>
                      <w:szCs w:val="18"/>
                      <w:lang w:val="en-US" w:eastAsia="zh-CN"/>
                    </w:rPr>
                    <w:t>/</w:t>
                  </w:r>
                </w:p>
              </w:tc>
              <w:tc>
                <w:tcPr>
                  <w:tcW w:w="284"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85</w:t>
                  </w:r>
                </w:p>
              </w:tc>
              <w:tc>
                <w:tcPr>
                  <w:tcW w:w="223" w:type="pct"/>
                  <w:vMerge w:val="restar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p>
              </w:tc>
              <w:tc>
                <w:tcPr>
                  <w:tcW w:w="244"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-67.4</w:t>
                  </w:r>
                </w:p>
              </w:tc>
              <w:tc>
                <w:tcPr>
                  <w:tcW w:w="214"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-25.8</w:t>
                  </w:r>
                </w:p>
              </w:tc>
              <w:tc>
                <w:tcPr>
                  <w:tcW w:w="121"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1.2</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48.1</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179.5</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0.8</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27.1</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63.7</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63.6</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76.2</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63.7</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37.7</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37.6</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50.2</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37.7</w:t>
                  </w:r>
                </w:p>
              </w:tc>
              <w:tc>
                <w:tcPr>
                  <w:tcW w:w="97"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w:t>
                  </w:r>
                </w:p>
              </w:tc>
              <w:tc>
                <w:tcPr>
                  <w:tcW w:w="223"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科源-声屏障</w:t>
                  </w:r>
                </w:p>
              </w:tc>
              <w:tc>
                <w:tcPr>
                  <w:tcW w:w="223"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箔轧机</w:t>
                  </w:r>
                </w:p>
              </w:tc>
              <w:tc>
                <w:tcPr>
                  <w:tcW w:w="348" w:type="pct"/>
                  <w:shd w:val="clear" w:color="auto" w:fill="auto"/>
                  <w:tcMar>
                    <w:top w:w="0" w:type="dxa"/>
                    <w:left w:w="0" w:type="dxa"/>
                    <w:bottom w:w="0" w:type="dxa"/>
                    <w:right w:w="0" w:type="dxa"/>
                  </w:tcMar>
                  <w:vAlign w:val="center"/>
                </w:tcPr>
                <w:p>
                  <w:pPr>
                    <w:jc w:val="center"/>
                    <w:rPr>
                      <w:rFonts w:hint="eastAsia" w:ascii="Times New Roman" w:hAnsi="Times New Roman" w:eastAsia="宋体" w:cs="Times New Roman"/>
                      <w:b w:val="0"/>
                      <w:bCs/>
                      <w:sz w:val="18"/>
                      <w:szCs w:val="18"/>
                      <w:lang w:val="en-US" w:eastAsia="zh-CN"/>
                    </w:rPr>
                  </w:pPr>
                  <w:r>
                    <w:rPr>
                      <w:rFonts w:hint="eastAsia" w:ascii="Times New Roman" w:hAnsi="Times New Roman" w:cs="Times New Roman"/>
                      <w:b w:val="0"/>
                      <w:bCs/>
                      <w:sz w:val="18"/>
                      <w:szCs w:val="18"/>
                      <w:lang w:val="en-US" w:eastAsia="zh-CN"/>
                    </w:rPr>
                    <w:t>/</w:t>
                  </w:r>
                </w:p>
              </w:tc>
              <w:tc>
                <w:tcPr>
                  <w:tcW w:w="284"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85</w:t>
                  </w:r>
                </w:p>
              </w:tc>
              <w:tc>
                <w:tcPr>
                  <w:tcW w:w="223" w:type="pct"/>
                  <w:vMerge w:val="continue"/>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p>
              </w:tc>
              <w:tc>
                <w:tcPr>
                  <w:tcW w:w="244"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-36.4</w:t>
                  </w:r>
                </w:p>
              </w:tc>
              <w:tc>
                <w:tcPr>
                  <w:tcW w:w="214"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-44.6</w:t>
                  </w:r>
                </w:p>
              </w:tc>
              <w:tc>
                <w:tcPr>
                  <w:tcW w:w="121"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1.2</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29.4</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148.4</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28.5</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46.1</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63.7</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63.6</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63.7</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63.7</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37.7</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37.6</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37.7</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37.7</w:t>
                  </w:r>
                </w:p>
              </w:tc>
              <w:tc>
                <w:tcPr>
                  <w:tcW w:w="97"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w:t>
                  </w:r>
                </w:p>
              </w:tc>
              <w:tc>
                <w:tcPr>
                  <w:tcW w:w="223"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科源-声屏障</w:t>
                  </w:r>
                </w:p>
              </w:tc>
              <w:tc>
                <w:tcPr>
                  <w:tcW w:w="223"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复卷机</w:t>
                  </w:r>
                </w:p>
              </w:tc>
              <w:tc>
                <w:tcPr>
                  <w:tcW w:w="348"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eastAsia" w:ascii="Times New Roman" w:hAnsi="Times New Roman" w:eastAsia="宋体" w:cs="Times New Roman"/>
                      <w:color w:val="auto"/>
                      <w:sz w:val="21"/>
                      <w:szCs w:val="21"/>
                      <w:vertAlign w:val="baseline"/>
                      <w:lang w:val="en-US" w:eastAsia="zh-CN"/>
                    </w:rPr>
                    <w:t>500mm</w:t>
                  </w:r>
                </w:p>
              </w:tc>
              <w:tc>
                <w:tcPr>
                  <w:tcW w:w="284"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80</w:t>
                  </w:r>
                </w:p>
              </w:tc>
              <w:tc>
                <w:tcPr>
                  <w:tcW w:w="223" w:type="pct"/>
                  <w:vMerge w:val="continue"/>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p>
              </w:tc>
              <w:tc>
                <w:tcPr>
                  <w:tcW w:w="244"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-15.1</w:t>
                  </w:r>
                </w:p>
              </w:tc>
              <w:tc>
                <w:tcPr>
                  <w:tcW w:w="214"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-26.3</w:t>
                  </w:r>
                </w:p>
              </w:tc>
              <w:tc>
                <w:tcPr>
                  <w:tcW w:w="121"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1.2</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47.7</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127.2</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51.5</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27.8</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58.7</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58.6</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58.7</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58.7</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32.7</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32.6</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32.7</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32.7</w:t>
                  </w:r>
                </w:p>
              </w:tc>
              <w:tc>
                <w:tcPr>
                  <w:tcW w:w="97"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4</w:t>
                  </w:r>
                </w:p>
              </w:tc>
              <w:tc>
                <w:tcPr>
                  <w:tcW w:w="223"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科源-声屏障</w:t>
                  </w:r>
                </w:p>
              </w:tc>
              <w:tc>
                <w:tcPr>
                  <w:tcW w:w="223"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倾动炉</w:t>
                  </w:r>
                </w:p>
              </w:tc>
              <w:tc>
                <w:tcPr>
                  <w:tcW w:w="348"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eastAsia" w:ascii="Times New Roman" w:hAnsi="Times New Roman" w:eastAsia="宋体" w:cs="Times New Roman"/>
                      <w:b w:val="0"/>
                      <w:bCs/>
                      <w:color w:val="auto"/>
                      <w:sz w:val="18"/>
                      <w:szCs w:val="18"/>
                      <w:vertAlign w:val="baseline"/>
                      <w:lang w:val="en-US" w:eastAsia="zh-CN"/>
                    </w:rPr>
                    <w:t>2</w:t>
                  </w:r>
                  <w:r>
                    <w:rPr>
                      <w:rFonts w:hint="default" w:ascii="Times New Roman" w:hAnsi="Times New Roman" w:eastAsia="宋体" w:cs="Times New Roman"/>
                      <w:b w:val="0"/>
                      <w:bCs/>
                      <w:color w:val="auto"/>
                      <w:sz w:val="18"/>
                      <w:szCs w:val="18"/>
                      <w:vertAlign w:val="baseline"/>
                      <w:lang w:val="en-US" w:eastAsia="zh-CN"/>
                    </w:rPr>
                    <w:t>0T</w:t>
                  </w:r>
                </w:p>
              </w:tc>
              <w:tc>
                <w:tcPr>
                  <w:tcW w:w="284"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80</w:t>
                  </w:r>
                </w:p>
              </w:tc>
              <w:tc>
                <w:tcPr>
                  <w:tcW w:w="223" w:type="pct"/>
                  <w:vMerge w:val="continue"/>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p>
              </w:tc>
              <w:tc>
                <w:tcPr>
                  <w:tcW w:w="244"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-85.7</w:t>
                  </w:r>
                </w:p>
              </w:tc>
              <w:tc>
                <w:tcPr>
                  <w:tcW w:w="214"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128.1</w:t>
                  </w:r>
                </w:p>
              </w:tc>
              <w:tc>
                <w:tcPr>
                  <w:tcW w:w="121"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1.2</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201.9</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198.8</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5.0</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126.8</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58.6</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58.6</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60.2</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58.6</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32.6</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32.6</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34.2</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32.6</w:t>
                  </w:r>
                </w:p>
              </w:tc>
              <w:tc>
                <w:tcPr>
                  <w:tcW w:w="97"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223"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5</w:t>
                  </w:r>
                </w:p>
              </w:tc>
              <w:tc>
                <w:tcPr>
                  <w:tcW w:w="223"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科源-声屏障</w:t>
                  </w:r>
                </w:p>
              </w:tc>
              <w:tc>
                <w:tcPr>
                  <w:tcW w:w="223"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铸造炉</w:t>
                  </w:r>
                </w:p>
              </w:tc>
              <w:tc>
                <w:tcPr>
                  <w:tcW w:w="348"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宋体" w:cs="Times New Roman"/>
                      <w:b w:val="0"/>
                      <w:bCs/>
                      <w:color w:val="auto"/>
                      <w:sz w:val="18"/>
                      <w:szCs w:val="18"/>
                      <w:vertAlign w:val="baseline"/>
                      <w:lang w:val="en-US" w:eastAsia="zh-CN"/>
                    </w:rPr>
                    <w:t>30T</w:t>
                  </w:r>
                </w:p>
              </w:tc>
              <w:tc>
                <w:tcPr>
                  <w:tcW w:w="284"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85</w:t>
                  </w:r>
                </w:p>
              </w:tc>
              <w:tc>
                <w:tcPr>
                  <w:tcW w:w="223" w:type="pct"/>
                  <w:vMerge w:val="continue"/>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p>
              </w:tc>
              <w:tc>
                <w:tcPr>
                  <w:tcW w:w="244"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-108.8</w:t>
                  </w:r>
                </w:p>
              </w:tc>
              <w:tc>
                <w:tcPr>
                  <w:tcW w:w="214"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136.6</w:t>
                  </w:r>
                </w:p>
              </w:tc>
              <w:tc>
                <w:tcPr>
                  <w:tcW w:w="121"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1.2</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210.4</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222.0</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27.3</w:t>
                  </w:r>
                </w:p>
              </w:tc>
              <w:tc>
                <w:tcPr>
                  <w:tcW w:w="210"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135.4</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63.6</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63.6</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63.7</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63.6</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26.0</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37.6</w:t>
                  </w:r>
                </w:p>
              </w:tc>
              <w:tc>
                <w:tcPr>
                  <w:tcW w:w="165"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37.6</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37.7</w:t>
                  </w:r>
                </w:p>
              </w:tc>
              <w:tc>
                <w:tcPr>
                  <w:tcW w:w="166"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37.6</w:t>
                  </w:r>
                </w:p>
              </w:tc>
              <w:tc>
                <w:tcPr>
                  <w:tcW w:w="97" w:type="pct"/>
                  <w:shd w:val="clear" w:color="auto" w:fill="auto"/>
                  <w:tcMar>
                    <w:top w:w="0" w:type="dxa"/>
                    <w:left w:w="0" w:type="dxa"/>
                    <w:bottom w:w="0" w:type="dxa"/>
                    <w:right w:w="0" w:type="dxa"/>
                  </w:tcMar>
                  <w:vAlign w:val="center"/>
                </w:tcPr>
                <w:p>
                  <w:pPr>
                    <w:jc w:val="center"/>
                    <w:rPr>
                      <w:rFonts w:hint="default" w:ascii="Times New Roman" w:hAnsi="Times New Roman" w:cs="Times New Roman"/>
                      <w:b w:val="0"/>
                      <w:bCs/>
                      <w:sz w:val="18"/>
                      <w:szCs w:val="18"/>
                    </w:rPr>
                  </w:pPr>
                  <w:r>
                    <w:rPr>
                      <w:rFonts w:hint="default" w:ascii="Times New Roman" w:hAnsi="Times New Roman" w:eastAsia="Arial" w:cs="Times New Roman"/>
                      <w:b w:val="0"/>
                      <w:bCs/>
                      <w:sz w:val="18"/>
                      <w:szCs w:val="18"/>
                    </w:rPr>
                    <w:t>1</w:t>
                  </w:r>
                </w:p>
              </w:tc>
            </w:tr>
            <w:bookmarkEnd w:id="0"/>
          </w:tbl>
          <w:p>
            <w:pPr>
              <w:spacing w:line="360" w:lineRule="auto"/>
              <w:ind w:firstLine="420" w:firstLineChars="200"/>
              <w:jc w:val="both"/>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vertAlign w:val="baseline"/>
                <w:lang w:val="en-US" w:eastAsia="zh-CN"/>
              </w:rPr>
              <w:t>注：</w:t>
            </w:r>
            <w:r>
              <w:rPr>
                <w:rFonts w:hint="default" w:ascii="Times New Roman" w:hAnsi="Times New Roman" w:eastAsia="宋体" w:cs="Times New Roman"/>
                <w:b w:val="0"/>
                <w:bCs/>
                <w:sz w:val="21"/>
                <w:szCs w:val="21"/>
                <w:lang w:val="en-US" w:eastAsia="zh-CN"/>
              </w:rPr>
              <w:t>表中坐标以厂界中心（</w:t>
            </w:r>
            <w:bookmarkStart w:id="2" w:name="PO_7"/>
            <w:r>
              <w:rPr>
                <w:rFonts w:hint="default" w:ascii="Times New Roman" w:hAnsi="Times New Roman" w:eastAsia="宋体" w:cs="Times New Roman"/>
                <w:b w:val="0"/>
                <w:bCs/>
                <w:sz w:val="21"/>
                <w:szCs w:val="21"/>
                <w:lang w:val="en-US" w:eastAsia="zh-CN"/>
              </w:rPr>
              <w:t>116.538894,33.898513</w:t>
            </w:r>
            <w:bookmarkEnd w:id="2"/>
            <w:r>
              <w:rPr>
                <w:rFonts w:hint="default" w:ascii="Times New Roman" w:hAnsi="Times New Roman" w:eastAsia="宋体" w:cs="Times New Roman"/>
                <w:b w:val="0"/>
                <w:bCs/>
                <w:sz w:val="21"/>
                <w:szCs w:val="21"/>
                <w:lang w:val="en-US" w:eastAsia="zh-CN"/>
              </w:rPr>
              <w:t>）为坐标原点，正东向为X轴正方向，正北向为Y轴正方向</w:t>
            </w:r>
            <w:r>
              <w:rPr>
                <w:rFonts w:hint="eastAsia" w:ascii="Times New Roman" w:hAnsi="Times New Roman" w:cs="Times New Roman"/>
                <w:color w:val="auto"/>
                <w:vertAlign w:val="baseline"/>
                <w:lang w:val="en-US" w:eastAsia="zh-CN"/>
              </w:rPr>
              <w:t>。</w:t>
            </w:r>
          </w:p>
          <w:p>
            <w:pPr>
              <w:pStyle w:val="16"/>
              <w:spacing w:line="360" w:lineRule="auto"/>
              <w:ind w:firstLine="482"/>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经采取措施后，设备噪声源强可下降20dB（A）左右，降噪效果明显。</w:t>
            </w:r>
          </w:p>
          <w:p>
            <w:pPr>
              <w:pStyle w:val="16"/>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根据《环境影响评价技术导则</w:t>
            </w:r>
            <w:r>
              <w:rPr>
                <w:rFonts w:hint="eastAsia" w:ascii="Times New Roman" w:hAnsi="Times New Roman" w:cs="Times New Roman"/>
                <w:b w:val="0"/>
                <w:bCs w:val="0"/>
                <w:color w:val="auto"/>
                <w:kern w:val="0"/>
                <w:sz w:val="24"/>
                <w:szCs w:val="24"/>
                <w:u w:val="none"/>
                <w:lang w:val="en-US" w:eastAsia="zh-CN"/>
              </w:rPr>
              <w:t xml:space="preserve"> </w:t>
            </w:r>
            <w:r>
              <w:rPr>
                <w:rFonts w:hint="default" w:ascii="Times New Roman" w:hAnsi="Times New Roman" w:cs="Times New Roman"/>
                <w:b w:val="0"/>
                <w:bCs w:val="0"/>
                <w:color w:val="auto"/>
                <w:kern w:val="0"/>
                <w:sz w:val="24"/>
                <w:szCs w:val="24"/>
                <w:u w:val="none"/>
              </w:rPr>
              <w:t>声环境》（HJ 2.4-2021）中规定，本项目选用导则中附录A、B中给定的噪声预测模型，在不能取得声源倍频带声功率级或倍频带声压级，只能获得A声功率级或某点的A声级时，可用A声功率级或某点的A声级计算。</w:t>
            </w:r>
          </w:p>
          <w:p>
            <w:pPr>
              <w:pStyle w:val="16"/>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（1）预测条件假设</w:t>
            </w:r>
          </w:p>
          <w:p>
            <w:pPr>
              <w:pStyle w:val="16"/>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①所有产噪设备均在正常工况条件下运行；</w:t>
            </w:r>
          </w:p>
          <w:p>
            <w:pPr>
              <w:pStyle w:val="16"/>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②考虑室内声源所在厂房围护结构的隔声、吸声作用；</w:t>
            </w:r>
          </w:p>
          <w:p>
            <w:pPr>
              <w:pStyle w:val="16"/>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③衰减仅考虑几何发散衰减，屏障衰减。</w:t>
            </w:r>
          </w:p>
          <w:p>
            <w:pPr>
              <w:pStyle w:val="16"/>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（2）室内声源</w:t>
            </w:r>
          </w:p>
          <w:p>
            <w:pPr>
              <w:pStyle w:val="16"/>
              <w:spacing w:line="360" w:lineRule="auto"/>
              <w:ind w:firstLine="480" w:firstLineChars="200"/>
              <w:outlineLvl w:val="9"/>
              <w:rPr>
                <w:rFonts w:hint="default" w:ascii="Times New Roman" w:hAnsi="Times New Roman" w:cs="Times New Roman"/>
                <w:b w:val="0"/>
                <w:bCs w:val="0"/>
                <w:color w:val="auto"/>
                <w:kern w:val="0"/>
                <w:sz w:val="24"/>
                <w:szCs w:val="24"/>
                <w:u w:val="none"/>
                <w:lang w:eastAsia="zh-CN"/>
              </w:rPr>
            </w:pPr>
            <w:r>
              <w:rPr>
                <w:rFonts w:hint="default" w:ascii="Times New Roman" w:hAnsi="Times New Roman" w:cs="Times New Roman"/>
                <w:b w:val="0"/>
                <w:bCs w:val="0"/>
                <w:color w:val="auto"/>
                <w:kern w:val="0"/>
                <w:sz w:val="24"/>
                <w:szCs w:val="24"/>
                <w:u w:val="none"/>
              </w:rPr>
              <w:t>室内声源由室内向室外传播示意图见</w:t>
            </w:r>
            <w:r>
              <w:rPr>
                <w:rFonts w:hint="default" w:ascii="Times New Roman" w:hAnsi="Times New Roman" w:cs="Times New Roman"/>
                <w:b w:val="0"/>
                <w:bCs w:val="0"/>
                <w:color w:val="auto"/>
                <w:kern w:val="0"/>
                <w:sz w:val="24"/>
                <w:szCs w:val="24"/>
                <w:u w:val="none"/>
                <w:lang w:eastAsia="zh-CN"/>
              </w:rPr>
              <w:t>下</w:t>
            </w:r>
            <w:r>
              <w:rPr>
                <w:rFonts w:hint="default" w:ascii="Times New Roman" w:hAnsi="Times New Roman" w:cs="Times New Roman"/>
                <w:b w:val="0"/>
                <w:bCs w:val="0"/>
                <w:color w:val="auto"/>
                <w:kern w:val="0"/>
                <w:sz w:val="24"/>
                <w:szCs w:val="24"/>
                <w:u w:val="none"/>
              </w:rPr>
              <w:t>图</w:t>
            </w:r>
            <w:r>
              <w:rPr>
                <w:rFonts w:hint="default" w:ascii="Times New Roman" w:hAnsi="Times New Roman" w:cs="Times New Roman"/>
                <w:b w:val="0"/>
                <w:bCs w:val="0"/>
                <w:color w:val="auto"/>
                <w:kern w:val="0"/>
                <w:sz w:val="24"/>
                <w:szCs w:val="24"/>
                <w:u w:val="none"/>
                <w:lang w:eastAsia="zh-CN"/>
              </w:rPr>
              <w:t>。</w:t>
            </w:r>
          </w:p>
          <w:p>
            <w:pPr>
              <w:pStyle w:val="16"/>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①如果已知声源的声压级L(r0)，且声源位于地面上，则</w:t>
            </w:r>
          </w:p>
          <w:p>
            <w:pPr>
              <w:pStyle w:val="16"/>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inline distT="0" distB="0" distL="114300" distR="114300">
                  <wp:extent cx="1495425" cy="238125"/>
                  <wp:effectExtent l="0" t="0" r="9525" b="8255"/>
                  <wp:docPr id="9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
                          <pic:cNvPicPr>
                            <a:picLocks noChangeAspect="1"/>
                          </pic:cNvPicPr>
                        </pic:nvPicPr>
                        <pic:blipFill>
                          <a:blip r:embed="rId8"/>
                          <a:stretch>
                            <a:fillRect/>
                          </a:stretch>
                        </pic:blipFill>
                        <pic:spPr>
                          <a:xfrm>
                            <a:off x="0" y="0"/>
                            <a:ext cx="1495425" cy="238125"/>
                          </a:xfrm>
                          <a:prstGeom prst="rect">
                            <a:avLst/>
                          </a:prstGeom>
                          <a:noFill/>
                          <a:ln>
                            <a:noFill/>
                          </a:ln>
                        </pic:spPr>
                      </pic:pic>
                    </a:graphicData>
                  </a:graphic>
                </wp:inline>
              </w:drawing>
            </w:r>
          </w:p>
          <w:p>
            <w:pPr>
              <w:pStyle w:val="16"/>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②首先计算出某个室内声源靠近围护结构处的声压级：</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inline distT="0" distB="0" distL="114300" distR="114300">
                  <wp:extent cx="2070735" cy="504190"/>
                  <wp:effectExtent l="0" t="0" r="5715" b="10160"/>
                  <wp:docPr id="9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
                          <pic:cNvPicPr>
                            <a:picLocks noChangeAspect="1"/>
                          </pic:cNvPicPr>
                        </pic:nvPicPr>
                        <pic:blipFill>
                          <a:blip r:embed="rId9"/>
                          <a:stretch>
                            <a:fillRect/>
                          </a:stretch>
                        </pic:blipFill>
                        <pic:spPr>
                          <a:xfrm>
                            <a:off x="0" y="0"/>
                            <a:ext cx="2070735" cy="504190"/>
                          </a:xfrm>
                          <a:prstGeom prst="rect">
                            <a:avLst/>
                          </a:prstGeom>
                          <a:noFill/>
                          <a:ln>
                            <a:noFill/>
                          </a:ln>
                        </pic:spPr>
                      </pic:pic>
                    </a:graphicData>
                  </a:graphic>
                </wp:inline>
              </w:drawing>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式中：</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p1</w:t>
            </w:r>
            <w:r>
              <w:rPr>
                <w:rFonts w:hint="default" w:ascii="Times New Roman" w:hAnsi="Times New Roman" w:cs="Times New Roman"/>
                <w:b w:val="0"/>
                <w:bCs w:val="0"/>
                <w:color w:val="auto"/>
                <w:kern w:val="0"/>
                <w:sz w:val="24"/>
                <w:szCs w:val="24"/>
                <w:u w:val="none"/>
              </w:rPr>
              <w:t>：某个室内声源靠近围护结构处的声压级。</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w</w:t>
            </w:r>
            <w:r>
              <w:rPr>
                <w:rFonts w:hint="default" w:ascii="Times New Roman" w:hAnsi="Times New Roman" w:cs="Times New Roman"/>
                <w:b w:val="0"/>
                <w:bCs w:val="0"/>
                <w:color w:val="auto"/>
                <w:kern w:val="0"/>
                <w:sz w:val="24"/>
                <w:szCs w:val="24"/>
                <w:u w:val="none"/>
              </w:rPr>
              <w:t>：某个室内声源靠近围护结构处产生的声功率级。</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Q：指向性因数；通常对无指向性声源，当声源放在房间中心时，Q=1；当放在一面墙的中心时，Q=2；当放在两面墙夹角处时，Q=4；当放在三面墙夹角处时，Q=8。</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R：房间常数；R=Sa/(1-a)，S为房间内表面面积，m</w:t>
            </w:r>
            <w:r>
              <w:rPr>
                <w:rFonts w:hint="default" w:ascii="Times New Roman" w:hAnsi="Times New Roman" w:cs="Times New Roman"/>
                <w:b w:val="0"/>
                <w:bCs w:val="0"/>
                <w:color w:val="auto"/>
                <w:kern w:val="0"/>
                <w:sz w:val="24"/>
                <w:szCs w:val="24"/>
                <w:u w:val="none"/>
                <w:vertAlign w:val="superscript"/>
              </w:rPr>
              <w:t>2</w:t>
            </w:r>
            <w:r>
              <w:rPr>
                <w:rFonts w:hint="default" w:ascii="Times New Roman" w:hAnsi="Times New Roman" w:cs="Times New Roman"/>
                <w:b w:val="0"/>
                <w:bCs w:val="0"/>
                <w:color w:val="auto"/>
                <w:kern w:val="0"/>
                <w:sz w:val="24"/>
                <w:szCs w:val="24"/>
                <w:u w:val="none"/>
              </w:rPr>
              <w:t>；a为平均吸声系数，本评价a取0.15。</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r：声源到靠近围护结构某点处的距离，m。</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③计算出所有室内声源在围护结构处产生的总声压级：</w:t>
            </w:r>
          </w:p>
          <w:p>
            <w:pPr>
              <w:pStyle w:val="16"/>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inline distT="0" distB="0" distL="114300" distR="114300">
                  <wp:extent cx="1990725" cy="561975"/>
                  <wp:effectExtent l="0" t="0" r="9525" b="9525"/>
                  <wp:docPr id="10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1"/>
                          <pic:cNvPicPr>
                            <a:picLocks noChangeAspect="1"/>
                          </pic:cNvPicPr>
                        </pic:nvPicPr>
                        <pic:blipFill>
                          <a:blip r:embed="rId10"/>
                          <a:stretch>
                            <a:fillRect/>
                          </a:stretch>
                        </pic:blipFill>
                        <pic:spPr>
                          <a:xfrm>
                            <a:off x="0" y="0"/>
                            <a:ext cx="1990725" cy="561975"/>
                          </a:xfrm>
                          <a:prstGeom prst="rect">
                            <a:avLst/>
                          </a:prstGeom>
                          <a:noFill/>
                          <a:ln>
                            <a:noFill/>
                          </a:ln>
                        </pic:spPr>
                      </pic:pic>
                    </a:graphicData>
                  </a:graphic>
                </wp:inline>
              </w:drawing>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p1</w:t>
            </w:r>
            <w:r>
              <w:rPr>
                <w:rFonts w:hint="default" w:ascii="Times New Roman" w:hAnsi="Times New Roman" w:cs="Times New Roman"/>
                <w:b w:val="0"/>
                <w:bCs w:val="0"/>
                <w:color w:val="auto"/>
                <w:kern w:val="0"/>
                <w:sz w:val="24"/>
                <w:szCs w:val="24"/>
                <w:u w:val="none"/>
              </w:rPr>
              <w:t>(T)：靠近围护结构处室内N个声源的叠加声压级，dB(A)；</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p1.j</w:t>
            </w:r>
            <w:r>
              <w:rPr>
                <w:rFonts w:hint="default" w:ascii="Times New Roman" w:hAnsi="Times New Roman" w:cs="Times New Roman"/>
                <w:b w:val="0"/>
                <w:bCs w:val="0"/>
                <w:color w:val="auto"/>
                <w:kern w:val="0"/>
                <w:sz w:val="24"/>
                <w:szCs w:val="24"/>
                <w:u w:val="none"/>
              </w:rPr>
              <w:t>：j声源的声压级，dB(A)；</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N—室内声源总数。</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④计算出室外靠近围护结构处的声压级：</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inline distT="0" distB="0" distL="114300" distR="114300">
                  <wp:extent cx="1561465" cy="299720"/>
                  <wp:effectExtent l="0" t="0" r="635" b="5080"/>
                  <wp:docPr id="10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2"/>
                          <pic:cNvPicPr>
                            <a:picLocks noChangeAspect="1"/>
                          </pic:cNvPicPr>
                        </pic:nvPicPr>
                        <pic:blipFill>
                          <a:blip r:embed="rId11"/>
                          <a:stretch>
                            <a:fillRect/>
                          </a:stretch>
                        </pic:blipFill>
                        <pic:spPr>
                          <a:xfrm>
                            <a:off x="0" y="0"/>
                            <a:ext cx="1561465" cy="299720"/>
                          </a:xfrm>
                          <a:prstGeom prst="rect">
                            <a:avLst/>
                          </a:prstGeom>
                          <a:noFill/>
                          <a:ln>
                            <a:noFill/>
                          </a:ln>
                        </pic:spPr>
                      </pic:pic>
                    </a:graphicData>
                  </a:graphic>
                </wp:inline>
              </w:drawing>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式中：</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p1</w:t>
            </w:r>
            <w:r>
              <w:rPr>
                <w:rFonts w:hint="default" w:ascii="Times New Roman" w:hAnsi="Times New Roman" w:cs="Times New Roman"/>
                <w:b w:val="0"/>
                <w:bCs w:val="0"/>
                <w:color w:val="auto"/>
                <w:kern w:val="0"/>
                <w:sz w:val="24"/>
                <w:szCs w:val="24"/>
                <w:u w:val="none"/>
              </w:rPr>
              <w:t>：靠近开口处（或窗户）室内某倍频带的声压级或A声级，dB(A)；</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p2</w:t>
            </w:r>
            <w:r>
              <w:rPr>
                <w:rFonts w:hint="default" w:ascii="Times New Roman" w:hAnsi="Times New Roman" w:cs="Times New Roman"/>
                <w:b w:val="0"/>
                <w:bCs w:val="0"/>
                <w:color w:val="auto"/>
                <w:kern w:val="0"/>
                <w:sz w:val="24"/>
                <w:szCs w:val="24"/>
                <w:u w:val="none"/>
              </w:rPr>
              <w:t>：靠近开口处（或窗户）室内某倍频带的声压级或A声级，dB(A)；</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TL；隔墙（或窗户）倍频带的声压级或A声级的隔声量，dB(A)；</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anchor distT="0" distB="0" distL="114300" distR="114300" simplePos="0" relativeHeight="251663360" behindDoc="1" locked="0" layoutInCell="1" allowOverlap="1">
                  <wp:simplePos x="0" y="0"/>
                  <wp:positionH relativeFrom="column">
                    <wp:posOffset>1442085</wp:posOffset>
                  </wp:positionH>
                  <wp:positionV relativeFrom="paragraph">
                    <wp:posOffset>467360</wp:posOffset>
                  </wp:positionV>
                  <wp:extent cx="1789430" cy="276860"/>
                  <wp:effectExtent l="0" t="0" r="1270" b="8890"/>
                  <wp:wrapTight wrapText="bothSides">
                    <wp:wrapPolygon>
                      <wp:start x="0" y="0"/>
                      <wp:lineTo x="0" y="20114"/>
                      <wp:lineTo x="21385" y="20114"/>
                      <wp:lineTo x="21385" y="0"/>
                      <wp:lineTo x="0" y="0"/>
                    </wp:wrapPolygon>
                  </wp:wrapTight>
                  <wp:docPr id="10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1"/>
                          <pic:cNvPicPr>
                            <a:picLocks noChangeAspect="1"/>
                          </pic:cNvPicPr>
                        </pic:nvPicPr>
                        <pic:blipFill>
                          <a:blip r:embed="rId12"/>
                          <a:stretch>
                            <a:fillRect/>
                          </a:stretch>
                        </pic:blipFill>
                        <pic:spPr>
                          <a:xfrm>
                            <a:off x="0" y="0"/>
                            <a:ext cx="1789430" cy="276860"/>
                          </a:xfrm>
                          <a:prstGeom prst="rect">
                            <a:avLst/>
                          </a:prstGeom>
                          <a:noFill/>
                          <a:ln>
                            <a:noFill/>
                          </a:ln>
                        </pic:spPr>
                      </pic:pic>
                    </a:graphicData>
                  </a:graphic>
                </wp:anchor>
              </w:drawing>
            </w:r>
            <w:r>
              <w:rPr>
                <w:rFonts w:hint="default" w:ascii="Times New Roman" w:hAnsi="Times New Roman" w:cs="Times New Roman"/>
                <w:b w:val="0"/>
                <w:bCs w:val="0"/>
                <w:color w:val="auto"/>
                <w:kern w:val="0"/>
                <w:sz w:val="24"/>
                <w:szCs w:val="24"/>
                <w:u w:val="none"/>
              </w:rPr>
              <w:t>⑤将室外声级L</w:t>
            </w:r>
            <w:r>
              <w:rPr>
                <w:rFonts w:hint="default" w:ascii="Times New Roman" w:hAnsi="Times New Roman" w:cs="Times New Roman"/>
                <w:b w:val="0"/>
                <w:bCs w:val="0"/>
                <w:color w:val="auto"/>
                <w:kern w:val="0"/>
                <w:sz w:val="24"/>
                <w:szCs w:val="24"/>
                <w:u w:val="none"/>
                <w:vertAlign w:val="subscript"/>
              </w:rPr>
              <w:t>p2(T)</w:t>
            </w:r>
            <w:r>
              <w:rPr>
                <w:rFonts w:hint="default" w:ascii="Times New Roman" w:hAnsi="Times New Roman" w:cs="Times New Roman"/>
                <w:b w:val="0"/>
                <w:bCs w:val="0"/>
                <w:color w:val="auto"/>
                <w:kern w:val="0"/>
                <w:sz w:val="24"/>
                <w:szCs w:val="24"/>
                <w:u w:val="none"/>
              </w:rPr>
              <w:t>和透声面积换算成等效的室外声源，计算出等效声源的声功率级LW；</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式中：s 为透声面积，m</w:t>
            </w:r>
            <w:r>
              <w:rPr>
                <w:rFonts w:hint="default" w:ascii="Times New Roman" w:hAnsi="Times New Roman" w:cs="Times New Roman"/>
                <w:b w:val="0"/>
                <w:bCs w:val="0"/>
                <w:color w:val="auto"/>
                <w:kern w:val="0"/>
                <w:sz w:val="24"/>
                <w:szCs w:val="24"/>
                <w:u w:val="none"/>
                <w:vertAlign w:val="superscript"/>
              </w:rPr>
              <w:t>2</w:t>
            </w:r>
            <w:r>
              <w:rPr>
                <w:rFonts w:hint="default" w:ascii="Times New Roman" w:hAnsi="Times New Roman" w:cs="Times New Roman"/>
                <w:b w:val="0"/>
                <w:bCs w:val="0"/>
                <w:color w:val="auto"/>
                <w:kern w:val="0"/>
                <w:sz w:val="24"/>
                <w:szCs w:val="24"/>
                <w:u w:val="none"/>
              </w:rPr>
              <w:t>。</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⑥等效室外声源的位置为围护结构的位置，其声功率级为Lw，由此按室外声源方法计算等效室外声源在预测点产生的A声级。</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（3）室外声源</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计算某个声源在预测点的声压级</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inline distT="0" distB="0" distL="114300" distR="114300">
                  <wp:extent cx="1876425" cy="266700"/>
                  <wp:effectExtent l="0" t="0" r="9525" b="0"/>
                  <wp:docPr id="10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3"/>
                          <pic:cNvPicPr>
                            <a:picLocks noChangeAspect="1"/>
                          </pic:cNvPicPr>
                        </pic:nvPicPr>
                        <pic:blipFill>
                          <a:blip r:embed="rId13"/>
                          <a:stretch>
                            <a:fillRect/>
                          </a:stretch>
                        </pic:blipFill>
                        <pic:spPr>
                          <a:xfrm>
                            <a:off x="0" y="0"/>
                            <a:ext cx="1876425" cy="266700"/>
                          </a:xfrm>
                          <a:prstGeom prst="rect">
                            <a:avLst/>
                          </a:prstGeom>
                          <a:noFill/>
                          <a:ln>
                            <a:noFill/>
                          </a:ln>
                        </pic:spPr>
                      </pic:pic>
                    </a:graphicData>
                  </a:graphic>
                </wp:inline>
              </w:drawing>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式中：</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A</w:t>
            </w:r>
            <w:r>
              <w:rPr>
                <w:rFonts w:hint="default" w:ascii="Times New Roman" w:hAnsi="Times New Roman" w:cs="Times New Roman"/>
                <w:b w:val="0"/>
                <w:bCs w:val="0"/>
                <w:color w:val="auto"/>
                <w:kern w:val="0"/>
                <w:sz w:val="24"/>
                <w:szCs w:val="24"/>
                <w:u w:val="none"/>
              </w:rPr>
              <w:t>(r)：点声源在预测点产生的声压级，dB(A)；</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A</w:t>
            </w:r>
            <w:r>
              <w:rPr>
                <w:rFonts w:hint="default" w:ascii="Times New Roman" w:hAnsi="Times New Roman" w:cs="Times New Roman"/>
                <w:b w:val="0"/>
                <w:bCs w:val="0"/>
                <w:color w:val="auto"/>
                <w:kern w:val="0"/>
                <w:sz w:val="24"/>
                <w:szCs w:val="24"/>
                <w:u w:val="none"/>
              </w:rPr>
              <w:t>(r0)：参考位置r0处的声压级，dB(A)；</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r：预测点距声源的距离，m；</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r</w:t>
            </w:r>
            <w:r>
              <w:rPr>
                <w:rFonts w:hint="default" w:ascii="Times New Roman" w:hAnsi="Times New Roman" w:cs="Times New Roman"/>
                <w:b w:val="0"/>
                <w:bCs w:val="0"/>
                <w:color w:val="auto"/>
                <w:kern w:val="0"/>
                <w:sz w:val="24"/>
                <w:szCs w:val="24"/>
                <w:u w:val="none"/>
                <w:vertAlign w:val="subscript"/>
              </w:rPr>
              <w:t>0</w:t>
            </w:r>
            <w:r>
              <w:rPr>
                <w:rFonts w:hint="default" w:ascii="Times New Roman" w:hAnsi="Times New Roman" w:cs="Times New Roman"/>
                <w:b w:val="0"/>
                <w:bCs w:val="0"/>
                <w:color w:val="auto"/>
                <w:kern w:val="0"/>
                <w:sz w:val="24"/>
                <w:szCs w:val="24"/>
                <w:u w:val="none"/>
              </w:rPr>
              <w:t>：参考位置距声源的距离，m；</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A</w:t>
            </w:r>
            <w:r>
              <w:rPr>
                <w:rFonts w:hint="default" w:ascii="Times New Roman" w:hAnsi="Times New Roman" w:cs="Times New Roman"/>
                <w:b w:val="0"/>
                <w:bCs w:val="0"/>
                <w:color w:val="auto"/>
                <w:kern w:val="0"/>
                <w:sz w:val="24"/>
                <w:szCs w:val="24"/>
                <w:u w:val="none"/>
                <w:vertAlign w:val="subscript"/>
              </w:rPr>
              <w:t>div</w:t>
            </w:r>
            <w:r>
              <w:rPr>
                <w:rFonts w:hint="default" w:ascii="Times New Roman" w:hAnsi="Times New Roman" w:cs="Times New Roman"/>
                <w:b w:val="0"/>
                <w:bCs w:val="0"/>
                <w:color w:val="auto"/>
                <w:kern w:val="0"/>
                <w:sz w:val="24"/>
                <w:szCs w:val="24"/>
                <w:u w:val="none"/>
              </w:rPr>
              <w:t>：几何发散引起的衰减，dB；</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A</w:t>
            </w:r>
            <w:r>
              <w:rPr>
                <w:rFonts w:hint="default" w:ascii="Times New Roman" w:hAnsi="Times New Roman" w:cs="Times New Roman"/>
                <w:b w:val="0"/>
                <w:bCs w:val="0"/>
                <w:color w:val="auto"/>
                <w:kern w:val="0"/>
                <w:sz w:val="24"/>
                <w:szCs w:val="24"/>
                <w:u w:val="none"/>
                <w:vertAlign w:val="subscript"/>
              </w:rPr>
              <w:t>bar</w:t>
            </w:r>
            <w:r>
              <w:rPr>
                <w:rFonts w:hint="default" w:ascii="Times New Roman" w:hAnsi="Times New Roman" w:cs="Times New Roman"/>
                <w:b w:val="0"/>
                <w:bCs w:val="0"/>
                <w:color w:val="auto"/>
                <w:kern w:val="0"/>
                <w:sz w:val="24"/>
                <w:szCs w:val="24"/>
                <w:u w:val="none"/>
              </w:rPr>
              <w:t>：障碍物屏蔽引起的衰减，dB；</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（4）计算总声压级</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设第i个室外声源在预测点产生的A声级为L</w:t>
            </w:r>
            <w:r>
              <w:rPr>
                <w:rFonts w:hint="default" w:ascii="Times New Roman" w:hAnsi="Times New Roman" w:cs="Times New Roman"/>
                <w:b w:val="0"/>
                <w:bCs w:val="0"/>
                <w:color w:val="auto"/>
                <w:kern w:val="0"/>
                <w:sz w:val="24"/>
                <w:szCs w:val="24"/>
                <w:u w:val="none"/>
                <w:vertAlign w:val="subscript"/>
              </w:rPr>
              <w:t>A,i</w:t>
            </w:r>
            <w:r>
              <w:rPr>
                <w:rFonts w:hint="default" w:ascii="Times New Roman" w:hAnsi="Times New Roman" w:cs="Times New Roman"/>
                <w:b w:val="0"/>
                <w:bCs w:val="0"/>
                <w:color w:val="auto"/>
                <w:kern w:val="0"/>
                <w:sz w:val="24"/>
                <w:szCs w:val="24"/>
                <w:u w:val="none"/>
              </w:rPr>
              <w:t>，在T时间内该声源工作时间为t</w:t>
            </w:r>
            <w:r>
              <w:rPr>
                <w:rFonts w:hint="default" w:ascii="Times New Roman" w:hAnsi="Times New Roman" w:cs="Times New Roman"/>
                <w:b w:val="0"/>
                <w:bCs w:val="0"/>
                <w:color w:val="auto"/>
                <w:kern w:val="0"/>
                <w:sz w:val="24"/>
                <w:szCs w:val="24"/>
                <w:u w:val="none"/>
                <w:vertAlign w:val="subscript"/>
              </w:rPr>
              <w:t>i</w:t>
            </w:r>
            <w:r>
              <w:rPr>
                <w:rFonts w:hint="default" w:ascii="Times New Roman" w:hAnsi="Times New Roman" w:cs="Times New Roman"/>
                <w:b w:val="0"/>
                <w:bCs w:val="0"/>
                <w:color w:val="auto"/>
                <w:kern w:val="0"/>
                <w:sz w:val="24"/>
                <w:szCs w:val="24"/>
                <w:u w:val="none"/>
              </w:rPr>
              <w:t>；第j个等效室外声源在预测点产生的A声级为L</w:t>
            </w:r>
            <w:r>
              <w:rPr>
                <w:rFonts w:hint="default" w:ascii="Times New Roman" w:hAnsi="Times New Roman" w:cs="Times New Roman"/>
                <w:b w:val="0"/>
                <w:bCs w:val="0"/>
                <w:color w:val="auto"/>
                <w:kern w:val="0"/>
                <w:sz w:val="24"/>
                <w:szCs w:val="24"/>
                <w:u w:val="none"/>
                <w:vertAlign w:val="subscript"/>
              </w:rPr>
              <w:t>Aj</w:t>
            </w:r>
            <w:r>
              <w:rPr>
                <w:rFonts w:hint="default" w:ascii="Times New Roman" w:hAnsi="Times New Roman" w:cs="Times New Roman"/>
                <w:b w:val="0"/>
                <w:bCs w:val="0"/>
                <w:color w:val="auto"/>
                <w:kern w:val="0"/>
                <w:sz w:val="24"/>
                <w:szCs w:val="24"/>
                <w:u w:val="none"/>
              </w:rPr>
              <w:t>，在T时间内该声源工作时间为t</w:t>
            </w:r>
            <w:r>
              <w:rPr>
                <w:rFonts w:hint="default" w:ascii="Times New Roman" w:hAnsi="Times New Roman" w:cs="Times New Roman"/>
                <w:b w:val="0"/>
                <w:bCs w:val="0"/>
                <w:color w:val="auto"/>
                <w:kern w:val="0"/>
                <w:sz w:val="24"/>
                <w:szCs w:val="24"/>
                <w:u w:val="none"/>
                <w:vertAlign w:val="subscript"/>
              </w:rPr>
              <w:t>j</w:t>
            </w:r>
            <w:r>
              <w:rPr>
                <w:rFonts w:hint="default" w:ascii="Times New Roman" w:hAnsi="Times New Roman" w:cs="Times New Roman"/>
                <w:b w:val="0"/>
                <w:bCs w:val="0"/>
                <w:color w:val="auto"/>
                <w:kern w:val="0"/>
                <w:sz w:val="24"/>
                <w:szCs w:val="24"/>
                <w:u w:val="none"/>
              </w:rPr>
              <w:t>，则拟建工程声源对预测点产生的贡献值（L</w:t>
            </w:r>
            <w:r>
              <w:rPr>
                <w:rFonts w:hint="default" w:ascii="Times New Roman" w:hAnsi="Times New Roman" w:cs="Times New Roman"/>
                <w:b w:val="0"/>
                <w:bCs w:val="0"/>
                <w:color w:val="auto"/>
                <w:kern w:val="0"/>
                <w:sz w:val="24"/>
                <w:szCs w:val="24"/>
                <w:u w:val="none"/>
                <w:vertAlign w:val="subscript"/>
              </w:rPr>
              <w:t>eqg</w:t>
            </w:r>
            <w:r>
              <w:rPr>
                <w:rFonts w:hint="default" w:ascii="Times New Roman" w:hAnsi="Times New Roman" w:cs="Times New Roman"/>
                <w:b w:val="0"/>
                <w:bCs w:val="0"/>
                <w:color w:val="auto"/>
                <w:kern w:val="0"/>
                <w:sz w:val="24"/>
                <w:szCs w:val="24"/>
                <w:u w:val="none"/>
              </w:rPr>
              <w:t>）</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inline distT="0" distB="0" distL="114300" distR="114300">
                  <wp:extent cx="3421380" cy="617855"/>
                  <wp:effectExtent l="0" t="0" r="7620" b="10795"/>
                  <wp:docPr id="10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4"/>
                          <pic:cNvPicPr>
                            <a:picLocks noChangeAspect="1"/>
                          </pic:cNvPicPr>
                        </pic:nvPicPr>
                        <pic:blipFill>
                          <a:blip r:embed="rId14"/>
                          <a:stretch>
                            <a:fillRect/>
                          </a:stretch>
                        </pic:blipFill>
                        <pic:spPr>
                          <a:xfrm>
                            <a:off x="0" y="0"/>
                            <a:ext cx="3421380" cy="617855"/>
                          </a:xfrm>
                          <a:prstGeom prst="rect">
                            <a:avLst/>
                          </a:prstGeom>
                          <a:noFill/>
                          <a:ln>
                            <a:noFill/>
                          </a:ln>
                        </pic:spPr>
                      </pic:pic>
                    </a:graphicData>
                  </a:graphic>
                </wp:inline>
              </w:drawing>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式中：</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T</w:t>
            </w:r>
            <w:r>
              <w:rPr>
                <w:rFonts w:hint="default" w:ascii="Times New Roman" w:hAnsi="Times New Roman" w:cs="Times New Roman"/>
                <w:b w:val="0"/>
                <w:bCs w:val="0"/>
                <w:color w:val="auto"/>
                <w:kern w:val="0"/>
                <w:sz w:val="24"/>
                <w:szCs w:val="24"/>
                <w:u w:val="none"/>
                <w:lang w:eastAsia="zh-CN"/>
              </w:rPr>
              <w:t>：</w:t>
            </w:r>
            <w:r>
              <w:rPr>
                <w:rFonts w:hint="default" w:ascii="Times New Roman" w:hAnsi="Times New Roman" w:cs="Times New Roman"/>
                <w:b w:val="0"/>
                <w:bCs w:val="0"/>
                <w:color w:val="auto"/>
                <w:kern w:val="0"/>
                <w:sz w:val="24"/>
                <w:szCs w:val="24"/>
                <w:u w:val="none"/>
              </w:rPr>
              <w:t>用于计算等效声级的时间，s；</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N</w:t>
            </w:r>
            <w:r>
              <w:rPr>
                <w:rFonts w:hint="default" w:ascii="Times New Roman" w:hAnsi="Times New Roman" w:cs="Times New Roman"/>
                <w:b w:val="0"/>
                <w:bCs w:val="0"/>
                <w:color w:val="auto"/>
                <w:kern w:val="0"/>
                <w:sz w:val="24"/>
                <w:szCs w:val="24"/>
                <w:u w:val="none"/>
                <w:lang w:eastAsia="zh-CN"/>
              </w:rPr>
              <w:t>：</w:t>
            </w:r>
            <w:r>
              <w:rPr>
                <w:rFonts w:hint="default" w:ascii="Times New Roman" w:hAnsi="Times New Roman" w:cs="Times New Roman"/>
                <w:b w:val="0"/>
                <w:bCs w:val="0"/>
                <w:color w:val="auto"/>
                <w:kern w:val="0"/>
                <w:sz w:val="24"/>
                <w:szCs w:val="24"/>
                <w:u w:val="none"/>
              </w:rPr>
              <w:t>室外声源个数；</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T</w:t>
            </w:r>
            <w:r>
              <w:rPr>
                <w:rFonts w:hint="default" w:ascii="Times New Roman" w:hAnsi="Times New Roman" w:cs="Times New Roman"/>
                <w:b w:val="0"/>
                <w:bCs w:val="0"/>
                <w:color w:val="auto"/>
                <w:kern w:val="0"/>
                <w:sz w:val="24"/>
                <w:szCs w:val="24"/>
                <w:u w:val="none"/>
                <w:vertAlign w:val="subscript"/>
              </w:rPr>
              <w:t>i</w:t>
            </w:r>
            <w:r>
              <w:rPr>
                <w:rFonts w:hint="default" w:ascii="Times New Roman" w:hAnsi="Times New Roman" w:cs="Times New Roman"/>
                <w:b w:val="0"/>
                <w:bCs w:val="0"/>
                <w:color w:val="auto"/>
                <w:kern w:val="0"/>
                <w:sz w:val="24"/>
                <w:szCs w:val="24"/>
                <w:u w:val="none"/>
                <w:lang w:eastAsia="zh-CN"/>
              </w:rPr>
              <w:t>：</w:t>
            </w:r>
            <w:r>
              <w:rPr>
                <w:rFonts w:hint="default" w:ascii="Times New Roman" w:hAnsi="Times New Roman" w:cs="Times New Roman"/>
                <w:b w:val="0"/>
                <w:bCs w:val="0"/>
                <w:color w:val="auto"/>
                <w:kern w:val="0"/>
                <w:sz w:val="24"/>
                <w:szCs w:val="24"/>
                <w:u w:val="none"/>
              </w:rPr>
              <w:t>在T时间内i声源工作时间，s；</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M——等效室外声源个数；</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t</w:t>
            </w:r>
            <w:r>
              <w:rPr>
                <w:rFonts w:hint="default" w:ascii="Times New Roman" w:hAnsi="Times New Roman" w:cs="Times New Roman"/>
                <w:b w:val="0"/>
                <w:bCs w:val="0"/>
                <w:color w:val="auto"/>
                <w:kern w:val="0"/>
                <w:sz w:val="24"/>
                <w:szCs w:val="24"/>
                <w:u w:val="none"/>
                <w:vertAlign w:val="subscript"/>
              </w:rPr>
              <w:t>j</w:t>
            </w:r>
            <w:r>
              <w:rPr>
                <w:rFonts w:hint="default" w:ascii="Times New Roman" w:hAnsi="Times New Roman" w:cs="Times New Roman"/>
                <w:b w:val="0"/>
                <w:bCs w:val="0"/>
                <w:color w:val="auto"/>
                <w:kern w:val="0"/>
                <w:sz w:val="24"/>
                <w:szCs w:val="24"/>
                <w:u w:val="none"/>
                <w:lang w:eastAsia="zh-CN"/>
              </w:rPr>
              <w:t>：</w:t>
            </w:r>
            <w:r>
              <w:rPr>
                <w:rFonts w:hint="default" w:ascii="Times New Roman" w:hAnsi="Times New Roman" w:cs="Times New Roman"/>
                <w:b w:val="0"/>
                <w:bCs w:val="0"/>
                <w:color w:val="auto"/>
                <w:kern w:val="0"/>
                <w:sz w:val="24"/>
                <w:szCs w:val="24"/>
                <w:u w:val="none"/>
              </w:rPr>
              <w:t>在T时间内j声源工作时间，s。</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（5）噪声预测计算</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anchor distT="0" distB="0" distL="114300" distR="114300" simplePos="0" relativeHeight="251664384" behindDoc="1" locked="0" layoutInCell="1" allowOverlap="1">
                  <wp:simplePos x="0" y="0"/>
                  <wp:positionH relativeFrom="column">
                    <wp:posOffset>1369060</wp:posOffset>
                  </wp:positionH>
                  <wp:positionV relativeFrom="paragraph">
                    <wp:posOffset>43180</wp:posOffset>
                  </wp:positionV>
                  <wp:extent cx="2228215" cy="457835"/>
                  <wp:effectExtent l="0" t="0" r="635" b="18415"/>
                  <wp:wrapTight wrapText="bothSides">
                    <wp:wrapPolygon>
                      <wp:start x="0" y="0"/>
                      <wp:lineTo x="0" y="20671"/>
                      <wp:lineTo x="21421" y="20671"/>
                      <wp:lineTo x="21421" y="0"/>
                      <wp:lineTo x="0" y="0"/>
                    </wp:wrapPolygon>
                  </wp:wrapTight>
                  <wp:docPr id="10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4"/>
                          <pic:cNvPicPr>
                            <a:picLocks noChangeAspect="1"/>
                          </pic:cNvPicPr>
                        </pic:nvPicPr>
                        <pic:blipFill>
                          <a:blip r:embed="rId15"/>
                          <a:stretch>
                            <a:fillRect/>
                          </a:stretch>
                        </pic:blipFill>
                        <pic:spPr>
                          <a:xfrm>
                            <a:off x="0" y="0"/>
                            <a:ext cx="2228215" cy="457835"/>
                          </a:xfrm>
                          <a:prstGeom prst="rect">
                            <a:avLst/>
                          </a:prstGeom>
                          <a:noFill/>
                          <a:ln>
                            <a:noFill/>
                          </a:ln>
                        </pic:spPr>
                      </pic:pic>
                    </a:graphicData>
                  </a:graphic>
                </wp:anchor>
              </w:drawing>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式中：</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eqg</w:t>
            </w:r>
            <w:r>
              <w:rPr>
                <w:rFonts w:hint="default" w:ascii="Times New Roman" w:hAnsi="Times New Roman" w:cs="Times New Roman"/>
                <w:b w:val="0"/>
                <w:bCs w:val="0"/>
                <w:color w:val="auto"/>
                <w:kern w:val="0"/>
                <w:sz w:val="24"/>
                <w:szCs w:val="24"/>
                <w:u w:val="none"/>
              </w:rPr>
              <w:t>：项目声源在预测点的等效声级贡献值，dB(A)；</w:t>
            </w:r>
          </w:p>
          <w:p>
            <w:pPr>
              <w:pStyle w:val="16"/>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eqb</w:t>
            </w:r>
            <w:r>
              <w:rPr>
                <w:rFonts w:hint="default" w:ascii="Times New Roman" w:hAnsi="Times New Roman" w:cs="Times New Roman"/>
                <w:b w:val="0"/>
                <w:bCs w:val="0"/>
                <w:color w:val="auto"/>
                <w:kern w:val="0"/>
                <w:sz w:val="24"/>
                <w:szCs w:val="24"/>
                <w:u w:val="none"/>
              </w:rPr>
              <w:t>：预测点的背景值，dB(A)。</w:t>
            </w:r>
          </w:p>
          <w:p>
            <w:pPr>
              <w:pStyle w:val="16"/>
              <w:snapToGrid/>
              <w:spacing w:line="360" w:lineRule="auto"/>
              <w:ind w:firstLine="482"/>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根据本项目噪声源的分布，对项目四周厂界处噪声排放量进行预测计算，</w:t>
            </w:r>
            <w:r>
              <w:rPr>
                <w:rFonts w:hint="default" w:ascii="Times New Roman" w:hAnsi="Times New Roman" w:eastAsia="宋体" w:cs="Times New Roman"/>
                <w:color w:val="auto"/>
                <w:sz w:val="24"/>
                <w:szCs w:val="24"/>
              </w:rPr>
              <w:t>项目建成后，项目主要噪声源对</w:t>
            </w:r>
            <w:r>
              <w:rPr>
                <w:rFonts w:hint="default" w:ascii="Times New Roman" w:hAnsi="Times New Roman" w:eastAsia="宋体" w:cs="Times New Roman"/>
                <w:bCs/>
                <w:color w:val="auto"/>
                <w:sz w:val="24"/>
                <w:szCs w:val="24"/>
              </w:rPr>
              <w:t>四周厂界噪声的预测结果见</w:t>
            </w:r>
            <w:r>
              <w:rPr>
                <w:rFonts w:hint="default" w:ascii="Times New Roman" w:hAnsi="Times New Roman" w:eastAsia="宋体" w:cs="Times New Roman"/>
                <w:bCs/>
                <w:color w:val="auto"/>
                <w:sz w:val="24"/>
                <w:szCs w:val="24"/>
                <w:lang w:eastAsia="zh-CN"/>
              </w:rPr>
              <w:t>下</w:t>
            </w:r>
            <w:r>
              <w:rPr>
                <w:rFonts w:hint="default" w:ascii="Times New Roman" w:hAnsi="Times New Roman" w:eastAsia="宋体" w:cs="Times New Roman"/>
                <w:bCs/>
                <w:color w:val="auto"/>
                <w:sz w:val="24"/>
                <w:szCs w:val="24"/>
              </w:rPr>
              <w:t>表。</w:t>
            </w:r>
          </w:p>
          <w:p>
            <w:pPr>
              <w:pStyle w:val="2"/>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声环境预测结果统计及分析</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8"/>
              <w:gridCol w:w="694"/>
              <w:gridCol w:w="764"/>
              <w:gridCol w:w="484"/>
              <w:gridCol w:w="646"/>
              <w:gridCol w:w="963"/>
              <w:gridCol w:w="1181"/>
              <w:gridCol w:w="1066"/>
              <w:gridCol w:w="885"/>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exact"/>
                <w:jc w:val="center"/>
              </w:trPr>
              <w:tc>
                <w:tcPr>
                  <w:tcW w:w="26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预测方位</w:t>
                  </w:r>
                </w:p>
              </w:tc>
              <w:tc>
                <w:tcPr>
                  <w:tcW w:w="122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最大值点</w:t>
                  </w:r>
                  <w:r>
                    <w:rPr>
                      <w:rFonts w:hint="default" w:ascii="Times New Roman" w:hAnsi="Times New Roman" w:cs="Times New Roman" w:eastAsiaTheme="minorEastAsia"/>
                      <w:b w:val="0"/>
                      <w:bCs/>
                      <w:sz w:val="21"/>
                      <w:szCs w:val="21"/>
                    </w:rPr>
                    <w:t>空间相对位置/m</w:t>
                  </w:r>
                </w:p>
              </w:tc>
              <w:tc>
                <w:tcPr>
                  <w:tcW w:w="40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时段</w:t>
                  </w:r>
                </w:p>
              </w:tc>
              <w:tc>
                <w:tcPr>
                  <w:tcW w:w="605"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现状值</w:t>
                  </w:r>
                  <w:r>
                    <w:rPr>
                      <w:rFonts w:hint="default" w:ascii="Times New Roman" w:hAnsi="Times New Roman" w:cs="Times New Roman" w:eastAsiaTheme="minorEastAsia"/>
                      <w:b w:val="0"/>
                      <w:bCs/>
                      <w:sz w:val="21"/>
                      <w:szCs w:val="21"/>
                    </w:rPr>
                    <w:t>（dB(A)）</w:t>
                  </w:r>
                </w:p>
              </w:tc>
              <w:tc>
                <w:tcPr>
                  <w:tcW w:w="74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贡献值（dB(A)）</w:t>
                  </w:r>
                </w:p>
              </w:tc>
              <w:tc>
                <w:tcPr>
                  <w:tcW w:w="67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预测值</w:t>
                  </w:r>
                  <w:r>
                    <w:rPr>
                      <w:rFonts w:hint="default" w:ascii="Times New Roman" w:hAnsi="Times New Roman" w:cs="Times New Roman" w:eastAsiaTheme="minorEastAsia"/>
                      <w:b w:val="0"/>
                      <w:bCs/>
                      <w:sz w:val="21"/>
                      <w:szCs w:val="21"/>
                    </w:rPr>
                    <w:t>（dB(A)）</w:t>
                  </w:r>
                </w:p>
              </w:tc>
              <w:tc>
                <w:tcPr>
                  <w:tcW w:w="556"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标准限值（dB(A)）</w:t>
                  </w:r>
                </w:p>
              </w:tc>
              <w:tc>
                <w:tcPr>
                  <w:tcW w:w="530"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8" w:hRule="atLeast"/>
                <w:jc w:val="center"/>
              </w:trPr>
              <w:tc>
                <w:tcPr>
                  <w:tcW w:w="26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p>
              </w:tc>
              <w:tc>
                <w:tcPr>
                  <w:tcW w:w="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X</w:t>
                  </w:r>
                </w:p>
              </w:tc>
              <w:tc>
                <w:tcPr>
                  <w:tcW w:w="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Y</w:t>
                  </w:r>
                </w:p>
              </w:tc>
              <w:tc>
                <w:tcPr>
                  <w:tcW w:w="3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Z</w:t>
                  </w:r>
                </w:p>
              </w:tc>
              <w:tc>
                <w:tcPr>
                  <w:tcW w:w="40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p>
              </w:tc>
              <w:tc>
                <w:tcPr>
                  <w:tcW w:w="605"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p>
              </w:tc>
              <w:tc>
                <w:tcPr>
                  <w:tcW w:w="74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p>
              </w:tc>
              <w:tc>
                <w:tcPr>
                  <w:tcW w:w="67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p>
              </w:tc>
              <w:tc>
                <w:tcPr>
                  <w:tcW w:w="55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p>
              </w:tc>
              <w:tc>
                <w:tcPr>
                  <w:tcW w:w="530"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8" w:hRule="exact"/>
                <w:jc w:val="center"/>
              </w:trPr>
              <w:tc>
                <w:tcPr>
                  <w:tcW w:w="26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东侧</w:t>
                  </w:r>
                </w:p>
              </w:tc>
              <w:tc>
                <w:tcPr>
                  <w:tcW w:w="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324.2</w:t>
                  </w:r>
                </w:p>
              </w:tc>
              <w:tc>
                <w:tcPr>
                  <w:tcW w:w="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-68.9</w:t>
                  </w:r>
                </w:p>
              </w:tc>
              <w:tc>
                <w:tcPr>
                  <w:tcW w:w="3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1.2</w:t>
                  </w:r>
                </w:p>
              </w:tc>
              <w:tc>
                <w:tcPr>
                  <w:tcW w:w="40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昼间</w:t>
                  </w:r>
                </w:p>
              </w:tc>
              <w:tc>
                <w:tcPr>
                  <w:tcW w:w="60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Arial" w:cs="Times New Roman"/>
                      <w:b w:val="0"/>
                      <w:bCs/>
                      <w:sz w:val="21"/>
                      <w:szCs w:val="21"/>
                    </w:rPr>
                  </w:pPr>
                  <w:r>
                    <w:rPr>
                      <w:rFonts w:hint="default" w:ascii="Times New Roman" w:hAnsi="Times New Roman" w:eastAsia="Arial" w:cs="Times New Roman"/>
                      <w:b w:val="0"/>
                      <w:bCs/>
                      <w:sz w:val="21"/>
                      <w:szCs w:val="21"/>
                    </w:rPr>
                    <w:t>55.9</w:t>
                  </w:r>
                </w:p>
              </w:tc>
              <w:tc>
                <w:tcPr>
                  <w:tcW w:w="74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4.4</w:t>
                  </w:r>
                </w:p>
              </w:tc>
              <w:tc>
                <w:tcPr>
                  <w:tcW w:w="67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Arial" w:cs="Times New Roman"/>
                      <w:b w:val="0"/>
                      <w:bCs/>
                      <w:sz w:val="21"/>
                      <w:szCs w:val="21"/>
                    </w:rPr>
                  </w:pPr>
                  <w:r>
                    <w:rPr>
                      <w:rFonts w:hint="default" w:ascii="Times New Roman" w:hAnsi="Times New Roman" w:eastAsia="Arial" w:cs="Times New Roman"/>
                      <w:b w:val="0"/>
                      <w:bCs/>
                      <w:sz w:val="21"/>
                      <w:szCs w:val="21"/>
                    </w:rPr>
                    <w:t>55.9</w:t>
                  </w:r>
                </w:p>
              </w:tc>
              <w:tc>
                <w:tcPr>
                  <w:tcW w:w="5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60</w:t>
                  </w:r>
                </w:p>
              </w:tc>
              <w:tc>
                <w:tcPr>
                  <w:tcW w:w="53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3" w:hRule="exact"/>
                <w:jc w:val="center"/>
              </w:trPr>
              <w:tc>
                <w:tcPr>
                  <w:tcW w:w="26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东侧</w:t>
                  </w:r>
                </w:p>
              </w:tc>
              <w:tc>
                <w:tcPr>
                  <w:tcW w:w="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324.2</w:t>
                  </w:r>
                </w:p>
              </w:tc>
              <w:tc>
                <w:tcPr>
                  <w:tcW w:w="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-68.9</w:t>
                  </w:r>
                </w:p>
              </w:tc>
              <w:tc>
                <w:tcPr>
                  <w:tcW w:w="3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1.2</w:t>
                  </w:r>
                </w:p>
              </w:tc>
              <w:tc>
                <w:tcPr>
                  <w:tcW w:w="40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夜间</w:t>
                  </w:r>
                </w:p>
              </w:tc>
              <w:tc>
                <w:tcPr>
                  <w:tcW w:w="60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47.0</w:t>
                  </w:r>
                </w:p>
              </w:tc>
              <w:tc>
                <w:tcPr>
                  <w:tcW w:w="74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4.4</w:t>
                  </w:r>
                </w:p>
              </w:tc>
              <w:tc>
                <w:tcPr>
                  <w:tcW w:w="67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Arial" w:cs="Times New Roman"/>
                      <w:b w:val="0"/>
                      <w:bCs/>
                      <w:sz w:val="21"/>
                      <w:szCs w:val="21"/>
                    </w:rPr>
                  </w:pPr>
                  <w:r>
                    <w:rPr>
                      <w:rFonts w:hint="default" w:ascii="Times New Roman" w:hAnsi="Times New Roman" w:eastAsia="宋体" w:cs="Times New Roman"/>
                      <w:b w:val="0"/>
                      <w:bCs/>
                      <w:sz w:val="21"/>
                      <w:szCs w:val="21"/>
                      <w:lang w:val="en-US" w:eastAsia="zh-CN"/>
                    </w:rPr>
                    <w:t>47.0</w:t>
                  </w:r>
                </w:p>
              </w:tc>
              <w:tc>
                <w:tcPr>
                  <w:tcW w:w="5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50</w:t>
                  </w:r>
                </w:p>
              </w:tc>
              <w:tc>
                <w:tcPr>
                  <w:tcW w:w="53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3" w:hRule="exact"/>
                <w:jc w:val="center"/>
              </w:trPr>
              <w:tc>
                <w:tcPr>
                  <w:tcW w:w="26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南侧</w:t>
                  </w:r>
                </w:p>
              </w:tc>
              <w:tc>
                <w:tcPr>
                  <w:tcW w:w="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-46.6</w:t>
                  </w:r>
                </w:p>
              </w:tc>
              <w:tc>
                <w:tcPr>
                  <w:tcW w:w="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-245.7</w:t>
                  </w:r>
                </w:p>
              </w:tc>
              <w:tc>
                <w:tcPr>
                  <w:tcW w:w="3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1.2</w:t>
                  </w:r>
                </w:p>
              </w:tc>
              <w:tc>
                <w:tcPr>
                  <w:tcW w:w="40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昼间</w:t>
                  </w:r>
                </w:p>
              </w:tc>
              <w:tc>
                <w:tcPr>
                  <w:tcW w:w="60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56.9</w:t>
                  </w:r>
                </w:p>
              </w:tc>
              <w:tc>
                <w:tcPr>
                  <w:tcW w:w="74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16.6</w:t>
                  </w:r>
                </w:p>
              </w:tc>
              <w:tc>
                <w:tcPr>
                  <w:tcW w:w="67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Arial" w:cs="Times New Roman"/>
                      <w:b w:val="0"/>
                      <w:bCs/>
                      <w:sz w:val="21"/>
                      <w:szCs w:val="21"/>
                    </w:rPr>
                  </w:pPr>
                  <w:r>
                    <w:rPr>
                      <w:rFonts w:hint="default" w:ascii="Times New Roman" w:hAnsi="Times New Roman" w:eastAsia="宋体" w:cs="Times New Roman"/>
                      <w:b w:val="0"/>
                      <w:bCs/>
                      <w:sz w:val="21"/>
                      <w:szCs w:val="21"/>
                      <w:lang w:val="en-US" w:eastAsia="zh-CN"/>
                    </w:rPr>
                    <w:t>56.9</w:t>
                  </w:r>
                </w:p>
              </w:tc>
              <w:tc>
                <w:tcPr>
                  <w:tcW w:w="5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60</w:t>
                  </w:r>
                </w:p>
              </w:tc>
              <w:tc>
                <w:tcPr>
                  <w:tcW w:w="53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exact"/>
                <w:jc w:val="center"/>
              </w:trPr>
              <w:tc>
                <w:tcPr>
                  <w:tcW w:w="26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南侧</w:t>
                  </w:r>
                </w:p>
              </w:tc>
              <w:tc>
                <w:tcPr>
                  <w:tcW w:w="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-46.6</w:t>
                  </w:r>
                </w:p>
              </w:tc>
              <w:tc>
                <w:tcPr>
                  <w:tcW w:w="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-245.7</w:t>
                  </w:r>
                </w:p>
              </w:tc>
              <w:tc>
                <w:tcPr>
                  <w:tcW w:w="3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1.2</w:t>
                  </w:r>
                </w:p>
              </w:tc>
              <w:tc>
                <w:tcPr>
                  <w:tcW w:w="40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夜间</w:t>
                  </w:r>
                </w:p>
              </w:tc>
              <w:tc>
                <w:tcPr>
                  <w:tcW w:w="60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47.9</w:t>
                  </w:r>
                </w:p>
              </w:tc>
              <w:tc>
                <w:tcPr>
                  <w:tcW w:w="74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16.6</w:t>
                  </w:r>
                </w:p>
              </w:tc>
              <w:tc>
                <w:tcPr>
                  <w:tcW w:w="67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Arial" w:cs="Times New Roman"/>
                      <w:b w:val="0"/>
                      <w:bCs/>
                      <w:sz w:val="21"/>
                      <w:szCs w:val="21"/>
                    </w:rPr>
                  </w:pPr>
                  <w:r>
                    <w:rPr>
                      <w:rFonts w:hint="default" w:ascii="Times New Roman" w:hAnsi="Times New Roman" w:eastAsia="宋体" w:cs="Times New Roman"/>
                      <w:b w:val="0"/>
                      <w:bCs/>
                      <w:sz w:val="21"/>
                      <w:szCs w:val="21"/>
                      <w:lang w:val="en-US" w:eastAsia="zh-CN"/>
                    </w:rPr>
                    <w:t>47.9</w:t>
                  </w:r>
                </w:p>
              </w:tc>
              <w:tc>
                <w:tcPr>
                  <w:tcW w:w="5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50</w:t>
                  </w:r>
                </w:p>
              </w:tc>
              <w:tc>
                <w:tcPr>
                  <w:tcW w:w="53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exact"/>
                <w:jc w:val="center"/>
              </w:trPr>
              <w:tc>
                <w:tcPr>
                  <w:tcW w:w="26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西侧</w:t>
                  </w:r>
                </w:p>
              </w:tc>
              <w:tc>
                <w:tcPr>
                  <w:tcW w:w="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-95.2</w:t>
                  </w:r>
                </w:p>
              </w:tc>
              <w:tc>
                <w:tcPr>
                  <w:tcW w:w="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-246.4</w:t>
                  </w:r>
                </w:p>
              </w:tc>
              <w:tc>
                <w:tcPr>
                  <w:tcW w:w="3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1.2</w:t>
                  </w:r>
                </w:p>
              </w:tc>
              <w:tc>
                <w:tcPr>
                  <w:tcW w:w="40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昼间</w:t>
                  </w:r>
                </w:p>
              </w:tc>
              <w:tc>
                <w:tcPr>
                  <w:tcW w:w="60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Arial" w:cs="Times New Roman"/>
                      <w:b w:val="0"/>
                      <w:bCs/>
                      <w:sz w:val="21"/>
                      <w:szCs w:val="21"/>
                    </w:rPr>
                  </w:pPr>
                  <w:r>
                    <w:rPr>
                      <w:rFonts w:hint="default" w:ascii="Times New Roman" w:hAnsi="Times New Roman" w:eastAsia="Arial" w:cs="Times New Roman"/>
                      <w:b w:val="0"/>
                      <w:bCs/>
                      <w:sz w:val="21"/>
                      <w:szCs w:val="21"/>
                    </w:rPr>
                    <w:t>53.9</w:t>
                  </w:r>
                </w:p>
              </w:tc>
              <w:tc>
                <w:tcPr>
                  <w:tcW w:w="74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15.7</w:t>
                  </w:r>
                </w:p>
              </w:tc>
              <w:tc>
                <w:tcPr>
                  <w:tcW w:w="67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Arial" w:cs="Times New Roman"/>
                      <w:b w:val="0"/>
                      <w:bCs/>
                      <w:sz w:val="21"/>
                      <w:szCs w:val="21"/>
                    </w:rPr>
                  </w:pPr>
                  <w:r>
                    <w:rPr>
                      <w:rFonts w:hint="default" w:ascii="Times New Roman" w:hAnsi="Times New Roman" w:eastAsia="Arial" w:cs="Times New Roman"/>
                      <w:b w:val="0"/>
                      <w:bCs/>
                      <w:sz w:val="21"/>
                      <w:szCs w:val="21"/>
                    </w:rPr>
                    <w:t>53.9</w:t>
                  </w:r>
                </w:p>
              </w:tc>
              <w:tc>
                <w:tcPr>
                  <w:tcW w:w="5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70</w:t>
                  </w:r>
                </w:p>
              </w:tc>
              <w:tc>
                <w:tcPr>
                  <w:tcW w:w="53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3" w:hRule="exact"/>
                <w:jc w:val="center"/>
              </w:trPr>
              <w:tc>
                <w:tcPr>
                  <w:tcW w:w="26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西侧</w:t>
                  </w:r>
                </w:p>
              </w:tc>
              <w:tc>
                <w:tcPr>
                  <w:tcW w:w="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-95.2</w:t>
                  </w:r>
                </w:p>
              </w:tc>
              <w:tc>
                <w:tcPr>
                  <w:tcW w:w="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-246.4</w:t>
                  </w:r>
                </w:p>
              </w:tc>
              <w:tc>
                <w:tcPr>
                  <w:tcW w:w="3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1.2</w:t>
                  </w:r>
                </w:p>
              </w:tc>
              <w:tc>
                <w:tcPr>
                  <w:tcW w:w="40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夜间</w:t>
                  </w:r>
                </w:p>
              </w:tc>
              <w:tc>
                <w:tcPr>
                  <w:tcW w:w="60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Arial" w:cs="Times New Roman"/>
                      <w:b w:val="0"/>
                      <w:bCs/>
                      <w:sz w:val="21"/>
                      <w:szCs w:val="21"/>
                    </w:rPr>
                  </w:pPr>
                  <w:r>
                    <w:rPr>
                      <w:rFonts w:hint="default" w:ascii="Times New Roman" w:hAnsi="Times New Roman" w:eastAsia="宋体" w:cs="Times New Roman"/>
                      <w:b w:val="0"/>
                      <w:bCs/>
                      <w:sz w:val="21"/>
                      <w:szCs w:val="21"/>
                      <w:lang w:val="en-US" w:eastAsia="zh-CN"/>
                    </w:rPr>
                    <w:t>46.2</w:t>
                  </w:r>
                </w:p>
              </w:tc>
              <w:tc>
                <w:tcPr>
                  <w:tcW w:w="74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15.7</w:t>
                  </w:r>
                </w:p>
              </w:tc>
              <w:tc>
                <w:tcPr>
                  <w:tcW w:w="67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Arial" w:cs="Times New Roman"/>
                      <w:b w:val="0"/>
                      <w:bCs/>
                      <w:sz w:val="21"/>
                      <w:szCs w:val="21"/>
                    </w:rPr>
                  </w:pPr>
                  <w:r>
                    <w:rPr>
                      <w:rFonts w:hint="default" w:ascii="Times New Roman" w:hAnsi="Times New Roman" w:eastAsia="宋体" w:cs="Times New Roman"/>
                      <w:b w:val="0"/>
                      <w:bCs/>
                      <w:sz w:val="21"/>
                      <w:szCs w:val="21"/>
                      <w:lang w:val="en-US" w:eastAsia="zh-CN"/>
                    </w:rPr>
                    <w:t>46.2</w:t>
                  </w:r>
                </w:p>
              </w:tc>
              <w:tc>
                <w:tcPr>
                  <w:tcW w:w="5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55</w:t>
                  </w:r>
                </w:p>
              </w:tc>
              <w:tc>
                <w:tcPr>
                  <w:tcW w:w="53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8" w:hRule="exact"/>
                <w:jc w:val="center"/>
              </w:trPr>
              <w:tc>
                <w:tcPr>
                  <w:tcW w:w="26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北侧</w:t>
                  </w:r>
                </w:p>
              </w:tc>
              <w:tc>
                <w:tcPr>
                  <w:tcW w:w="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-113</w:t>
                  </w:r>
                </w:p>
              </w:tc>
              <w:tc>
                <w:tcPr>
                  <w:tcW w:w="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231.1</w:t>
                  </w:r>
                </w:p>
              </w:tc>
              <w:tc>
                <w:tcPr>
                  <w:tcW w:w="3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1.2</w:t>
                  </w:r>
                </w:p>
              </w:tc>
              <w:tc>
                <w:tcPr>
                  <w:tcW w:w="40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昼间</w:t>
                  </w:r>
                </w:p>
              </w:tc>
              <w:tc>
                <w:tcPr>
                  <w:tcW w:w="60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Arial" w:cs="Times New Roman"/>
                      <w:b w:val="0"/>
                      <w:bCs/>
                      <w:sz w:val="21"/>
                      <w:szCs w:val="21"/>
                    </w:rPr>
                  </w:pPr>
                  <w:r>
                    <w:rPr>
                      <w:rFonts w:hint="default" w:ascii="Times New Roman" w:hAnsi="Times New Roman" w:eastAsia="Arial" w:cs="Times New Roman"/>
                      <w:b w:val="0"/>
                      <w:bCs/>
                      <w:sz w:val="21"/>
                      <w:szCs w:val="21"/>
                    </w:rPr>
                    <w:t>56.3</w:t>
                  </w:r>
                </w:p>
              </w:tc>
              <w:tc>
                <w:tcPr>
                  <w:tcW w:w="74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32.5</w:t>
                  </w:r>
                </w:p>
              </w:tc>
              <w:tc>
                <w:tcPr>
                  <w:tcW w:w="67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56.3</w:t>
                  </w:r>
                </w:p>
              </w:tc>
              <w:tc>
                <w:tcPr>
                  <w:tcW w:w="5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60</w:t>
                  </w:r>
                </w:p>
              </w:tc>
              <w:tc>
                <w:tcPr>
                  <w:tcW w:w="53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exact"/>
                <w:jc w:val="center"/>
              </w:trPr>
              <w:tc>
                <w:tcPr>
                  <w:tcW w:w="269"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北侧</w:t>
                  </w:r>
                </w:p>
              </w:tc>
              <w:tc>
                <w:tcPr>
                  <w:tcW w:w="43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-113</w:t>
                  </w:r>
                </w:p>
              </w:tc>
              <w:tc>
                <w:tcPr>
                  <w:tcW w:w="48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231.1</w:t>
                  </w:r>
                </w:p>
              </w:tc>
              <w:tc>
                <w:tcPr>
                  <w:tcW w:w="30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1.2</w:t>
                  </w:r>
                </w:p>
              </w:tc>
              <w:tc>
                <w:tcPr>
                  <w:tcW w:w="40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夜间</w:t>
                  </w:r>
                </w:p>
              </w:tc>
              <w:tc>
                <w:tcPr>
                  <w:tcW w:w="60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41.6</w:t>
                  </w:r>
                </w:p>
              </w:tc>
              <w:tc>
                <w:tcPr>
                  <w:tcW w:w="74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32.5</w:t>
                  </w:r>
                </w:p>
              </w:tc>
              <w:tc>
                <w:tcPr>
                  <w:tcW w:w="67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42.1</w:t>
                  </w:r>
                </w:p>
              </w:tc>
              <w:tc>
                <w:tcPr>
                  <w:tcW w:w="55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50</w:t>
                  </w:r>
                </w:p>
              </w:tc>
              <w:tc>
                <w:tcPr>
                  <w:tcW w:w="53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sz w:val="21"/>
                      <w:szCs w:val="21"/>
                    </w:rPr>
                  </w:pPr>
                  <w:r>
                    <w:rPr>
                      <w:rFonts w:hint="default" w:ascii="Times New Roman" w:hAnsi="Times New Roman" w:eastAsia="Arial" w:cs="Times New Roman"/>
                      <w:b w:val="0"/>
                      <w:bCs/>
                      <w:sz w:val="21"/>
                      <w:szCs w:val="21"/>
                    </w:rPr>
                    <w:t>达标</w:t>
                  </w:r>
                </w:p>
              </w:tc>
            </w:tr>
          </w:tbl>
          <w:p>
            <w:pPr>
              <w:pStyle w:val="16"/>
              <w:keepLines w:val="0"/>
              <w:widowControl w:val="0"/>
              <w:spacing w:line="360" w:lineRule="auto"/>
              <w:outlineLvl w:val="9"/>
              <w:rPr>
                <w:rFonts w:hint="default" w:ascii="Times New Roman" w:hAnsi="Times New Roman" w:eastAsia="宋体" w:cs="Times New Roman"/>
                <w:bCs/>
                <w:color w:val="auto"/>
                <w:sz w:val="24"/>
                <w:szCs w:val="24"/>
                <w:lang w:val="en-US" w:eastAsia="zh-CN"/>
              </w:rPr>
            </w:pPr>
            <w:r>
              <w:rPr>
                <w:rFonts w:hint="eastAsia" w:ascii="Times New Roman" w:hAnsi="Times New Roman" w:cs="Times New Roman"/>
                <w:bCs/>
                <w:color w:val="auto"/>
                <w:sz w:val="24"/>
                <w:szCs w:val="24"/>
                <w:lang w:val="en-US" w:eastAsia="zh-CN"/>
              </w:rPr>
              <w:t>注：现状值为2023.4验收数据。</w:t>
            </w:r>
          </w:p>
          <w:p>
            <w:pPr>
              <w:pStyle w:val="16"/>
              <w:keepLines w:val="0"/>
              <w:widowControl w:val="0"/>
              <w:spacing w:line="360" w:lineRule="auto"/>
              <w:ind w:firstLine="482"/>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由以上预测可知，项目运营期间</w:t>
            </w:r>
            <w:r>
              <w:rPr>
                <w:rFonts w:hint="default" w:ascii="Times New Roman" w:hAnsi="Times New Roman" w:cs="Times New Roman"/>
                <w:bCs/>
                <w:color w:val="auto"/>
                <w:sz w:val="24"/>
                <w:szCs w:val="24"/>
                <w:lang w:eastAsia="zh-CN"/>
              </w:rPr>
              <w:t>东、南、北</w:t>
            </w:r>
            <w:r>
              <w:rPr>
                <w:rFonts w:hint="default" w:ascii="Times New Roman" w:hAnsi="Times New Roman" w:cs="Times New Roman"/>
                <w:bCs/>
                <w:color w:val="auto"/>
                <w:sz w:val="24"/>
                <w:szCs w:val="24"/>
              </w:rPr>
              <w:t>厂界噪声符合《工业企业厂界环境噪声排放标准》（GB12348-20</w:t>
            </w:r>
            <w:r>
              <w:rPr>
                <w:rFonts w:hint="default" w:ascii="Times New Roman" w:hAnsi="Times New Roman" w:cs="Times New Roman"/>
                <w:bCs/>
                <w:color w:val="auto"/>
                <w:sz w:val="24"/>
                <w:szCs w:val="24"/>
                <w:highlight w:val="none"/>
              </w:rPr>
              <w:t>08）3类昼间标准限值</w:t>
            </w:r>
            <w:r>
              <w:rPr>
                <w:rFonts w:hint="default" w:ascii="Times New Roman" w:hAnsi="Times New Roman" w:cs="Times New Roman"/>
                <w:bCs/>
                <w:color w:val="auto"/>
                <w:sz w:val="24"/>
                <w:szCs w:val="24"/>
                <w:highlight w:val="none"/>
                <w:lang w:eastAsia="zh-CN"/>
              </w:rPr>
              <w:t>，</w:t>
            </w:r>
            <w:r>
              <w:rPr>
                <w:rFonts w:hint="eastAsia" w:ascii="Times New Roman" w:hAnsi="Times New Roman" w:cs="Times New Roman"/>
                <w:bCs/>
                <w:color w:val="auto"/>
                <w:sz w:val="24"/>
                <w:szCs w:val="24"/>
                <w:highlight w:val="none"/>
                <w:lang w:eastAsia="zh-CN"/>
              </w:rPr>
              <w:t>西厂界</w:t>
            </w:r>
            <w:r>
              <w:rPr>
                <w:rFonts w:hint="default" w:ascii="Times New Roman" w:hAnsi="Times New Roman" w:cs="Times New Roman"/>
                <w:bCs/>
                <w:color w:val="auto"/>
                <w:sz w:val="24"/>
                <w:szCs w:val="24"/>
                <w:highlight w:val="none"/>
              </w:rPr>
              <w:t>噪声符合《工业企业厂界环境噪声排放标准》（GB12348-2008）</w:t>
            </w:r>
            <w:r>
              <w:rPr>
                <w:rFonts w:hint="eastAsia" w:ascii="Times New Roman" w:hAnsi="Times New Roman" w:cs="Times New Roman"/>
                <w:bCs/>
                <w:color w:val="auto"/>
                <w:sz w:val="24"/>
                <w:szCs w:val="24"/>
                <w:highlight w:val="none"/>
                <w:lang w:val="en-US" w:eastAsia="zh-CN"/>
              </w:rPr>
              <w:t>4</w:t>
            </w:r>
            <w:r>
              <w:rPr>
                <w:rFonts w:hint="default" w:ascii="Times New Roman" w:hAnsi="Times New Roman" w:cs="Times New Roman"/>
                <w:bCs/>
                <w:color w:val="auto"/>
                <w:sz w:val="24"/>
                <w:szCs w:val="24"/>
                <w:highlight w:val="none"/>
              </w:rPr>
              <w:t>类昼间标准限值</w:t>
            </w:r>
            <w:r>
              <w:rPr>
                <w:rFonts w:hint="eastAsia"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rPr>
              <w:t>对周围环境的影响较小。</w:t>
            </w:r>
          </w:p>
          <w:p>
            <w:pPr>
              <w:pStyle w:val="2"/>
              <w:spacing w:line="360" w:lineRule="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监测计划内容一览表</w:t>
            </w:r>
          </w:p>
          <w:tbl>
            <w:tblPr>
              <w:tblStyle w:val="27"/>
              <w:tblW w:w="8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52"/>
              <w:gridCol w:w="1229"/>
              <w:gridCol w:w="781"/>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ign w:val="center"/>
                </w:tcPr>
                <w:p>
                  <w:pPr>
                    <w:pStyle w:val="16"/>
                    <w:spacing w:line="240" w:lineRule="auto"/>
                    <w:ind w:firstLine="0" w:firstLineChars="0"/>
                    <w:jc w:val="center"/>
                    <w:outlineLvl w:val="9"/>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监测内容</w:t>
                  </w:r>
                </w:p>
              </w:tc>
              <w:tc>
                <w:tcPr>
                  <w:tcW w:w="863" w:type="dxa"/>
                  <w:noWrap/>
                  <w:vAlign w:val="center"/>
                </w:tcPr>
                <w:p>
                  <w:pPr>
                    <w:pStyle w:val="16"/>
                    <w:spacing w:line="240" w:lineRule="auto"/>
                    <w:ind w:firstLine="0" w:firstLineChars="0"/>
                    <w:jc w:val="center"/>
                    <w:outlineLvl w:val="9"/>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监测位置</w:t>
                  </w:r>
                </w:p>
              </w:tc>
              <w:tc>
                <w:tcPr>
                  <w:tcW w:w="1247" w:type="dxa"/>
                  <w:noWrap/>
                  <w:vAlign w:val="center"/>
                </w:tcPr>
                <w:p>
                  <w:pPr>
                    <w:pStyle w:val="16"/>
                    <w:spacing w:line="240" w:lineRule="auto"/>
                    <w:ind w:firstLine="0" w:firstLineChars="0"/>
                    <w:jc w:val="center"/>
                    <w:outlineLvl w:val="9"/>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监测项目</w:t>
                  </w:r>
                </w:p>
              </w:tc>
              <w:tc>
                <w:tcPr>
                  <w:tcW w:w="791" w:type="dxa"/>
                  <w:noWrap/>
                  <w:vAlign w:val="center"/>
                </w:tcPr>
                <w:p>
                  <w:pPr>
                    <w:pStyle w:val="16"/>
                    <w:spacing w:line="240" w:lineRule="auto"/>
                    <w:ind w:firstLine="0" w:firstLineChars="0"/>
                    <w:jc w:val="center"/>
                    <w:outlineLvl w:val="9"/>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监测频率</w:t>
                  </w:r>
                </w:p>
              </w:tc>
              <w:tc>
                <w:tcPr>
                  <w:tcW w:w="4389" w:type="dxa"/>
                  <w:noWrap/>
                  <w:vAlign w:val="center"/>
                </w:tcPr>
                <w:p>
                  <w:pPr>
                    <w:pStyle w:val="16"/>
                    <w:spacing w:line="240" w:lineRule="auto"/>
                    <w:ind w:firstLine="0" w:firstLineChars="0"/>
                    <w:jc w:val="center"/>
                    <w:outlineLvl w:val="9"/>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tcBorders>
                    <w:bottom w:val="single" w:color="auto" w:sz="4" w:space="0"/>
                  </w:tcBorders>
                  <w:noWrap/>
                  <w:vAlign w:val="center"/>
                </w:tcPr>
                <w:p>
                  <w:pPr>
                    <w:pStyle w:val="16"/>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863" w:type="dxa"/>
                  <w:tcBorders>
                    <w:bottom w:val="single" w:color="auto" w:sz="4" w:space="0"/>
                  </w:tcBorders>
                  <w:noWrap/>
                  <w:vAlign w:val="center"/>
                </w:tcPr>
                <w:p>
                  <w:pPr>
                    <w:pStyle w:val="16"/>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边界外1m</w:t>
                  </w:r>
                </w:p>
              </w:tc>
              <w:tc>
                <w:tcPr>
                  <w:tcW w:w="1247" w:type="dxa"/>
                  <w:tcBorders>
                    <w:bottom w:val="single" w:color="auto" w:sz="4" w:space="0"/>
                  </w:tcBorders>
                  <w:noWrap/>
                  <w:vAlign w:val="center"/>
                </w:tcPr>
                <w:p>
                  <w:pPr>
                    <w:pStyle w:val="16"/>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等效连续A声级</w:t>
                  </w:r>
                </w:p>
              </w:tc>
              <w:tc>
                <w:tcPr>
                  <w:tcW w:w="791" w:type="dxa"/>
                  <w:tcBorders>
                    <w:bottom w:val="single" w:color="auto" w:sz="4" w:space="0"/>
                  </w:tcBorders>
                  <w:noWrap/>
                  <w:vAlign w:val="center"/>
                </w:tcPr>
                <w:p>
                  <w:pPr>
                    <w:pStyle w:val="16"/>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1次/季度</w:t>
                  </w:r>
                </w:p>
              </w:tc>
              <w:tc>
                <w:tcPr>
                  <w:tcW w:w="4389" w:type="dxa"/>
                  <w:tcBorders>
                    <w:bottom w:val="single" w:color="auto" w:sz="4" w:space="0"/>
                  </w:tcBorders>
                  <w:noWrap/>
                  <w:vAlign w:val="center"/>
                </w:tcPr>
                <w:p>
                  <w:pPr>
                    <w:pStyle w:val="16"/>
                    <w:spacing w:line="240" w:lineRule="auto"/>
                    <w:ind w:firstLine="0" w:firstLineChars="0"/>
                    <w:jc w:val="center"/>
                    <w:outlineLvl w:val="9"/>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eastAsia="zh-CN"/>
                    </w:rPr>
                    <w:t>东、南、北厂界</w:t>
                  </w:r>
                  <w:r>
                    <w:rPr>
                      <w:rFonts w:hint="default" w:ascii="Times New Roman" w:hAnsi="Times New Roman" w:cs="Times New Roman"/>
                      <w:color w:val="auto"/>
                      <w:sz w:val="21"/>
                      <w:szCs w:val="21"/>
                    </w:rPr>
                    <w:t>《工业企业边界环境噪声排放标准》（GB12348-2008）</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rPr>
                    <w:t>类标准</w:t>
                  </w:r>
                  <w:r>
                    <w:rPr>
                      <w:rFonts w:hint="eastAsia" w:ascii="Times New Roman" w:hAnsi="Times New Roman" w:cs="Times New Roman"/>
                      <w:color w:val="auto"/>
                      <w:sz w:val="21"/>
                      <w:szCs w:val="21"/>
                      <w:highlight w:val="none"/>
                      <w:lang w:eastAsia="zh-CN"/>
                    </w:rPr>
                    <w:t>，西厂界</w:t>
                  </w:r>
                  <w:r>
                    <w:rPr>
                      <w:rFonts w:hint="eastAsia" w:ascii="Times New Roman" w:hAnsi="Times New Roman" w:cs="Times New Roman"/>
                      <w:color w:val="auto"/>
                      <w:sz w:val="21"/>
                      <w:szCs w:val="21"/>
                      <w:highlight w:val="none"/>
                      <w:lang w:val="en-US" w:eastAsia="zh-CN"/>
                    </w:rPr>
                    <w:t>4类标准</w:t>
                  </w:r>
                </w:p>
              </w:tc>
            </w:tr>
          </w:tbl>
          <w:p>
            <w:pPr>
              <w:pStyle w:val="16"/>
              <w:ind w:firstLine="482"/>
              <w:outlineLvl w:val="9"/>
              <w:rPr>
                <w:rFonts w:hint="default" w:ascii="Times New Roman" w:hAnsi="Times New Roman" w:eastAsia="宋体"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（四）固体废物</w:t>
            </w:r>
          </w:p>
          <w:p>
            <w:pPr>
              <w:pStyle w:val="16"/>
              <w:spacing w:line="360" w:lineRule="auto"/>
              <w:ind w:firstLine="482"/>
              <w:outlineLvl w:val="9"/>
              <w:rPr>
                <w:rFonts w:hint="default" w:ascii="Times New Roman" w:hAnsi="Times New Roman" w:cs="Times New Roman"/>
                <w:b/>
                <w:bCs/>
                <w:color w:val="auto"/>
                <w:sz w:val="24"/>
                <w:szCs w:val="24"/>
                <w:highlight w:val="yellow"/>
                <w:u w:val="single"/>
                <w:lang w:val="en-US" w:eastAsia="zh-CN"/>
              </w:rPr>
            </w:pPr>
            <w:r>
              <w:rPr>
                <w:rFonts w:hint="eastAsia" w:ascii="Times New Roman" w:hAnsi="Times New Roman" w:cs="Times New Roman"/>
                <w:b/>
                <w:bCs/>
                <w:color w:val="auto"/>
                <w:sz w:val="24"/>
                <w:szCs w:val="24"/>
                <w:u w:val="single"/>
                <w:lang w:val="en-US" w:eastAsia="zh-CN"/>
              </w:rPr>
              <w:t>因本次改建项目新增轧制机，使用少量的轧制油，定期更换，因此新增少量废轧制油</w:t>
            </w:r>
            <w:r>
              <w:rPr>
                <w:rFonts w:hint="eastAsia" w:ascii="Times New Roman" w:hAnsi="Times New Roman" w:cs="Times New Roman"/>
                <w:b/>
                <w:bCs/>
                <w:color w:val="auto"/>
                <w:sz w:val="24"/>
                <w:szCs w:val="24"/>
                <w:highlight w:val="none"/>
                <w:u w:val="single"/>
                <w:lang w:val="en-US" w:eastAsia="zh-CN"/>
              </w:rPr>
              <w:t>及沾染物</w:t>
            </w:r>
            <w:r>
              <w:rPr>
                <w:rFonts w:hint="eastAsia" w:ascii="Times New Roman" w:hAnsi="Times New Roman" w:cs="Times New Roman"/>
                <w:b/>
                <w:bCs/>
                <w:color w:val="auto"/>
                <w:sz w:val="24"/>
                <w:szCs w:val="24"/>
                <w:highlight w:val="none"/>
                <w:u w:val="single"/>
                <w:lang w:eastAsia="zh-CN"/>
              </w:rPr>
              <w:t>、废硅藻土、</w:t>
            </w:r>
            <w:r>
              <w:rPr>
                <w:rFonts w:hint="eastAsia" w:ascii="Times New Roman" w:hAnsi="Times New Roman" w:cs="Times New Roman"/>
                <w:b/>
                <w:bCs/>
                <w:color w:val="auto"/>
                <w:sz w:val="24"/>
                <w:szCs w:val="24"/>
                <w:highlight w:val="none"/>
                <w:u w:val="single"/>
                <w:lang w:val="en-US" w:eastAsia="zh-CN"/>
              </w:rPr>
              <w:t>废油脂</w:t>
            </w:r>
            <w:r>
              <w:rPr>
                <w:rFonts w:hint="eastAsia" w:ascii="Times New Roman" w:hAnsi="Times New Roman" w:cs="Times New Roman"/>
                <w:b/>
                <w:bCs/>
                <w:color w:val="auto"/>
                <w:sz w:val="24"/>
                <w:szCs w:val="24"/>
                <w:highlight w:val="none"/>
                <w:u w:val="single"/>
                <w:lang w:eastAsia="zh-CN"/>
              </w:rPr>
              <w:t>等。</w:t>
            </w:r>
          </w:p>
          <w:p>
            <w:pPr>
              <w:pStyle w:val="2"/>
              <w:spacing w:line="240" w:lineRule="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lang w:eastAsia="zh-CN"/>
              </w:rPr>
              <w:t>本项目固体废物污染源源强核算结果一览表</w:t>
            </w:r>
          </w:p>
          <w:tbl>
            <w:tblPr>
              <w:tblStyle w:val="27"/>
              <w:tblW w:w="8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13"/>
              <w:gridCol w:w="663"/>
              <w:gridCol w:w="698"/>
              <w:gridCol w:w="1196"/>
              <w:gridCol w:w="722"/>
              <w:gridCol w:w="799"/>
              <w:gridCol w:w="678"/>
              <w:gridCol w:w="847"/>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913"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产生环节</w:t>
                  </w:r>
                </w:p>
              </w:tc>
              <w:tc>
                <w:tcPr>
                  <w:tcW w:w="663"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698"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属性</w:t>
                  </w:r>
                </w:p>
              </w:tc>
              <w:tc>
                <w:tcPr>
                  <w:tcW w:w="1196"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废物类别及代码</w:t>
                  </w:r>
                </w:p>
              </w:tc>
              <w:tc>
                <w:tcPr>
                  <w:tcW w:w="722"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物理性状</w:t>
                  </w:r>
                </w:p>
              </w:tc>
              <w:tc>
                <w:tcPr>
                  <w:tcW w:w="799"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有害成分</w:t>
                  </w:r>
                </w:p>
              </w:tc>
              <w:tc>
                <w:tcPr>
                  <w:tcW w:w="678"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环境危险特性</w:t>
                  </w:r>
                </w:p>
              </w:tc>
              <w:tc>
                <w:tcPr>
                  <w:tcW w:w="847"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产生量（</w:t>
                  </w:r>
                  <w:r>
                    <w:rPr>
                      <w:rFonts w:hint="default" w:ascii="Times New Roman" w:hAnsi="Times New Roman" w:cs="Times New Roman"/>
                      <w:color w:val="auto"/>
                      <w:sz w:val="21"/>
                      <w:szCs w:val="21"/>
                      <w:lang w:val="en-US" w:eastAsia="zh-CN"/>
                    </w:rPr>
                    <w:t>t/a</w:t>
                  </w:r>
                  <w:r>
                    <w:rPr>
                      <w:rFonts w:hint="default" w:ascii="Times New Roman" w:hAnsi="Times New Roman" w:cs="Times New Roman"/>
                      <w:color w:val="auto"/>
                      <w:sz w:val="21"/>
                      <w:szCs w:val="21"/>
                      <w:lang w:eastAsia="zh-CN"/>
                    </w:rPr>
                    <w:t>）</w:t>
                  </w:r>
                </w:p>
              </w:tc>
              <w:tc>
                <w:tcPr>
                  <w:tcW w:w="1129"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处理方式</w:t>
                  </w:r>
                  <w:r>
                    <w:rPr>
                      <w:rFonts w:hint="default" w:ascii="Times New Roman" w:hAnsi="Times New Roman" w:cs="Times New Roman"/>
                      <w:color w:val="auto"/>
                      <w:sz w:val="21"/>
                      <w:szCs w:val="21"/>
                      <w:lang w:eastAsia="zh-CN"/>
                    </w:rPr>
                    <w:t>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913"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轧制</w:t>
                  </w:r>
                </w:p>
              </w:tc>
              <w:tc>
                <w:tcPr>
                  <w:tcW w:w="663" w:type="dxa"/>
                  <w:tcBorders>
                    <w:tl2br w:val="nil"/>
                    <w:tr2bl w:val="nil"/>
                  </w:tcBorders>
                  <w:noWrap w:val="0"/>
                  <w:vAlign w:val="center"/>
                </w:tcPr>
                <w:p>
                  <w:pPr>
                    <w:pStyle w:val="16"/>
                    <w:spacing w:line="240" w:lineRule="auto"/>
                    <w:ind w:firstLine="0" w:firstLineChars="0"/>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color w:val="auto"/>
                      <w:sz w:val="21"/>
                      <w:szCs w:val="21"/>
                      <w:lang w:eastAsia="zh-CN"/>
                    </w:rPr>
                    <w:t>废轧制油及沾染物</w:t>
                  </w:r>
                </w:p>
              </w:tc>
              <w:tc>
                <w:tcPr>
                  <w:tcW w:w="698"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危险废物</w:t>
                  </w:r>
                </w:p>
              </w:tc>
              <w:tc>
                <w:tcPr>
                  <w:tcW w:w="1196"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900-204-08</w:t>
                  </w:r>
                </w:p>
              </w:tc>
              <w:tc>
                <w:tcPr>
                  <w:tcW w:w="722"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液态</w:t>
                  </w:r>
                </w:p>
              </w:tc>
              <w:tc>
                <w:tcPr>
                  <w:tcW w:w="799"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油类</w:t>
                  </w:r>
                </w:p>
              </w:tc>
              <w:tc>
                <w:tcPr>
                  <w:tcW w:w="678"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T</w:t>
                  </w:r>
                </w:p>
              </w:tc>
              <w:tc>
                <w:tcPr>
                  <w:tcW w:w="847"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b w:val="0"/>
                      <w:bCs w:val="0"/>
                      <w:color w:val="auto"/>
                      <w:kern w:val="0"/>
                      <w:sz w:val="21"/>
                      <w:szCs w:val="21"/>
                      <w:highlight w:val="none"/>
                      <w:u w:val="none"/>
                      <w:lang w:val="en-US" w:eastAsia="zh-CN"/>
                    </w:rPr>
                  </w:pPr>
                  <w:r>
                    <w:rPr>
                      <w:rFonts w:hint="eastAsia" w:ascii="Times New Roman" w:hAnsi="Times New Roman" w:cs="Times New Roman"/>
                      <w:b w:val="0"/>
                      <w:bCs w:val="0"/>
                      <w:color w:val="auto"/>
                      <w:kern w:val="0"/>
                      <w:sz w:val="21"/>
                      <w:szCs w:val="21"/>
                      <w:highlight w:val="none"/>
                      <w:u w:val="none"/>
                      <w:lang w:val="en-US" w:eastAsia="zh-CN"/>
                    </w:rPr>
                    <w:t>0.5</w:t>
                  </w:r>
                </w:p>
              </w:tc>
              <w:tc>
                <w:tcPr>
                  <w:tcW w:w="1129"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定期交有资质单位处理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913"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轧制</w:t>
                  </w:r>
                </w:p>
              </w:tc>
              <w:tc>
                <w:tcPr>
                  <w:tcW w:w="663" w:type="dxa"/>
                  <w:tcBorders>
                    <w:tl2br w:val="nil"/>
                    <w:tr2bl w:val="nil"/>
                  </w:tcBorders>
                  <w:noWrap w:val="0"/>
                  <w:vAlign w:val="center"/>
                </w:tcPr>
                <w:p>
                  <w:pPr>
                    <w:pStyle w:val="16"/>
                    <w:spacing w:line="240" w:lineRule="auto"/>
                    <w:ind w:firstLine="0" w:firstLineChars="0"/>
                    <w:jc w:val="center"/>
                    <w:rPr>
                      <w:rFonts w:hint="default"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废硅藻土</w:t>
                  </w:r>
                </w:p>
              </w:tc>
              <w:tc>
                <w:tcPr>
                  <w:tcW w:w="698"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危险废物</w:t>
                  </w:r>
                </w:p>
              </w:tc>
              <w:tc>
                <w:tcPr>
                  <w:tcW w:w="1196"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lang w:val="en-US" w:eastAsia="zh-CN"/>
                    </w:rPr>
                    <w:t>900-213-08</w:t>
                  </w:r>
                </w:p>
              </w:tc>
              <w:tc>
                <w:tcPr>
                  <w:tcW w:w="722"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固态</w:t>
                  </w:r>
                </w:p>
              </w:tc>
              <w:tc>
                <w:tcPr>
                  <w:tcW w:w="799"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油类</w:t>
                  </w:r>
                </w:p>
              </w:tc>
              <w:tc>
                <w:tcPr>
                  <w:tcW w:w="678"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T</w:t>
                  </w:r>
                  <w:r>
                    <w:rPr>
                      <w:rFonts w:hint="eastAsia" w:ascii="宋体" w:hAnsi="宋体" w:eastAsia="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I</w:t>
                  </w:r>
                </w:p>
              </w:tc>
              <w:tc>
                <w:tcPr>
                  <w:tcW w:w="847"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b w:val="0"/>
                      <w:bCs w:val="0"/>
                      <w:color w:val="auto"/>
                      <w:kern w:val="0"/>
                      <w:sz w:val="21"/>
                      <w:szCs w:val="21"/>
                      <w:highlight w:val="none"/>
                      <w:u w:val="none"/>
                      <w:lang w:val="en-US" w:eastAsia="zh-CN"/>
                    </w:rPr>
                  </w:pPr>
                  <w:r>
                    <w:rPr>
                      <w:rFonts w:hint="eastAsia" w:ascii="Times New Roman" w:hAnsi="Times New Roman" w:cs="Times New Roman"/>
                      <w:b w:val="0"/>
                      <w:bCs w:val="0"/>
                      <w:color w:val="auto"/>
                      <w:kern w:val="0"/>
                      <w:sz w:val="21"/>
                      <w:szCs w:val="21"/>
                      <w:highlight w:val="none"/>
                      <w:u w:val="none"/>
                      <w:lang w:val="en-US" w:eastAsia="zh-CN"/>
                    </w:rPr>
                    <w:t>0.1</w:t>
                  </w:r>
                </w:p>
              </w:tc>
              <w:tc>
                <w:tcPr>
                  <w:tcW w:w="1129"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定期交有资质单位处理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913" w:type="dxa"/>
                  <w:tcBorders>
                    <w:tl2br w:val="nil"/>
                    <w:tr2bl w:val="nil"/>
                  </w:tcBorders>
                  <w:noWrap w:val="0"/>
                  <w:vAlign w:val="center"/>
                </w:tcPr>
                <w:p>
                  <w:pPr>
                    <w:pStyle w:val="16"/>
                    <w:spacing w:line="240" w:lineRule="auto"/>
                    <w:ind w:firstLine="0" w:firstLineChars="0"/>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油雾净化器</w:t>
                  </w:r>
                </w:p>
              </w:tc>
              <w:tc>
                <w:tcPr>
                  <w:tcW w:w="663" w:type="dxa"/>
                  <w:tcBorders>
                    <w:tl2br w:val="nil"/>
                    <w:tr2bl w:val="nil"/>
                  </w:tcBorders>
                  <w:noWrap w:val="0"/>
                  <w:vAlign w:val="center"/>
                </w:tcPr>
                <w:p>
                  <w:pPr>
                    <w:pStyle w:val="16"/>
                    <w:spacing w:line="240" w:lineRule="auto"/>
                    <w:ind w:firstLine="0" w:firstLineChars="0"/>
                    <w:jc w:val="center"/>
                    <w:rPr>
                      <w:rFonts w:hint="eastAsia"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废油脂</w:t>
                  </w:r>
                </w:p>
              </w:tc>
              <w:tc>
                <w:tcPr>
                  <w:tcW w:w="698"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危险废物</w:t>
                  </w:r>
                </w:p>
              </w:tc>
              <w:tc>
                <w:tcPr>
                  <w:tcW w:w="1196"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 xml:space="preserve">900-249-08 </w:t>
                  </w:r>
                </w:p>
              </w:tc>
              <w:tc>
                <w:tcPr>
                  <w:tcW w:w="722"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固态</w:t>
                  </w:r>
                </w:p>
              </w:tc>
              <w:tc>
                <w:tcPr>
                  <w:tcW w:w="799"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油类</w:t>
                  </w:r>
                </w:p>
              </w:tc>
              <w:tc>
                <w:tcPr>
                  <w:tcW w:w="678"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eastAsia" w:ascii="Times New Roman" w:hAnsi="Times New Roman"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bidi="ar"/>
                    </w:rPr>
                    <w:t>T</w:t>
                  </w:r>
                  <w:r>
                    <w:rPr>
                      <w:rFonts w:hint="eastAsia" w:ascii="宋体" w:hAnsi="宋体" w:eastAsia="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I</w:t>
                  </w:r>
                </w:p>
              </w:tc>
              <w:tc>
                <w:tcPr>
                  <w:tcW w:w="847"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default" w:ascii="Times New Roman" w:hAnsi="Times New Roman" w:cs="Times New Roman"/>
                      <w:b w:val="0"/>
                      <w:bCs w:val="0"/>
                      <w:color w:val="auto"/>
                      <w:kern w:val="0"/>
                      <w:sz w:val="21"/>
                      <w:szCs w:val="21"/>
                      <w:highlight w:val="none"/>
                      <w:u w:val="none"/>
                      <w:lang w:val="en-US" w:eastAsia="zh-CN"/>
                    </w:rPr>
                  </w:pPr>
                  <w:r>
                    <w:rPr>
                      <w:rFonts w:hint="eastAsia" w:ascii="Times New Roman" w:hAnsi="Times New Roman" w:cs="Times New Roman"/>
                      <w:b w:val="0"/>
                      <w:bCs w:val="0"/>
                      <w:color w:val="auto"/>
                      <w:kern w:val="0"/>
                      <w:sz w:val="21"/>
                      <w:szCs w:val="21"/>
                      <w:highlight w:val="none"/>
                      <w:u w:val="none"/>
                      <w:lang w:val="en-US" w:eastAsia="zh-CN"/>
                    </w:rPr>
                    <w:t>0.05</w:t>
                  </w:r>
                </w:p>
              </w:tc>
              <w:tc>
                <w:tcPr>
                  <w:tcW w:w="1129" w:type="dxa"/>
                  <w:tcBorders>
                    <w:tl2br w:val="nil"/>
                    <w:tr2bl w:val="nil"/>
                  </w:tcBorders>
                  <w:noWrap w:val="0"/>
                  <w:vAlign w:val="center"/>
                </w:tcPr>
                <w:p>
                  <w:pPr>
                    <w:pStyle w:val="16"/>
                    <w:topLinePunct w:val="0"/>
                    <w:adjustRightInd/>
                    <w:snapToGrid/>
                    <w:spacing w:line="240" w:lineRule="auto"/>
                    <w:ind w:firstLine="0" w:firstLineChars="0"/>
                    <w:jc w:val="center"/>
                    <w:outlineLvl w:val="9"/>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定期交有资质单位处理</w:t>
                  </w:r>
                </w:p>
              </w:tc>
            </w:tr>
          </w:tbl>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（1）固废产生情况</w:t>
            </w:r>
          </w:p>
          <w:p>
            <w:pPr>
              <w:pStyle w:val="16"/>
              <w:spacing w:line="360" w:lineRule="auto"/>
              <w:ind w:firstLine="482"/>
              <w:jc w:val="both"/>
              <w:outlineLvl w:val="9"/>
              <w:rPr>
                <w:rFonts w:hint="default" w:ascii="Times New Roman" w:hAnsi="Times New Roman" w:cs="Times New Roman"/>
                <w:b w:val="0"/>
                <w:bCs w:val="0"/>
                <w:color w:val="auto"/>
                <w:sz w:val="24"/>
                <w:szCs w:val="24"/>
                <w:highlight w:val="none"/>
                <w:lang w:eastAsia="zh-CN"/>
              </w:rPr>
            </w:pPr>
            <w:r>
              <w:rPr>
                <w:rFonts w:hint="default" w:ascii="Times New Roman" w:hAnsi="Times New Roman" w:cs="Times New Roman"/>
                <w:color w:val="auto"/>
                <w:sz w:val="24"/>
                <w:szCs w:val="24"/>
              </w:rPr>
              <w:t>①</w:t>
            </w:r>
            <w:r>
              <w:rPr>
                <w:rFonts w:hint="default" w:ascii="Times New Roman" w:hAnsi="Times New Roman" w:cs="Times New Roman"/>
                <w:b w:val="0"/>
                <w:bCs w:val="0"/>
                <w:color w:val="auto"/>
                <w:sz w:val="24"/>
                <w:szCs w:val="24"/>
                <w:highlight w:val="none"/>
                <w:lang w:eastAsia="zh-CN"/>
              </w:rPr>
              <w:t>废轧制油及沾染物</w:t>
            </w:r>
          </w:p>
          <w:p>
            <w:pPr>
              <w:pStyle w:val="16"/>
              <w:spacing w:line="360" w:lineRule="auto"/>
              <w:ind w:firstLine="480" w:firstLineChars="200"/>
              <w:outlineLvl w:val="9"/>
              <w:rPr>
                <w:rFonts w:hint="default" w:ascii="Times New Roman" w:hAnsi="Times New Roman" w:cs="Times New Roman"/>
                <w:b w:val="0"/>
                <w:bCs w:val="0"/>
                <w:color w:val="auto"/>
                <w:sz w:val="24"/>
                <w:szCs w:val="24"/>
                <w:highlight w:val="yellow"/>
                <w:lang w:val="en-US" w:eastAsia="zh-CN"/>
              </w:rPr>
            </w:pPr>
            <w:r>
              <w:rPr>
                <w:rFonts w:hint="default" w:ascii="Times New Roman" w:hAnsi="Times New Roman" w:cs="Times New Roman"/>
                <w:b w:val="0"/>
                <w:bCs w:val="0"/>
                <w:color w:val="auto"/>
                <w:sz w:val="24"/>
                <w:szCs w:val="24"/>
                <w:highlight w:val="none"/>
                <w:lang w:eastAsia="zh-CN"/>
              </w:rPr>
              <w:t>箔轧工序产生的轧制油在使用一段时间后会进行更换，根据建设单位提供的资料，废轧制油的产生量约为</w:t>
            </w:r>
            <w:r>
              <w:rPr>
                <w:rFonts w:hint="eastAsia" w:ascii="Times New Roman" w:hAnsi="Times New Roman" w:cs="Times New Roman"/>
                <w:b w:val="0"/>
                <w:bCs w:val="0"/>
                <w:color w:val="auto"/>
                <w:sz w:val="24"/>
                <w:szCs w:val="24"/>
                <w:highlight w:val="none"/>
                <w:lang w:val="en-US" w:eastAsia="zh-CN"/>
              </w:rPr>
              <w:t>0.5</w:t>
            </w:r>
            <w:r>
              <w:rPr>
                <w:rFonts w:hint="default" w:ascii="Times New Roman" w:hAnsi="Times New Roman" w:cs="Times New Roman"/>
                <w:b w:val="0"/>
                <w:bCs w:val="0"/>
                <w:color w:val="auto"/>
                <w:sz w:val="24"/>
                <w:szCs w:val="24"/>
                <w:highlight w:val="none"/>
                <w:lang w:val="en-US" w:eastAsia="zh-CN"/>
              </w:rPr>
              <w:t>t/a，</w:t>
            </w:r>
            <w:r>
              <w:rPr>
                <w:rFonts w:hint="default" w:ascii="Times New Roman" w:hAnsi="Times New Roman" w:cs="Times New Roman"/>
                <w:color w:val="auto"/>
                <w:sz w:val="24"/>
                <w:szCs w:val="24"/>
              </w:rPr>
              <w:t>经查阅</w:t>
            </w:r>
            <w:r>
              <w:rPr>
                <w:rFonts w:hint="default" w:ascii="Times New Roman" w:hAnsi="Times New Roman" w:eastAsia="宋体" w:cs="Times New Roman"/>
                <w:color w:val="auto"/>
                <w:sz w:val="24"/>
                <w:szCs w:val="24"/>
                <w:lang w:val="en-US" w:eastAsia="zh-CN"/>
              </w:rPr>
              <w:t>《国家危险废物名录》（2021），危废代码为900-204-08，定期交由有资质单位处理。</w:t>
            </w:r>
          </w:p>
          <w:p>
            <w:pPr>
              <w:pStyle w:val="16"/>
              <w:spacing w:line="360" w:lineRule="auto"/>
              <w:ind w:firstLine="480" w:firstLineChars="200"/>
              <w:outlineLvl w:val="9"/>
              <w:rPr>
                <w:rFonts w:hint="default" w:ascii="Times New Roman" w:hAnsi="Times New Roman" w:cs="Times New Roman"/>
                <w:b w:val="0"/>
                <w:bCs w:val="0"/>
                <w:color w:val="auto"/>
                <w:sz w:val="24"/>
                <w:szCs w:val="24"/>
                <w:highlight w:val="none"/>
                <w:lang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2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rPr>
              <w:fldChar w:fldCharType="end"/>
            </w:r>
            <w:r>
              <w:rPr>
                <w:rFonts w:hint="default" w:ascii="Times New Roman" w:hAnsi="Times New Roman" w:cs="Times New Roman"/>
                <w:b w:val="0"/>
                <w:bCs w:val="0"/>
                <w:color w:val="auto"/>
                <w:sz w:val="24"/>
                <w:szCs w:val="24"/>
                <w:highlight w:val="none"/>
                <w:lang w:eastAsia="zh-CN"/>
              </w:rPr>
              <w:t>硅藻土</w:t>
            </w:r>
          </w:p>
          <w:p>
            <w:pPr>
              <w:pStyle w:val="16"/>
              <w:spacing w:line="360" w:lineRule="auto"/>
              <w:ind w:firstLine="480" w:firstLineChars="200"/>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b w:val="0"/>
                <w:bCs w:val="0"/>
                <w:color w:val="auto"/>
                <w:sz w:val="24"/>
                <w:szCs w:val="24"/>
                <w:lang w:eastAsia="zh-CN"/>
              </w:rPr>
              <w:t>轧制油经硅藻土过滤吸附后循环使用，但定期更换。根据建设单位提供的资料，</w:t>
            </w:r>
            <w:r>
              <w:rPr>
                <w:rFonts w:hint="default" w:ascii="Times New Roman" w:hAnsi="Times New Roman" w:cs="Times New Roman"/>
                <w:b w:val="0"/>
                <w:bCs w:val="0"/>
                <w:color w:val="auto"/>
                <w:sz w:val="24"/>
                <w:szCs w:val="24"/>
                <w:lang w:val="en-US" w:eastAsia="zh-CN"/>
              </w:rPr>
              <w:t>废硅藻土产生量约为</w:t>
            </w:r>
            <w:r>
              <w:rPr>
                <w:rFonts w:hint="eastAsia" w:ascii="Times New Roman" w:hAnsi="Times New Roman" w:cs="Times New Roman"/>
                <w:b w:val="0"/>
                <w:bCs w:val="0"/>
                <w:color w:val="auto"/>
                <w:sz w:val="24"/>
                <w:szCs w:val="24"/>
                <w:lang w:val="en-US" w:eastAsia="zh-CN"/>
              </w:rPr>
              <w:t>0.1</w:t>
            </w:r>
            <w:r>
              <w:rPr>
                <w:rFonts w:hint="default" w:ascii="Times New Roman" w:hAnsi="Times New Roman" w:cs="Times New Roman"/>
                <w:b w:val="0"/>
                <w:bCs w:val="0"/>
                <w:color w:val="auto"/>
                <w:sz w:val="24"/>
                <w:szCs w:val="24"/>
                <w:lang w:val="en-US" w:eastAsia="zh-CN"/>
              </w:rPr>
              <w:t>t/a。</w:t>
            </w:r>
            <w:r>
              <w:rPr>
                <w:rFonts w:hint="default" w:ascii="Times New Roman" w:hAnsi="Times New Roman" w:cs="Times New Roman"/>
                <w:color w:val="auto"/>
                <w:sz w:val="24"/>
                <w:szCs w:val="24"/>
              </w:rPr>
              <w:t>经查阅</w:t>
            </w:r>
            <w:r>
              <w:rPr>
                <w:rFonts w:hint="default" w:ascii="Times New Roman" w:hAnsi="Times New Roman" w:eastAsia="宋体" w:cs="Times New Roman"/>
                <w:color w:val="auto"/>
                <w:sz w:val="24"/>
                <w:szCs w:val="24"/>
                <w:lang w:val="en-US" w:eastAsia="zh-CN"/>
              </w:rPr>
              <w:t>《国家危险废物名录》（2021），危废代码为900-213-08，定期交由有资质单位处理。</w:t>
            </w:r>
          </w:p>
          <w:p>
            <w:pPr>
              <w:spacing w:line="360" w:lineRule="auto"/>
              <w:ind w:firstLine="480"/>
              <w:rPr>
                <w:rFonts w:hint="default" w:ascii="Times New Roman" w:hAnsi="Times New Roman" w:cs="Times New Roman"/>
                <w:color w:val="auto"/>
                <w:sz w:val="24"/>
                <w:highlight w:val="none"/>
              </w:rPr>
            </w:pPr>
            <w:r>
              <w:rPr>
                <w:rFonts w:hint="default" w:ascii="Times New Roman" w:hAnsi="Times New Roman" w:eastAsia="微软雅黑" w:cs="Times New Roman"/>
                <w:b w:val="0"/>
                <w:bCs w:val="0"/>
                <w:color w:val="auto"/>
                <w:sz w:val="24"/>
                <w:szCs w:val="24"/>
                <w:highlight w:val="none"/>
              </w:rPr>
              <w:t>④</w:t>
            </w:r>
            <w:r>
              <w:rPr>
                <w:rFonts w:hint="default" w:ascii="Times New Roman" w:hAnsi="Times New Roman" w:eastAsia="宋体" w:cs="Times New Roman"/>
                <w:color w:val="auto"/>
                <w:sz w:val="24"/>
                <w:highlight w:val="none"/>
                <w:lang w:val="en-US" w:eastAsia="zh-CN"/>
              </w:rPr>
              <w:t>油雾净化器产生的废油脂</w:t>
            </w:r>
          </w:p>
          <w:p>
            <w:pPr>
              <w:pStyle w:val="16"/>
              <w:spacing w:line="360" w:lineRule="auto"/>
              <w:ind w:firstLine="480" w:firstLineChars="200"/>
              <w:outlineLvl w:val="9"/>
              <w:rPr>
                <w:rFonts w:hint="default" w:ascii="Times New Roman" w:hAnsi="Times New Roman" w:eastAsia="宋体" w:cs="Times New Roman"/>
                <w:b/>
                <w:bCs/>
                <w:color w:val="auto"/>
                <w:sz w:val="24"/>
                <w:szCs w:val="24"/>
                <w:lang w:val="en-US" w:eastAsia="zh-CN"/>
              </w:rPr>
            </w:pPr>
            <w:r>
              <w:rPr>
                <w:rFonts w:hint="default" w:ascii="Times New Roman" w:hAnsi="Times New Roman" w:cs="Times New Roman"/>
                <w:b w:val="0"/>
                <w:bCs w:val="0"/>
                <w:color w:val="auto"/>
                <w:sz w:val="24"/>
                <w:szCs w:val="24"/>
                <w:lang w:eastAsia="zh-CN"/>
              </w:rPr>
              <w:t>本项目油雾净化器使用一段时间后定期清理，废油脂产生量为</w:t>
            </w:r>
            <w:r>
              <w:rPr>
                <w:rFonts w:hint="default" w:ascii="Times New Roman" w:hAnsi="Times New Roman" w:cs="Times New Roman"/>
                <w:b w:val="0"/>
                <w:bCs w:val="0"/>
                <w:color w:val="auto"/>
                <w:sz w:val="24"/>
                <w:szCs w:val="24"/>
                <w:lang w:val="en-US" w:eastAsia="zh-CN"/>
              </w:rPr>
              <w:t>0.</w:t>
            </w:r>
            <w:r>
              <w:rPr>
                <w:rFonts w:hint="eastAsia" w:ascii="Times New Roman" w:hAnsi="Times New Roman" w:cs="Times New Roman"/>
                <w:b w:val="0"/>
                <w:bCs w:val="0"/>
                <w:color w:val="auto"/>
                <w:sz w:val="24"/>
                <w:szCs w:val="24"/>
                <w:lang w:val="en-US" w:eastAsia="zh-CN"/>
              </w:rPr>
              <w:t>05</w:t>
            </w:r>
            <w:r>
              <w:rPr>
                <w:rFonts w:hint="default" w:ascii="Times New Roman" w:hAnsi="Times New Roman" w:cs="Times New Roman"/>
                <w:b w:val="0"/>
                <w:bCs w:val="0"/>
                <w:color w:val="auto"/>
                <w:sz w:val="24"/>
                <w:szCs w:val="24"/>
                <w:lang w:val="en-US" w:eastAsia="zh-CN"/>
              </w:rPr>
              <w:t>t/a。</w:t>
            </w:r>
            <w:r>
              <w:rPr>
                <w:rFonts w:hint="default" w:ascii="Times New Roman" w:hAnsi="Times New Roman" w:cs="Times New Roman"/>
                <w:color w:val="auto"/>
                <w:sz w:val="24"/>
                <w:szCs w:val="24"/>
              </w:rPr>
              <w:t>经查阅</w:t>
            </w:r>
            <w:r>
              <w:rPr>
                <w:rFonts w:hint="default" w:ascii="Times New Roman" w:hAnsi="Times New Roman" w:eastAsia="宋体" w:cs="Times New Roman"/>
                <w:color w:val="auto"/>
                <w:sz w:val="24"/>
                <w:szCs w:val="24"/>
                <w:lang w:val="en-US" w:eastAsia="zh-CN"/>
              </w:rPr>
              <w:t>《国家危险废物名录》（2021），危废代码为900-249-08，定期交由有资质单位处理。</w:t>
            </w:r>
          </w:p>
          <w:p>
            <w:pPr>
              <w:pStyle w:val="16"/>
              <w:spacing w:line="360" w:lineRule="auto"/>
              <w:ind w:firstLine="482" w:firstLineChars="200"/>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（2）固体废物处理措施及管理要求</w:t>
            </w:r>
          </w:p>
          <w:p>
            <w:pPr>
              <w:pStyle w:val="16"/>
              <w:spacing w:line="360" w:lineRule="auto"/>
              <w:ind w:firstLine="482"/>
              <w:outlineLvl w:val="9"/>
              <w:rPr>
                <w:rStyle w:val="31"/>
                <w:rFonts w:hint="default" w:ascii="Times New Roman" w:hAnsi="Times New Roman" w:cs="Times New Roman"/>
                <w:color w:val="auto"/>
                <w:sz w:val="24"/>
                <w:szCs w:val="24"/>
                <w:lang w:eastAsia="zh-CN"/>
              </w:rPr>
            </w:pPr>
            <w:r>
              <w:rPr>
                <w:rStyle w:val="31"/>
                <w:rFonts w:hint="default" w:ascii="Times New Roman" w:hAnsi="Times New Roman" w:cs="Times New Roman"/>
                <w:color w:val="auto"/>
                <w:sz w:val="24"/>
                <w:szCs w:val="24"/>
                <w:lang w:eastAsia="zh-CN"/>
              </w:rPr>
              <w:fldChar w:fldCharType="begin"/>
            </w:r>
            <w:r>
              <w:rPr>
                <w:rStyle w:val="31"/>
                <w:rFonts w:hint="default" w:ascii="Times New Roman" w:hAnsi="Times New Roman" w:cs="Times New Roman"/>
                <w:color w:val="auto"/>
                <w:sz w:val="24"/>
                <w:szCs w:val="24"/>
                <w:lang w:eastAsia="zh-CN"/>
              </w:rPr>
              <w:instrText xml:space="preserve"> = 1 \* GB3 \* MERGEFORMAT </w:instrText>
            </w:r>
            <w:r>
              <w:rPr>
                <w:rStyle w:val="31"/>
                <w:rFonts w:hint="default" w:ascii="Times New Roman" w:hAnsi="Times New Roman" w:cs="Times New Roman"/>
                <w:color w:val="auto"/>
                <w:sz w:val="24"/>
                <w:szCs w:val="24"/>
                <w:lang w:eastAsia="zh-CN"/>
              </w:rPr>
              <w:fldChar w:fldCharType="separate"/>
            </w:r>
            <w:r>
              <w:rPr>
                <w:rFonts w:hint="default" w:ascii="Times New Roman" w:hAnsi="Times New Roman" w:cs="Times New Roman"/>
                <w:color w:val="auto"/>
                <w:sz w:val="24"/>
              </w:rPr>
              <w:t>①</w:t>
            </w:r>
            <w:r>
              <w:rPr>
                <w:rStyle w:val="31"/>
                <w:rFonts w:hint="default" w:ascii="Times New Roman" w:hAnsi="Times New Roman" w:cs="Times New Roman"/>
                <w:color w:val="auto"/>
                <w:sz w:val="24"/>
                <w:szCs w:val="24"/>
                <w:lang w:eastAsia="zh-CN"/>
              </w:rPr>
              <w:fldChar w:fldCharType="end"/>
            </w:r>
            <w:r>
              <w:rPr>
                <w:rStyle w:val="31"/>
                <w:rFonts w:hint="default" w:ascii="Times New Roman" w:hAnsi="Times New Roman" w:cs="Times New Roman"/>
                <w:color w:val="auto"/>
                <w:sz w:val="24"/>
                <w:szCs w:val="24"/>
                <w:lang w:eastAsia="zh-CN"/>
              </w:rPr>
              <w:t>危险废物</w:t>
            </w:r>
          </w:p>
          <w:p>
            <w:pPr>
              <w:pStyle w:val="16"/>
              <w:spacing w:line="360" w:lineRule="auto"/>
              <w:ind w:firstLine="482"/>
              <w:outlineLvl w:val="9"/>
              <w:rPr>
                <w:rStyle w:val="31"/>
                <w:rFonts w:hint="default" w:ascii="Times New Roman" w:hAnsi="Times New Roman" w:cs="Times New Roman"/>
                <w:color w:val="auto"/>
                <w:sz w:val="24"/>
                <w:szCs w:val="24"/>
              </w:rPr>
            </w:pPr>
            <w:r>
              <w:rPr>
                <w:rStyle w:val="31"/>
                <w:rFonts w:hint="default" w:ascii="Times New Roman" w:hAnsi="Times New Roman" w:cs="Times New Roman"/>
                <w:color w:val="auto"/>
                <w:sz w:val="24"/>
                <w:szCs w:val="24"/>
                <w:lang w:eastAsia="zh-CN"/>
              </w:rPr>
              <w:t>根据建设单位提供的资料，现有工程目前</w:t>
            </w:r>
            <w:r>
              <w:rPr>
                <w:rStyle w:val="31"/>
                <w:rFonts w:hint="default" w:ascii="Times New Roman" w:hAnsi="Times New Roman" w:cs="Times New Roman"/>
                <w:color w:val="auto"/>
                <w:sz w:val="24"/>
                <w:szCs w:val="24"/>
                <w:highlight w:val="none"/>
                <w:lang w:eastAsia="zh-CN"/>
              </w:rPr>
              <w:t>已建设有</w:t>
            </w:r>
            <w:r>
              <w:rPr>
                <w:rStyle w:val="31"/>
                <w:rFonts w:hint="default" w:ascii="Times New Roman" w:hAnsi="Times New Roman" w:cs="Times New Roman"/>
                <w:color w:val="auto"/>
                <w:sz w:val="24"/>
                <w:szCs w:val="24"/>
                <w:highlight w:val="none"/>
              </w:rPr>
              <w:t>1×10</w:t>
            </w:r>
            <w:r>
              <w:rPr>
                <w:rStyle w:val="31"/>
                <w:rFonts w:hint="eastAsia" w:ascii="Times New Roman" w:hAnsi="Times New Roman" w:cs="Times New Roman"/>
                <w:color w:val="auto"/>
                <w:sz w:val="24"/>
                <w:szCs w:val="24"/>
                <w:highlight w:val="none"/>
                <w:lang w:val="en-US" w:eastAsia="zh-CN"/>
              </w:rPr>
              <w:t>8</w:t>
            </w:r>
            <w:r>
              <w:rPr>
                <w:rStyle w:val="31"/>
                <w:rFonts w:hint="default" w:ascii="Times New Roman" w:hAnsi="Times New Roman" w:cs="Times New Roman"/>
                <w:color w:val="auto"/>
                <w:sz w:val="24"/>
                <w:szCs w:val="24"/>
                <w:highlight w:val="none"/>
              </w:rPr>
              <w:t>m</w:t>
            </w:r>
            <w:r>
              <w:rPr>
                <w:rStyle w:val="31"/>
                <w:rFonts w:hint="default" w:ascii="Times New Roman" w:hAnsi="Times New Roman" w:cs="Times New Roman"/>
                <w:color w:val="auto"/>
                <w:sz w:val="24"/>
                <w:szCs w:val="24"/>
                <w:highlight w:val="none"/>
                <w:vertAlign w:val="superscript"/>
              </w:rPr>
              <w:t>2</w:t>
            </w:r>
            <w:r>
              <w:rPr>
                <w:rStyle w:val="31"/>
                <w:rFonts w:hint="default" w:ascii="Times New Roman" w:hAnsi="Times New Roman" w:cs="Times New Roman"/>
                <w:color w:val="auto"/>
                <w:sz w:val="24"/>
                <w:szCs w:val="24"/>
                <w:highlight w:val="none"/>
              </w:rPr>
              <w:t>危废间一座</w:t>
            </w:r>
            <w:r>
              <w:rPr>
                <w:rStyle w:val="31"/>
                <w:rFonts w:hint="default" w:ascii="Times New Roman" w:hAnsi="Times New Roman" w:cs="Times New Roman"/>
                <w:color w:val="auto"/>
                <w:sz w:val="24"/>
                <w:szCs w:val="24"/>
                <w:highlight w:val="none"/>
                <w:lang w:eastAsia="zh-CN"/>
              </w:rPr>
              <w:t>且有专门的铝灰渣库，</w:t>
            </w:r>
            <w:r>
              <w:rPr>
                <w:rStyle w:val="31"/>
                <w:rFonts w:hint="default" w:ascii="Times New Roman" w:hAnsi="Times New Roman" w:cs="Times New Roman"/>
                <w:color w:val="auto"/>
                <w:sz w:val="24"/>
                <w:szCs w:val="24"/>
                <w:highlight w:val="none"/>
              </w:rPr>
              <w:t>用于储存</w:t>
            </w:r>
            <w:r>
              <w:rPr>
                <w:rStyle w:val="31"/>
                <w:rFonts w:hint="eastAsia" w:ascii="Times New Roman" w:hAnsi="Times New Roman" w:cs="Times New Roman"/>
                <w:color w:val="auto"/>
                <w:sz w:val="24"/>
                <w:szCs w:val="24"/>
                <w:highlight w:val="none"/>
                <w:lang w:val="en-US" w:eastAsia="zh-CN"/>
              </w:rPr>
              <w:t>厂区</w:t>
            </w:r>
            <w:r>
              <w:rPr>
                <w:rStyle w:val="31"/>
                <w:rFonts w:hint="default" w:ascii="Times New Roman" w:hAnsi="Times New Roman" w:cs="Times New Roman"/>
                <w:color w:val="auto"/>
                <w:sz w:val="24"/>
                <w:szCs w:val="24"/>
                <w:highlight w:val="none"/>
              </w:rPr>
              <w:t>产生的</w:t>
            </w:r>
            <w:r>
              <w:rPr>
                <w:rStyle w:val="31"/>
                <w:rFonts w:hint="default" w:ascii="Times New Roman" w:hAnsi="Times New Roman" w:cs="Times New Roman"/>
                <w:color w:val="auto"/>
                <w:sz w:val="24"/>
                <w:szCs w:val="24"/>
              </w:rPr>
              <w:t>危险废物。</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危险废物暂存</w:t>
            </w:r>
            <w:r>
              <w:rPr>
                <w:rFonts w:hint="default" w:ascii="Times New Roman" w:hAnsi="Times New Roman" w:cs="Times New Roman"/>
                <w:color w:val="auto"/>
                <w:sz w:val="24"/>
                <w:szCs w:val="24"/>
                <w:lang w:eastAsia="zh-CN"/>
              </w:rPr>
              <w:t>库</w:t>
            </w:r>
            <w:r>
              <w:rPr>
                <w:rFonts w:hint="default" w:ascii="Times New Roman" w:hAnsi="Times New Roman" w:cs="Times New Roman"/>
                <w:color w:val="auto"/>
                <w:sz w:val="24"/>
                <w:szCs w:val="24"/>
              </w:rPr>
              <w:t>具体要求如下：</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A危险废物暂存间应按GB15562.6规定设置明显的警示标志，即暂存间门口要设置警示牌；盛装危险废物的容器上必须粘贴符合规定的危险废物标签。</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B危险废物贮存前应进行检验，确保同预定接收的危险废物一致，并登记注册。</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C作好危险废物情况的记录，记录上须注明危险废物的名称、来源、数量、特性和包装容器的类别、入库日期、存放库位、废物出库日期及接收单位名称。</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D危险废物的记录和货单在危险废物回取后应继续保留3年。</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E必须定期对所贮存的危险废物包装窗口及贮存设施进行检查，发现破损，应及时采取措施清理更换。</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F危险废物贮存设施周围应设置围墙或其他防护栅栏；危险废物贮存设施应配备通讯电器、照明设施、安全防护服装及工具，并设有应急防护设施。</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G危险废物暂存间地面要做耐腐蚀、防渗处理，设置围堰。</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H根据危险废物管理相关法规，为防止公司危险固废危害环境，将危险废物管理责任到人。</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I根据危险废物管理相关法规，危险废物应分类存放。</w:t>
            </w:r>
          </w:p>
          <w:p>
            <w:pPr>
              <w:pStyle w:val="16"/>
              <w:spacing w:line="360" w:lineRule="auto"/>
              <w:ind w:firstLine="482"/>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（五）土壤</w:t>
            </w:r>
            <w:r>
              <w:rPr>
                <w:rFonts w:hint="default" w:ascii="Times New Roman" w:hAnsi="Times New Roman" w:cs="Times New Roman"/>
                <w:b/>
                <w:bCs/>
                <w:color w:val="auto"/>
                <w:sz w:val="24"/>
                <w:szCs w:val="24"/>
                <w:vertAlign w:val="baseline"/>
                <w:lang w:val="en-US" w:eastAsia="zh-CN"/>
              </w:rPr>
              <w:t>、地下水</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1）土壤</w:t>
            </w:r>
            <w:r>
              <w:rPr>
                <w:rFonts w:hint="default" w:ascii="Times New Roman" w:hAnsi="Times New Roman" w:cs="Times New Roman"/>
                <w:color w:val="auto"/>
                <w:sz w:val="24"/>
                <w:szCs w:val="24"/>
                <w:lang w:eastAsia="zh-CN"/>
              </w:rPr>
              <w:t>、地下水</w:t>
            </w:r>
            <w:r>
              <w:rPr>
                <w:rFonts w:hint="default" w:ascii="Times New Roman" w:hAnsi="Times New Roman" w:cs="Times New Roman"/>
                <w:color w:val="auto"/>
                <w:sz w:val="24"/>
                <w:szCs w:val="24"/>
              </w:rPr>
              <w:t>污染途径分析</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1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rPr>
              <w:t>①</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污染物来源于被污染的大气，主要集中在土壤表层，主要污染物是生产过程中产生的污染物它们降落到地表可引起土壤土质发生变化，破坏土壤肥力与生态系统的平衡。</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②固体废物污染型：</w:t>
            </w:r>
            <w:r>
              <w:rPr>
                <w:rFonts w:hint="default" w:ascii="Times New Roman" w:hAnsi="Times New Roman" w:cs="Times New Roman"/>
                <w:color w:val="auto"/>
                <w:sz w:val="24"/>
                <w:szCs w:val="24"/>
                <w:lang w:eastAsia="zh-CN"/>
              </w:rPr>
              <w:t>危废暂存间危险固废</w:t>
            </w:r>
            <w:r>
              <w:rPr>
                <w:rFonts w:hint="default" w:ascii="Times New Roman" w:hAnsi="Times New Roman" w:cs="Times New Roman"/>
                <w:color w:val="auto"/>
                <w:sz w:val="24"/>
                <w:szCs w:val="24"/>
              </w:rPr>
              <w:t>在堆放、运输过程中通过扩散、降水淋洗等直接或间接的影响土壤</w:t>
            </w:r>
            <w:r>
              <w:rPr>
                <w:rFonts w:hint="default" w:ascii="Times New Roman" w:hAnsi="Times New Roman" w:cs="Times New Roman"/>
                <w:color w:val="auto"/>
                <w:sz w:val="24"/>
                <w:szCs w:val="24"/>
                <w:lang w:eastAsia="zh-CN"/>
              </w:rPr>
              <w:t>、地下水</w:t>
            </w:r>
            <w:r>
              <w:rPr>
                <w:rFonts w:hint="default" w:ascii="Times New Roman" w:hAnsi="Times New Roman" w:cs="Times New Roman"/>
                <w:color w:val="auto"/>
                <w:sz w:val="24"/>
                <w:szCs w:val="24"/>
              </w:rPr>
              <w:t>。</w:t>
            </w:r>
          </w:p>
          <w:p>
            <w:pPr>
              <w:pStyle w:val="16"/>
              <w:spacing w:line="360" w:lineRule="auto"/>
              <w:ind w:firstLine="480" w:firstLineChars="200"/>
              <w:outlineLvl w:val="9"/>
              <w:rPr>
                <w:rFonts w:hint="default" w:ascii="Times New Roman" w:hAnsi="Times New Roman" w:cs="Times New Roman"/>
                <w:bCs/>
                <w:color w:val="auto"/>
                <w:sz w:val="24"/>
                <w:szCs w:val="24"/>
                <w:lang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3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rPr>
              <w:t>③</w:t>
            </w:r>
            <w:r>
              <w:rPr>
                <w:rFonts w:hint="default" w:ascii="Times New Roman" w:hAnsi="Times New Roman" w:cs="Times New Roman"/>
                <w:color w:val="auto"/>
                <w:sz w:val="24"/>
                <w:szCs w:val="24"/>
              </w:rPr>
              <w:fldChar w:fldCharType="end"/>
            </w:r>
            <w:r>
              <w:rPr>
                <w:rFonts w:hint="default" w:ascii="Times New Roman" w:hAnsi="Times New Roman" w:cs="Times New Roman"/>
                <w:bCs/>
                <w:color w:val="auto"/>
                <w:sz w:val="24"/>
                <w:szCs w:val="24"/>
                <w:lang w:eastAsia="zh-CN"/>
              </w:rPr>
              <w:t>因系统老化或腐蚀造成硬化面出现破损，管线或污水收集处理池底部因腐蚀等其它原因出现漏洞等情景，废水含有</w:t>
            </w:r>
            <w:r>
              <w:rPr>
                <w:rFonts w:hint="default" w:ascii="Times New Roman" w:hAnsi="Times New Roman" w:cs="Times New Roman"/>
                <w:bCs/>
                <w:color w:val="auto"/>
                <w:sz w:val="24"/>
                <w:szCs w:val="24"/>
                <w:lang w:val="en-US" w:eastAsia="zh-CN"/>
              </w:rPr>
              <w:t>COD、氨氮、石油类等污染物，一旦调节池发生泄漏，就会污染地下水及土壤</w:t>
            </w:r>
            <w:r>
              <w:rPr>
                <w:rFonts w:hint="default" w:ascii="Times New Roman" w:hAnsi="Times New Roman" w:cs="Times New Roman"/>
                <w:bCs/>
                <w:color w:val="auto"/>
                <w:sz w:val="24"/>
                <w:szCs w:val="24"/>
                <w:lang w:eastAsia="zh-CN"/>
              </w:rPr>
              <w:t>。</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2）环境保护措施</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本项目从污染物的产生、入渗、扩散、应急响应进行控制，采取的环境保护措施主要为：</w:t>
            </w:r>
          </w:p>
          <w:p>
            <w:pPr>
              <w:pStyle w:val="16"/>
              <w:spacing w:line="360" w:lineRule="auto"/>
              <w:ind w:firstLine="482"/>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①控制拟建项目污染物的排放。控制污染物排放的数量和浓度，使之符合排放标准和总量控制要求。</w:t>
            </w:r>
          </w:p>
          <w:p>
            <w:pPr>
              <w:pStyle w:val="16"/>
              <w:spacing w:line="360" w:lineRule="auto"/>
              <w:ind w:firstLine="482"/>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②在今后的生产过程中，做好设备的维护、检修，杜绝跑、冒、滴、漏现象。同时，加强污染物产生环节的安全防护、报警措施，以便及时发现事故隐患，采取有效的应对措施。</w:t>
            </w:r>
          </w:p>
          <w:p>
            <w:pPr>
              <w:pStyle w:val="16"/>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③厂区内全部采用水泥抹面，涉及物料储存的原料储存区、生产区、成品仓库等，污染防治措施均采取严格的硬化处理。生产过程中的各种物料及污染物均与天然土壤隔离，不会通过裸露区渗入到土壤中。</w:t>
            </w:r>
          </w:p>
          <w:p>
            <w:pPr>
              <w:pStyle w:val="16"/>
              <w:spacing w:line="360" w:lineRule="auto"/>
              <w:ind w:firstLine="482"/>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3）分区防渗措施</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根据本项目厂区可能泄漏至地面区域污染物的性质和生产单元的构筑方式，将</w:t>
            </w:r>
            <w:r>
              <w:rPr>
                <w:rFonts w:hint="default" w:ascii="Times New Roman" w:hAnsi="Times New Roman" w:cs="Times New Roman"/>
                <w:color w:val="auto"/>
                <w:sz w:val="24"/>
                <w:highlight w:val="none"/>
              </w:rPr>
              <w:t>本项目区</w:t>
            </w:r>
            <w:r>
              <w:rPr>
                <w:rFonts w:hint="default" w:ascii="Times New Roman" w:hAnsi="Times New Roman" w:cs="Times New Roman"/>
                <w:color w:val="auto"/>
                <w:sz w:val="24"/>
              </w:rPr>
              <w:t>域划分为</w:t>
            </w:r>
            <w:r>
              <w:rPr>
                <w:rFonts w:hint="eastAsia" w:ascii="Times New Roman" w:hAnsi="Times New Roman" w:cs="Times New Roman"/>
                <w:color w:val="auto"/>
                <w:sz w:val="24"/>
                <w:lang w:eastAsia="zh-CN"/>
              </w:rPr>
              <w:t>一般防渗区</w:t>
            </w:r>
            <w:r>
              <w:rPr>
                <w:rFonts w:hint="default" w:ascii="Times New Roman" w:hAnsi="Times New Roman" w:cs="Times New Roman"/>
                <w:color w:val="auto"/>
                <w:sz w:val="24"/>
              </w:rPr>
              <w:t>。</w:t>
            </w:r>
          </w:p>
          <w:p>
            <w:pPr>
              <w:pStyle w:val="16"/>
              <w:spacing w:line="360" w:lineRule="auto"/>
              <w:ind w:firstLine="482"/>
              <w:outlineLvl w:val="9"/>
              <w:rPr>
                <w:rFonts w:hint="default" w:ascii="Times New Roman" w:hAnsi="Times New Roman" w:eastAsia="宋体" w:cs="Times New Roman"/>
                <w:b/>
                <w:bCs/>
                <w:color w:val="auto"/>
                <w:sz w:val="24"/>
                <w:szCs w:val="24"/>
                <w:highlight w:val="none"/>
                <w:u w:val="none"/>
                <w:lang w:eastAsia="zh-CN"/>
              </w:rPr>
            </w:pPr>
            <w:r>
              <w:rPr>
                <w:rFonts w:hint="default" w:ascii="Times New Roman" w:hAnsi="Times New Roman" w:cs="Times New Roman"/>
                <w:b/>
                <w:bCs/>
                <w:color w:val="auto"/>
                <w:sz w:val="24"/>
                <w:szCs w:val="24"/>
                <w:highlight w:val="none"/>
                <w:u w:val="none"/>
                <w:lang w:eastAsia="zh-CN"/>
              </w:rPr>
              <w:t>（</w:t>
            </w:r>
            <w:r>
              <w:rPr>
                <w:rFonts w:hint="eastAsia" w:ascii="Times New Roman" w:hAnsi="Times New Roman" w:cs="Times New Roman"/>
                <w:b/>
                <w:bCs/>
                <w:color w:val="auto"/>
                <w:sz w:val="24"/>
                <w:szCs w:val="24"/>
                <w:highlight w:val="none"/>
                <w:u w:val="none"/>
                <w:lang w:val="en-US" w:eastAsia="zh-CN"/>
              </w:rPr>
              <w:t>六</w:t>
            </w:r>
            <w:r>
              <w:rPr>
                <w:rFonts w:hint="default" w:ascii="Times New Roman" w:hAnsi="Times New Roman" w:eastAsia="宋体" w:cs="Times New Roman"/>
                <w:b/>
                <w:bCs/>
                <w:color w:val="auto"/>
                <w:sz w:val="24"/>
                <w:szCs w:val="24"/>
                <w:highlight w:val="none"/>
                <w:u w:val="none"/>
                <w:lang w:eastAsia="zh-CN"/>
              </w:rPr>
              <w:t>）环境风险分析</w:t>
            </w:r>
          </w:p>
          <w:p>
            <w:pPr>
              <w:pStyle w:val="16"/>
              <w:spacing w:line="360" w:lineRule="auto"/>
              <w:ind w:firstLine="482"/>
              <w:outlineLvl w:val="9"/>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根据《建设项目环境影响报告表编制技术指南》（污染影响类）（试行），应明确有毒有害和易燃易爆等危险物质和风险源分布情况及可能影响途径，并提出相应环境风险防范措施。</w:t>
            </w:r>
          </w:p>
          <w:p>
            <w:pPr>
              <w:pStyle w:val="16"/>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1、主要危险物质及分布情况</w:t>
            </w:r>
          </w:p>
          <w:p>
            <w:pPr>
              <w:pStyle w:val="16"/>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80" w:firstLineChars="200"/>
              <w:jc w:val="left"/>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经对照《建设项目环境风险评价技术导则》(HJ 169—2018)附录B，生产过程中所涉及的主要危险物质为天然气和</w:t>
            </w:r>
            <w:r>
              <w:rPr>
                <w:rFonts w:hint="eastAsia"/>
                <w:color w:val="auto"/>
                <w:sz w:val="24"/>
                <w:highlight w:val="none"/>
                <w:lang w:eastAsia="zh-CN"/>
              </w:rPr>
              <w:t>油类（清洗油、轧制油、废轧制油、</w:t>
            </w:r>
            <w:r>
              <w:rPr>
                <w:rFonts w:hint="eastAsia"/>
                <w:color w:val="auto"/>
                <w:sz w:val="24"/>
                <w:highlight w:val="none"/>
                <w:lang w:val="en-US" w:eastAsia="zh-CN"/>
              </w:rPr>
              <w:t>废清洗油</w:t>
            </w:r>
            <w:r>
              <w:rPr>
                <w:rFonts w:hint="eastAsia"/>
                <w:color w:val="auto"/>
                <w:sz w:val="24"/>
                <w:highlight w:val="none"/>
                <w:lang w:eastAsia="zh-CN"/>
              </w:rPr>
              <w:t>）</w:t>
            </w:r>
            <w:r>
              <w:rPr>
                <w:rFonts w:hint="default" w:ascii="Times New Roman" w:hAnsi="Times New Roman" w:cs="Times New Roman"/>
                <w:color w:val="auto"/>
                <w:sz w:val="24"/>
                <w:szCs w:val="24"/>
                <w:highlight w:val="none"/>
                <w:lang w:val="en-US" w:eastAsia="zh-CN"/>
              </w:rPr>
              <w:t>。天然气为管道运输，</w:t>
            </w:r>
            <w:r>
              <w:rPr>
                <w:rFonts w:hint="eastAsia"/>
                <w:color w:val="auto"/>
                <w:sz w:val="24"/>
                <w:highlight w:val="none"/>
                <w:lang w:val="en-US" w:eastAsia="zh-CN"/>
              </w:rPr>
              <w:t>油类</w:t>
            </w:r>
            <w:r>
              <w:rPr>
                <w:rFonts w:hint="eastAsia"/>
                <w:color w:val="auto"/>
                <w:sz w:val="24"/>
                <w:highlight w:val="none"/>
                <w:lang w:eastAsia="zh-CN"/>
              </w:rPr>
              <w:t>、油雾净化器产生的油脂</w:t>
            </w:r>
            <w:r>
              <w:rPr>
                <w:rFonts w:hint="eastAsia" w:ascii="Times New Roman" w:hAnsi="Times New Roman" w:cs="Times New Roman"/>
                <w:color w:val="auto"/>
                <w:sz w:val="24"/>
                <w:szCs w:val="24"/>
                <w:highlight w:val="none"/>
                <w:lang w:val="en-US" w:eastAsia="zh-CN"/>
              </w:rPr>
              <w:t>存储在仓库、</w:t>
            </w:r>
            <w:r>
              <w:rPr>
                <w:rFonts w:hint="eastAsia"/>
                <w:color w:val="auto"/>
                <w:sz w:val="24"/>
                <w:highlight w:val="none"/>
                <w:lang w:eastAsia="zh-CN"/>
              </w:rPr>
              <w:t>油雾净化器产生的油脂</w:t>
            </w:r>
            <w:r>
              <w:rPr>
                <w:rFonts w:hint="eastAsia"/>
                <w:color w:val="auto"/>
                <w:sz w:val="24"/>
                <w:highlight w:val="none"/>
                <w:lang w:val="en-US" w:eastAsia="zh-CN"/>
              </w:rPr>
              <w:t>储存在危废间</w:t>
            </w:r>
            <w:r>
              <w:rPr>
                <w:rFonts w:hint="default" w:ascii="Times New Roman" w:hAnsi="Times New Roman" w:cs="Times New Roman"/>
                <w:color w:val="auto"/>
                <w:sz w:val="24"/>
                <w:szCs w:val="24"/>
                <w:highlight w:val="none"/>
                <w:lang w:val="en-US" w:eastAsia="zh-CN"/>
              </w:rPr>
              <w:t>。</w:t>
            </w:r>
          </w:p>
          <w:p>
            <w:pPr>
              <w:spacing w:line="360" w:lineRule="auto"/>
              <w:ind w:firstLine="480"/>
              <w:rPr>
                <w:rFonts w:ascii="Times New Roman" w:hAnsi="Times New Roman" w:eastAsia="宋体"/>
                <w:color w:val="auto"/>
                <w:sz w:val="24"/>
                <w:highlight w:val="none"/>
              </w:rPr>
            </w:pPr>
            <w:r>
              <w:rPr>
                <w:rFonts w:hint="default" w:ascii="Times New Roman" w:hAnsi="Times New Roman" w:eastAsia="宋体"/>
                <w:color w:val="auto"/>
                <w:sz w:val="24"/>
                <w:highlight w:val="none"/>
              </w:rPr>
              <w:t>本项目涉及的危险物质存储量及Q值见下表。</w:t>
            </w:r>
          </w:p>
          <w:p>
            <w:pPr>
              <w:pStyle w:val="2"/>
              <w:spacing w:line="360" w:lineRule="auto"/>
              <w:rPr>
                <w:rFonts w:ascii="Times New Roman" w:hAnsi="Times New Roman" w:eastAsia="宋体"/>
                <w:b/>
                <w:bCs w:val="0"/>
                <w:color w:val="auto"/>
                <w:sz w:val="24"/>
                <w:szCs w:val="24"/>
              </w:rPr>
            </w:pPr>
            <w:r>
              <w:rPr>
                <w:rFonts w:hint="default" w:ascii="Times New Roman" w:hAnsi="Times New Roman" w:eastAsia="宋体"/>
                <w:b/>
                <w:bCs w:val="0"/>
                <w:color w:val="auto"/>
                <w:kern w:val="44"/>
                <w:sz w:val="24"/>
                <w:szCs w:val="24"/>
              </w:rPr>
              <w:t xml:space="preserve"> </w:t>
            </w:r>
            <w:r>
              <w:rPr>
                <w:rFonts w:ascii="Times New Roman" w:hAnsi="Times New Roman" w:eastAsia="宋体"/>
                <w:b/>
                <w:bCs w:val="0"/>
                <w:color w:val="auto"/>
                <w:kern w:val="44"/>
                <w:sz w:val="24"/>
                <w:szCs w:val="24"/>
              </w:rPr>
              <w:t xml:space="preserve"> 危险物质存储及分布一览表</w:t>
            </w:r>
          </w:p>
          <w:tbl>
            <w:tblPr>
              <w:tblStyle w:val="27"/>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71"/>
              <w:gridCol w:w="1615"/>
              <w:gridCol w:w="1588"/>
              <w:gridCol w:w="1147"/>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blHeader/>
              </w:trPr>
              <w:tc>
                <w:tcPr>
                  <w:tcW w:w="486" w:type="pct"/>
                  <w:tcBorders>
                    <w:tl2br w:val="nil"/>
                    <w:tr2bl w:val="nil"/>
                  </w:tcBorders>
                  <w:noWrap w:val="0"/>
                  <w:vAlign w:val="center"/>
                </w:tcPr>
                <w:p>
                  <w:pPr>
                    <w:jc w:val="center"/>
                    <w:rPr>
                      <w:rFonts w:ascii="Times New Roman" w:hAnsi="Times New Roman" w:cs="Times New Roman"/>
                      <w:color w:val="auto"/>
                      <w:spacing w:val="-1"/>
                      <w:kern w:val="0"/>
                      <w:szCs w:val="21"/>
                    </w:rPr>
                  </w:pPr>
                  <w:r>
                    <w:rPr>
                      <w:rFonts w:hint="default" w:ascii="Times New Roman" w:hAnsi="Times New Roman" w:cs="Times New Roman"/>
                      <w:color w:val="auto"/>
                      <w:spacing w:val="-1"/>
                      <w:kern w:val="0"/>
                      <w:szCs w:val="21"/>
                    </w:rPr>
                    <w:t>序号</w:t>
                  </w:r>
                </w:p>
              </w:tc>
              <w:tc>
                <w:tcPr>
                  <w:tcW w:w="862" w:type="pct"/>
                  <w:tcBorders>
                    <w:tl2br w:val="nil"/>
                    <w:tr2bl w:val="nil"/>
                  </w:tcBorders>
                  <w:noWrap w:val="0"/>
                  <w:vAlign w:val="center"/>
                </w:tcPr>
                <w:p>
                  <w:pPr>
                    <w:jc w:val="center"/>
                    <w:rPr>
                      <w:rFonts w:hint="default" w:ascii="Times New Roman" w:hAnsi="Times New Roman" w:cs="Times New Roman"/>
                      <w:color w:val="auto"/>
                      <w:spacing w:val="-1"/>
                      <w:kern w:val="0"/>
                      <w:szCs w:val="21"/>
                    </w:rPr>
                  </w:pPr>
                  <w:r>
                    <w:rPr>
                      <w:rFonts w:hint="default" w:ascii="Times New Roman" w:hAnsi="Times New Roman" w:cs="Times New Roman"/>
                      <w:color w:val="auto"/>
                      <w:spacing w:val="-1"/>
                      <w:kern w:val="0"/>
                      <w:szCs w:val="21"/>
                    </w:rPr>
                    <w:t>危险物质</w:t>
                  </w:r>
                </w:p>
              </w:tc>
              <w:tc>
                <w:tcPr>
                  <w:tcW w:w="1015" w:type="pct"/>
                  <w:tcBorders>
                    <w:tl2br w:val="nil"/>
                    <w:tr2bl w:val="nil"/>
                  </w:tcBorders>
                  <w:noWrap w:val="0"/>
                  <w:vAlign w:val="center"/>
                </w:tcPr>
                <w:p>
                  <w:pPr>
                    <w:pStyle w:val="12"/>
                    <w:rPr>
                      <w:rFonts w:hint="default" w:ascii="Times New Roman" w:hAnsi="Times New Roman" w:cs="Times New Roman"/>
                      <w:b w:val="0"/>
                      <w:bCs/>
                      <w:color w:val="auto"/>
                      <w:spacing w:val="-1"/>
                      <w:kern w:val="0"/>
                      <w:sz w:val="21"/>
                      <w:szCs w:val="21"/>
                    </w:rPr>
                  </w:pPr>
                  <w:r>
                    <w:rPr>
                      <w:rFonts w:hint="default" w:ascii="Times New Roman" w:hAnsi="Times New Roman" w:cs="Times New Roman"/>
                      <w:b w:val="0"/>
                      <w:bCs/>
                      <w:color w:val="auto"/>
                      <w:spacing w:val="-1"/>
                      <w:kern w:val="0"/>
                      <w:sz w:val="21"/>
                      <w:szCs w:val="21"/>
                    </w:rPr>
                    <w:t>贮存位置</w:t>
                  </w:r>
                </w:p>
              </w:tc>
              <w:tc>
                <w:tcPr>
                  <w:tcW w:w="998" w:type="pct"/>
                  <w:tcBorders>
                    <w:tl2br w:val="nil"/>
                    <w:tr2bl w:val="nil"/>
                  </w:tcBorders>
                  <w:noWrap w:val="0"/>
                  <w:vAlign w:val="center"/>
                </w:tcPr>
                <w:p>
                  <w:pPr>
                    <w:pStyle w:val="12"/>
                    <w:rPr>
                      <w:rFonts w:ascii="Times New Roman" w:hAnsi="Times New Roman" w:cs="Times New Roman"/>
                      <w:b w:val="0"/>
                      <w:bCs/>
                      <w:color w:val="auto"/>
                      <w:spacing w:val="-1"/>
                      <w:kern w:val="0"/>
                      <w:sz w:val="21"/>
                      <w:szCs w:val="21"/>
                    </w:rPr>
                  </w:pPr>
                  <w:r>
                    <w:rPr>
                      <w:rFonts w:hint="default" w:ascii="Times New Roman" w:hAnsi="Times New Roman" w:cs="Times New Roman"/>
                      <w:b w:val="0"/>
                      <w:bCs/>
                      <w:color w:val="auto"/>
                      <w:spacing w:val="-1"/>
                      <w:kern w:val="0"/>
                      <w:sz w:val="21"/>
                      <w:szCs w:val="21"/>
                    </w:rPr>
                    <w:t>最大储存量(t)</w:t>
                  </w:r>
                </w:p>
              </w:tc>
              <w:tc>
                <w:tcPr>
                  <w:tcW w:w="719" w:type="pct"/>
                  <w:tcBorders>
                    <w:tl2br w:val="nil"/>
                    <w:tr2bl w:val="nil"/>
                  </w:tcBorders>
                  <w:noWrap w:val="0"/>
                  <w:vAlign w:val="center"/>
                </w:tcPr>
                <w:p>
                  <w:pPr>
                    <w:jc w:val="center"/>
                    <w:rPr>
                      <w:rFonts w:ascii="Times New Roman" w:hAnsi="Times New Roman" w:cs="Times New Roman"/>
                      <w:color w:val="auto"/>
                      <w:spacing w:val="-1"/>
                      <w:kern w:val="0"/>
                      <w:szCs w:val="21"/>
                    </w:rPr>
                  </w:pPr>
                  <w:r>
                    <w:rPr>
                      <w:rFonts w:hint="default" w:ascii="Times New Roman" w:hAnsi="Times New Roman" w:cs="Times New Roman"/>
                      <w:color w:val="auto"/>
                      <w:spacing w:val="-1"/>
                      <w:kern w:val="0"/>
                      <w:szCs w:val="21"/>
                    </w:rPr>
                    <w:t>临界量（t）</w:t>
                  </w:r>
                </w:p>
              </w:tc>
              <w:tc>
                <w:tcPr>
                  <w:tcW w:w="917" w:type="pct"/>
                  <w:tcBorders>
                    <w:tl2br w:val="nil"/>
                    <w:tr2bl w:val="nil"/>
                  </w:tcBorders>
                  <w:noWrap w:val="0"/>
                  <w:vAlign w:val="center"/>
                </w:tcPr>
                <w:p>
                  <w:pPr>
                    <w:jc w:val="center"/>
                    <w:rPr>
                      <w:rFonts w:ascii="Times New Roman" w:hAnsi="Times New Roman" w:cs="Times New Roman"/>
                      <w:color w:val="auto"/>
                      <w:spacing w:val="-1"/>
                      <w:kern w:val="0"/>
                      <w:szCs w:val="21"/>
                    </w:rPr>
                  </w:pPr>
                  <w:r>
                    <w:rPr>
                      <w:rFonts w:hint="default" w:ascii="Times New Roman" w:hAnsi="Times New Roman" w:cs="Times New Roman"/>
                      <w:color w:val="auto"/>
                      <w:spacing w:val="-1"/>
                      <w:kern w:val="0"/>
                      <w:szCs w:val="21"/>
                    </w:rPr>
                    <w:t>该种物质Q值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86" w:type="pct"/>
                  <w:tcBorders>
                    <w:tl2br w:val="nil"/>
                    <w:tr2bl w:val="nil"/>
                  </w:tcBorders>
                  <w:noWrap w:val="0"/>
                  <w:vAlign w:val="center"/>
                </w:tcPr>
                <w:p>
                  <w:pPr>
                    <w:jc w:val="center"/>
                    <w:rPr>
                      <w:rFonts w:hint="default" w:ascii="Times New Roman" w:hAnsi="Times New Roman" w:cs="Times New Roman"/>
                      <w:color w:val="auto"/>
                      <w:spacing w:val="-1"/>
                      <w:kern w:val="0"/>
                      <w:szCs w:val="21"/>
                    </w:rPr>
                  </w:pPr>
                  <w:r>
                    <w:rPr>
                      <w:rFonts w:hint="default" w:ascii="Times New Roman" w:hAnsi="Times New Roman" w:cs="Times New Roman"/>
                      <w:color w:val="auto"/>
                      <w:spacing w:val="-1"/>
                      <w:kern w:val="0"/>
                      <w:szCs w:val="21"/>
                    </w:rPr>
                    <w:t>1</w:t>
                  </w:r>
                </w:p>
              </w:tc>
              <w:tc>
                <w:tcPr>
                  <w:tcW w:w="862" w:type="pct"/>
                  <w:tcBorders>
                    <w:tl2br w:val="nil"/>
                    <w:tr2bl w:val="nil"/>
                  </w:tcBorders>
                  <w:noWrap w:val="0"/>
                  <w:vAlign w:val="center"/>
                </w:tcPr>
                <w:p>
                  <w:pPr>
                    <w:jc w:val="center"/>
                    <w:rPr>
                      <w:rFonts w:hint="eastAsia" w:ascii="Times New Roman" w:hAnsi="Times New Roman" w:cs="Times New Roman"/>
                      <w:color w:val="auto"/>
                      <w:spacing w:val="-1"/>
                      <w:kern w:val="0"/>
                      <w:szCs w:val="21"/>
                    </w:rPr>
                  </w:pPr>
                  <w:r>
                    <w:rPr>
                      <w:rFonts w:hint="eastAsia" w:ascii="Times New Roman" w:hAnsi="Times New Roman" w:cs="Times New Roman"/>
                      <w:color w:val="auto"/>
                      <w:spacing w:val="-1"/>
                      <w:kern w:val="0"/>
                      <w:szCs w:val="21"/>
                      <w:lang w:eastAsia="zh-CN"/>
                    </w:rPr>
                    <w:t>天然气</w:t>
                  </w:r>
                </w:p>
              </w:tc>
              <w:tc>
                <w:tcPr>
                  <w:tcW w:w="1015" w:type="pct"/>
                  <w:tcBorders>
                    <w:tl2br w:val="nil"/>
                    <w:tr2bl w:val="nil"/>
                  </w:tcBorders>
                  <w:noWrap w:val="0"/>
                  <w:vAlign w:val="center"/>
                </w:tcPr>
                <w:p>
                  <w:pPr>
                    <w:jc w:val="center"/>
                    <w:rPr>
                      <w:rFonts w:hint="eastAsia" w:ascii="Times New Roman" w:hAnsi="Times New Roman" w:cs="Times New Roman"/>
                      <w:color w:val="auto"/>
                      <w:spacing w:val="-1"/>
                      <w:kern w:val="0"/>
                      <w:szCs w:val="21"/>
                    </w:rPr>
                  </w:pPr>
                  <w:r>
                    <w:rPr>
                      <w:rFonts w:hint="eastAsia" w:ascii="Times New Roman" w:hAnsi="Times New Roman" w:cs="Times New Roman"/>
                      <w:color w:val="auto"/>
                      <w:spacing w:val="-1"/>
                      <w:kern w:val="0"/>
                      <w:szCs w:val="21"/>
                      <w:lang w:eastAsia="zh-CN"/>
                    </w:rPr>
                    <w:t>管道</w:t>
                  </w:r>
                </w:p>
              </w:tc>
              <w:tc>
                <w:tcPr>
                  <w:tcW w:w="998" w:type="pct"/>
                  <w:tcBorders>
                    <w:tl2br w:val="nil"/>
                    <w:tr2bl w:val="nil"/>
                  </w:tcBorders>
                  <w:noWrap w:val="0"/>
                  <w:vAlign w:val="center"/>
                </w:tcPr>
                <w:p>
                  <w:pPr>
                    <w:jc w:val="center"/>
                    <w:rPr>
                      <w:rFonts w:hint="default" w:ascii="Times New Roman" w:hAnsi="Times New Roman" w:cs="Times New Roman"/>
                      <w:color w:val="auto"/>
                      <w:spacing w:val="-1"/>
                      <w:kern w:val="0"/>
                      <w:szCs w:val="21"/>
                    </w:rPr>
                  </w:pPr>
                  <w:r>
                    <w:rPr>
                      <w:rFonts w:hint="eastAsia" w:ascii="Times New Roman" w:hAnsi="Times New Roman" w:cs="Times New Roman"/>
                      <w:color w:val="auto"/>
                      <w:spacing w:val="-1"/>
                      <w:kern w:val="0"/>
                      <w:szCs w:val="21"/>
                      <w:lang w:eastAsia="zh-CN"/>
                    </w:rPr>
                    <w:t>0</w:t>
                  </w:r>
                  <w:r>
                    <w:rPr>
                      <w:rFonts w:hint="eastAsia" w:ascii="Times New Roman" w:hAnsi="Times New Roman" w:cs="Times New Roman"/>
                      <w:color w:val="auto"/>
                      <w:spacing w:val="-1"/>
                      <w:kern w:val="0"/>
                      <w:szCs w:val="21"/>
                      <w:lang w:val="en-US" w:eastAsia="zh-CN"/>
                    </w:rPr>
                    <w:t>.04</w:t>
                  </w:r>
                </w:p>
              </w:tc>
              <w:tc>
                <w:tcPr>
                  <w:tcW w:w="719" w:type="pct"/>
                  <w:tcBorders>
                    <w:tl2br w:val="nil"/>
                    <w:tr2bl w:val="nil"/>
                  </w:tcBorders>
                  <w:noWrap w:val="0"/>
                  <w:vAlign w:val="center"/>
                </w:tcPr>
                <w:p>
                  <w:pPr>
                    <w:jc w:val="center"/>
                    <w:rPr>
                      <w:rFonts w:ascii="Times New Roman" w:hAnsi="Times New Roman" w:cs="Times New Roman"/>
                      <w:color w:val="auto"/>
                      <w:spacing w:val="-1"/>
                      <w:kern w:val="0"/>
                      <w:szCs w:val="21"/>
                    </w:rPr>
                  </w:pPr>
                  <w:r>
                    <w:rPr>
                      <w:rFonts w:hint="default" w:ascii="Times New Roman" w:hAnsi="Times New Roman" w:cs="Times New Roman"/>
                      <w:color w:val="auto"/>
                      <w:spacing w:val="-1"/>
                      <w:kern w:val="0"/>
                      <w:szCs w:val="21"/>
                    </w:rPr>
                    <w:t>10</w:t>
                  </w:r>
                </w:p>
              </w:tc>
              <w:tc>
                <w:tcPr>
                  <w:tcW w:w="917" w:type="pct"/>
                  <w:tcBorders>
                    <w:tl2br w:val="nil"/>
                    <w:tr2bl w:val="nil"/>
                  </w:tcBorders>
                  <w:noWrap w:val="0"/>
                  <w:vAlign w:val="center"/>
                </w:tcPr>
                <w:p>
                  <w:pPr>
                    <w:keepNext w:val="0"/>
                    <w:keepLines w:val="0"/>
                    <w:widowControl/>
                    <w:suppressLineNumbers w:val="0"/>
                    <w:jc w:val="center"/>
                    <w:textAlignment w:val="auto"/>
                    <w:rPr>
                      <w:rFonts w:hint="eastAsia" w:ascii="Times New Roman" w:hAnsi="Times New Roman" w:eastAsia="宋体" w:cs="Times New Roman"/>
                      <w:color w:val="auto"/>
                      <w:spacing w:val="-1"/>
                      <w:kern w:val="0"/>
                      <w:szCs w:val="21"/>
                    </w:rPr>
                  </w:pPr>
                  <w:r>
                    <w:rPr>
                      <w:rFonts w:hint="eastAsia" w:ascii="Times New Roman" w:hAnsi="Times New Roman" w:eastAsia="宋体" w:cs="Times New Roman"/>
                      <w:i w:val="0"/>
                      <w:iCs w:val="0"/>
                      <w:color w:val="auto"/>
                      <w:spacing w:val="-1"/>
                      <w:kern w:val="0"/>
                      <w:sz w:val="21"/>
                      <w:szCs w:val="21"/>
                      <w:u w:val="none"/>
                      <w:lang w:val="en-US" w:eastAsia="zh-CN" w:bidi="ar"/>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trPr>
              <w:tc>
                <w:tcPr>
                  <w:tcW w:w="486" w:type="pct"/>
                  <w:tcBorders>
                    <w:tl2br w:val="nil"/>
                    <w:tr2bl w:val="nil"/>
                  </w:tcBorders>
                  <w:noWrap w:val="0"/>
                  <w:vAlign w:val="center"/>
                </w:tcPr>
                <w:p>
                  <w:pPr>
                    <w:jc w:val="center"/>
                    <w:rPr>
                      <w:rFonts w:hint="default" w:ascii="Times New Roman" w:hAnsi="Times New Roman" w:eastAsia="宋体" w:cs="Times New Roman"/>
                      <w:color w:val="auto"/>
                      <w:spacing w:val="-1"/>
                      <w:kern w:val="0"/>
                      <w:szCs w:val="21"/>
                      <w:lang w:val="en-US" w:eastAsia="zh-CN"/>
                    </w:rPr>
                  </w:pPr>
                  <w:r>
                    <w:rPr>
                      <w:rFonts w:hint="default" w:ascii="Times New Roman" w:hAnsi="Times New Roman" w:cs="Times New Roman"/>
                      <w:color w:val="auto"/>
                      <w:spacing w:val="-1"/>
                      <w:kern w:val="0"/>
                      <w:szCs w:val="21"/>
                      <w:lang w:val="en-US" w:eastAsia="zh-CN"/>
                    </w:rPr>
                    <w:t>3</w:t>
                  </w:r>
                </w:p>
              </w:tc>
              <w:tc>
                <w:tcPr>
                  <w:tcW w:w="862" w:type="pct"/>
                  <w:tcBorders>
                    <w:tl2br w:val="nil"/>
                    <w:tr2bl w:val="nil"/>
                  </w:tcBorders>
                  <w:noWrap w:val="0"/>
                  <w:vAlign w:val="center"/>
                </w:tcPr>
                <w:p>
                  <w:pPr>
                    <w:jc w:val="center"/>
                    <w:rPr>
                      <w:rFonts w:hint="eastAsia" w:ascii="Times New Roman" w:hAnsi="Times New Roman" w:cs="Times New Roman"/>
                      <w:color w:val="auto"/>
                      <w:spacing w:val="-1"/>
                      <w:kern w:val="0"/>
                      <w:szCs w:val="21"/>
                    </w:rPr>
                  </w:pPr>
                  <w:r>
                    <w:rPr>
                      <w:rFonts w:hint="eastAsia" w:ascii="Times New Roman" w:hAnsi="Times New Roman" w:cs="Times New Roman"/>
                      <w:color w:val="auto"/>
                      <w:spacing w:val="-1"/>
                      <w:kern w:val="0"/>
                      <w:szCs w:val="21"/>
                      <w:lang w:eastAsia="zh-CN"/>
                    </w:rPr>
                    <w:t>油类</w:t>
                  </w:r>
                </w:p>
              </w:tc>
              <w:tc>
                <w:tcPr>
                  <w:tcW w:w="1015" w:type="pct"/>
                  <w:tcBorders>
                    <w:tl2br w:val="nil"/>
                    <w:tr2bl w:val="nil"/>
                  </w:tcBorders>
                  <w:noWrap w:val="0"/>
                  <w:vAlign w:val="center"/>
                </w:tcPr>
                <w:p>
                  <w:pPr>
                    <w:jc w:val="center"/>
                    <w:rPr>
                      <w:rFonts w:hint="eastAsia" w:ascii="Times New Roman" w:hAnsi="Times New Roman" w:cs="Times New Roman"/>
                      <w:color w:val="auto"/>
                      <w:spacing w:val="-1"/>
                      <w:kern w:val="0"/>
                      <w:szCs w:val="21"/>
                    </w:rPr>
                  </w:pPr>
                  <w:r>
                    <w:rPr>
                      <w:rFonts w:hint="eastAsia" w:ascii="Times New Roman" w:hAnsi="Times New Roman" w:cs="Times New Roman"/>
                      <w:color w:val="auto"/>
                      <w:spacing w:val="-1"/>
                      <w:kern w:val="0"/>
                      <w:szCs w:val="21"/>
                      <w:lang w:eastAsia="zh-CN"/>
                    </w:rPr>
                    <w:t>危废间、仓库</w:t>
                  </w:r>
                </w:p>
              </w:tc>
              <w:tc>
                <w:tcPr>
                  <w:tcW w:w="998" w:type="pct"/>
                  <w:tcBorders>
                    <w:tl2br w:val="nil"/>
                    <w:tr2bl w:val="nil"/>
                  </w:tcBorders>
                  <w:noWrap w:val="0"/>
                  <w:vAlign w:val="center"/>
                </w:tcPr>
                <w:p>
                  <w:pPr>
                    <w:jc w:val="center"/>
                    <w:rPr>
                      <w:rFonts w:hint="default" w:ascii="Times New Roman" w:hAnsi="Times New Roman" w:cs="Times New Roman"/>
                      <w:color w:val="auto"/>
                      <w:spacing w:val="-1"/>
                      <w:kern w:val="0"/>
                      <w:szCs w:val="21"/>
                      <w:lang w:val="en-US"/>
                    </w:rPr>
                  </w:pPr>
                  <w:r>
                    <w:rPr>
                      <w:rFonts w:hint="eastAsia" w:ascii="Times New Roman" w:hAnsi="Times New Roman" w:cs="Times New Roman"/>
                      <w:color w:val="auto"/>
                      <w:spacing w:val="-1"/>
                      <w:kern w:val="0"/>
                      <w:szCs w:val="21"/>
                      <w:lang w:val="en-US" w:eastAsia="zh-CN"/>
                    </w:rPr>
                    <w:t>110</w:t>
                  </w:r>
                </w:p>
              </w:tc>
              <w:tc>
                <w:tcPr>
                  <w:tcW w:w="719" w:type="pct"/>
                  <w:tcBorders>
                    <w:tl2br w:val="nil"/>
                    <w:tr2bl w:val="nil"/>
                  </w:tcBorders>
                  <w:noWrap w:val="0"/>
                  <w:vAlign w:val="center"/>
                </w:tcPr>
                <w:p>
                  <w:pPr>
                    <w:jc w:val="center"/>
                    <w:rPr>
                      <w:rFonts w:hint="default" w:ascii="Times New Roman" w:hAnsi="Times New Roman" w:cs="Times New Roman"/>
                      <w:color w:val="auto"/>
                      <w:spacing w:val="-1"/>
                      <w:kern w:val="0"/>
                      <w:szCs w:val="21"/>
                    </w:rPr>
                  </w:pPr>
                  <w:r>
                    <w:rPr>
                      <w:rFonts w:hint="eastAsia" w:ascii="Times New Roman" w:hAnsi="Times New Roman" w:cs="Times New Roman"/>
                      <w:color w:val="auto"/>
                      <w:spacing w:val="-1"/>
                      <w:kern w:val="0"/>
                      <w:szCs w:val="21"/>
                      <w:lang w:val="en-US" w:eastAsia="zh-CN"/>
                    </w:rPr>
                    <w:t>2500</w:t>
                  </w:r>
                </w:p>
              </w:tc>
              <w:tc>
                <w:tcPr>
                  <w:tcW w:w="917" w:type="pct"/>
                  <w:tcBorders>
                    <w:tl2br w:val="nil"/>
                    <w:tr2bl w:val="nil"/>
                  </w:tcBorders>
                  <w:noWrap w:val="0"/>
                  <w:vAlign w:val="center"/>
                </w:tcPr>
                <w:p>
                  <w:pPr>
                    <w:keepNext w:val="0"/>
                    <w:keepLines w:val="0"/>
                    <w:widowControl/>
                    <w:suppressLineNumbers w:val="0"/>
                    <w:jc w:val="center"/>
                    <w:textAlignment w:val="auto"/>
                    <w:rPr>
                      <w:rFonts w:hint="default" w:ascii="Times New Roman" w:hAnsi="Times New Roman" w:eastAsia="宋体" w:cs="Times New Roman"/>
                      <w:color w:val="auto"/>
                      <w:spacing w:val="-1"/>
                      <w:kern w:val="0"/>
                      <w:szCs w:val="21"/>
                      <w:lang w:val="en-US"/>
                    </w:rPr>
                  </w:pPr>
                  <w:r>
                    <w:rPr>
                      <w:rFonts w:hint="eastAsia" w:ascii="Times New Roman" w:hAnsi="Times New Roman" w:eastAsia="宋体" w:cs="Times New Roman"/>
                      <w:i w:val="0"/>
                      <w:iCs w:val="0"/>
                      <w:color w:val="auto"/>
                      <w:spacing w:val="-1"/>
                      <w:kern w:val="0"/>
                      <w:sz w:val="21"/>
                      <w:szCs w:val="21"/>
                      <w:u w:val="none"/>
                      <w:lang w:val="en-US" w:eastAsia="zh-CN" w:bidi="ar"/>
                    </w:rPr>
                    <w:t>0.0</w:t>
                  </w:r>
                  <w:r>
                    <w:rPr>
                      <w:rFonts w:hint="eastAsia" w:ascii="Times New Roman" w:hAnsi="Times New Roman" w:cs="Times New Roman"/>
                      <w:i w:val="0"/>
                      <w:iCs w:val="0"/>
                      <w:color w:val="auto"/>
                      <w:spacing w:val="-1"/>
                      <w:kern w:val="0"/>
                      <w:sz w:val="21"/>
                      <w:szCs w:val="21"/>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4082" w:type="pct"/>
                  <w:gridSpan w:val="5"/>
                  <w:tcBorders>
                    <w:tl2br w:val="nil"/>
                    <w:tr2bl w:val="nil"/>
                  </w:tcBorders>
                  <w:noWrap w:val="0"/>
                  <w:vAlign w:val="center"/>
                </w:tcPr>
                <w:p>
                  <w:pPr>
                    <w:jc w:val="center"/>
                    <w:rPr>
                      <w:rFonts w:hint="default" w:ascii="Times New Roman" w:hAnsi="Times New Roman" w:cs="Times New Roman"/>
                      <w:color w:val="auto"/>
                      <w:spacing w:val="-1"/>
                      <w:kern w:val="0"/>
                      <w:szCs w:val="21"/>
                    </w:rPr>
                  </w:pPr>
                  <w:r>
                    <w:rPr>
                      <w:rFonts w:hint="default" w:ascii="Times New Roman" w:hAnsi="Times New Roman" w:cs="Times New Roman"/>
                      <w:color w:val="auto"/>
                      <w:spacing w:val="-1"/>
                      <w:kern w:val="0"/>
                      <w:szCs w:val="21"/>
                    </w:rPr>
                    <w:t>危险物质与临界量比值</w:t>
                  </w:r>
                </w:p>
              </w:tc>
              <w:tc>
                <w:tcPr>
                  <w:tcW w:w="917" w:type="pct"/>
                  <w:tcBorders>
                    <w:tl2br w:val="nil"/>
                    <w:tr2bl w:val="nil"/>
                  </w:tcBorders>
                  <w:noWrap w:val="0"/>
                  <w:vAlign w:val="center"/>
                </w:tcPr>
                <w:p>
                  <w:pPr>
                    <w:jc w:val="center"/>
                    <w:rPr>
                      <w:rFonts w:hint="default" w:ascii="Times New Roman" w:hAnsi="Times New Roman" w:eastAsia="宋体" w:cs="Times New Roman"/>
                      <w:color w:val="auto"/>
                      <w:spacing w:val="-1"/>
                      <w:kern w:val="0"/>
                      <w:szCs w:val="21"/>
                      <w:lang w:val="en-US"/>
                    </w:rPr>
                  </w:pPr>
                  <w:r>
                    <w:rPr>
                      <w:rFonts w:hint="default" w:ascii="Times New Roman" w:hAnsi="Times New Roman" w:eastAsia="宋体" w:cs="Times New Roman"/>
                      <w:color w:val="auto"/>
                      <w:spacing w:val="-1"/>
                      <w:kern w:val="0"/>
                      <w:szCs w:val="21"/>
                    </w:rPr>
                    <w:t>0.</w:t>
                  </w:r>
                  <w:r>
                    <w:rPr>
                      <w:rFonts w:hint="eastAsia" w:ascii="Times New Roman" w:hAnsi="Times New Roman" w:cs="Times New Roman"/>
                      <w:color w:val="auto"/>
                      <w:spacing w:val="-1"/>
                      <w:kern w:val="0"/>
                      <w:szCs w:val="21"/>
                      <w:lang w:val="en-US" w:eastAsia="zh-CN"/>
                    </w:rPr>
                    <w:t>048</w:t>
                  </w:r>
                </w:p>
              </w:tc>
            </w:tr>
          </w:tbl>
          <w:p>
            <w:pPr>
              <w:spacing w:line="240" w:lineRule="auto"/>
              <w:ind w:firstLine="0" w:firstLineChars="0"/>
              <w:rPr>
                <w:rFonts w:hint="eastAsia" w:ascii="Times New Roman" w:hAnsi="Times New Roman" w:eastAsia="宋体"/>
                <w:bCs/>
                <w:color w:val="auto"/>
                <w:sz w:val="21"/>
                <w:szCs w:val="21"/>
                <w:highlight w:val="none"/>
                <w:u w:val="none" w:color="auto"/>
                <w:lang w:eastAsia="zh-CN"/>
              </w:rPr>
            </w:pPr>
            <w:r>
              <w:rPr>
                <w:rFonts w:hint="eastAsia" w:ascii="Times New Roman" w:hAnsi="Times New Roman" w:eastAsia="宋体"/>
                <w:bCs/>
                <w:color w:val="auto"/>
                <w:sz w:val="21"/>
                <w:szCs w:val="21"/>
                <w:highlight w:val="none"/>
                <w:u w:val="none" w:color="auto"/>
                <w:lang w:eastAsia="zh-CN"/>
              </w:rPr>
              <w:t>注：根据天然气管道直径400mm、壁厚36.36mm、压力0.34MPa、管长200m进行换算得0.04t</w:t>
            </w:r>
            <w:r>
              <w:rPr>
                <w:rFonts w:hint="eastAsia" w:ascii="Times New Roman" w:hAnsi="Times New Roman"/>
                <w:bCs/>
                <w:color w:val="auto"/>
                <w:sz w:val="21"/>
                <w:szCs w:val="21"/>
                <w:highlight w:val="none"/>
                <w:u w:val="none" w:color="auto"/>
                <w:lang w:eastAsia="zh-CN"/>
              </w:rPr>
              <w:t>。</w:t>
            </w:r>
          </w:p>
          <w:p>
            <w:pPr>
              <w:spacing w:line="360" w:lineRule="auto"/>
              <w:ind w:firstLine="480" w:firstLineChars="200"/>
              <w:rPr>
                <w:rFonts w:hint="default" w:ascii="Times New Roman" w:hAnsi="Times New Roman" w:eastAsia="宋体"/>
                <w:bCs/>
                <w:color w:val="auto"/>
                <w:sz w:val="24"/>
                <w:szCs w:val="24"/>
                <w:highlight w:val="none"/>
                <w:u w:val="none" w:color="auto"/>
              </w:rPr>
            </w:pPr>
            <w:r>
              <w:rPr>
                <w:rFonts w:hint="default" w:ascii="Times New Roman" w:hAnsi="Times New Roman" w:eastAsia="宋体"/>
                <w:bCs/>
                <w:color w:val="auto"/>
                <w:sz w:val="24"/>
                <w:highlight w:val="none"/>
                <w:u w:val="none" w:color="auto"/>
              </w:rPr>
              <w:t>本项目危险物质与危险物质与临界量比值远远小于1，仅需对环境风险进行简单分析。</w:t>
            </w:r>
          </w:p>
          <w:p>
            <w:pPr>
              <w:pStyle w:val="16"/>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80" w:firstLineChars="200"/>
              <w:jc w:val="left"/>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2、可能影响环境的途径</w:t>
            </w:r>
          </w:p>
          <w:p>
            <w:pPr>
              <w:pStyle w:val="16"/>
              <w:spacing w:line="360" w:lineRule="auto"/>
              <w:ind w:firstLine="480" w:firstLineChars="200"/>
              <w:outlineLvl w:val="9"/>
              <w:rPr>
                <w:rFonts w:hint="default" w:ascii="Times New Roman" w:hAnsi="Times New Roman" w:cs="Times New Roman"/>
                <w:b w:val="0"/>
                <w:bCs/>
                <w:color w:val="auto"/>
                <w:sz w:val="24"/>
                <w:highlight w:val="none"/>
                <w:u w:val="none" w:color="auto"/>
              </w:rPr>
            </w:pPr>
            <w:r>
              <w:rPr>
                <w:rFonts w:hint="default" w:ascii="Times New Roman" w:hAnsi="Times New Roman" w:cs="Times New Roman"/>
                <w:b w:val="0"/>
                <w:bCs/>
                <w:color w:val="auto"/>
                <w:sz w:val="24"/>
                <w:highlight w:val="none"/>
                <w:u w:val="none" w:color="auto"/>
              </w:rPr>
              <w:t>（</w:t>
            </w:r>
            <w:r>
              <w:rPr>
                <w:rFonts w:hint="eastAsia" w:ascii="Times New Roman" w:hAnsi="Times New Roman" w:cs="Times New Roman"/>
                <w:b w:val="0"/>
                <w:bCs/>
                <w:color w:val="auto"/>
                <w:sz w:val="24"/>
                <w:highlight w:val="none"/>
                <w:u w:val="none" w:color="auto"/>
                <w:lang w:val="en-US" w:eastAsia="zh-CN"/>
              </w:rPr>
              <w:t>1</w:t>
            </w:r>
            <w:r>
              <w:rPr>
                <w:rFonts w:hint="default" w:ascii="Times New Roman" w:hAnsi="Times New Roman" w:cs="Times New Roman"/>
                <w:b w:val="0"/>
                <w:bCs/>
                <w:color w:val="auto"/>
                <w:sz w:val="24"/>
                <w:highlight w:val="none"/>
                <w:u w:val="none" w:color="auto"/>
              </w:rPr>
              <w:t>）</w:t>
            </w:r>
            <w:r>
              <w:rPr>
                <w:rFonts w:hint="eastAsia" w:ascii="Times New Roman" w:hAnsi="Times New Roman" w:cs="Times New Roman"/>
                <w:b w:val="0"/>
                <w:bCs/>
                <w:color w:val="auto"/>
                <w:sz w:val="24"/>
                <w:highlight w:val="none"/>
                <w:u w:val="none" w:color="auto"/>
                <w:lang w:eastAsia="zh-CN"/>
              </w:rPr>
              <w:t>油类</w:t>
            </w:r>
            <w:r>
              <w:rPr>
                <w:rFonts w:hint="default" w:ascii="Times New Roman" w:hAnsi="Times New Roman" w:cs="Times New Roman"/>
                <w:b w:val="0"/>
                <w:bCs/>
                <w:color w:val="auto"/>
                <w:sz w:val="24"/>
                <w:highlight w:val="none"/>
                <w:u w:val="none" w:color="auto"/>
              </w:rPr>
              <w:t>泄漏</w:t>
            </w:r>
          </w:p>
          <w:p>
            <w:pPr>
              <w:pStyle w:val="16"/>
              <w:spacing w:line="360" w:lineRule="auto"/>
              <w:ind w:firstLine="480" w:firstLineChars="200"/>
              <w:outlineLvl w:val="9"/>
              <w:rPr>
                <w:rFonts w:hint="default" w:ascii="Times New Roman" w:hAnsi="Times New Roman" w:cs="Times New Roman"/>
                <w:b w:val="0"/>
                <w:bCs/>
                <w:color w:val="auto"/>
                <w:sz w:val="24"/>
                <w:highlight w:val="none"/>
                <w:u w:val="none" w:color="auto"/>
                <w:lang w:eastAsia="zh-CN"/>
              </w:rPr>
            </w:pPr>
            <w:r>
              <w:rPr>
                <w:rFonts w:hint="default" w:ascii="Times New Roman" w:hAnsi="Times New Roman" w:cs="Times New Roman"/>
                <w:b w:val="0"/>
                <w:bCs/>
                <w:color w:val="auto"/>
                <w:sz w:val="24"/>
                <w:highlight w:val="none"/>
                <w:u w:val="none" w:color="auto"/>
              </w:rPr>
              <w:t>厂区内</w:t>
            </w:r>
            <w:r>
              <w:rPr>
                <w:rFonts w:hint="eastAsia" w:ascii="Times New Roman" w:hAnsi="Times New Roman" w:cs="Times New Roman"/>
                <w:b w:val="0"/>
                <w:bCs/>
                <w:color w:val="auto"/>
                <w:sz w:val="24"/>
                <w:highlight w:val="none"/>
                <w:u w:val="none" w:color="auto"/>
                <w:lang w:eastAsia="zh-CN"/>
              </w:rPr>
              <w:t>清洗油、轧制油储存的</w:t>
            </w:r>
            <w:r>
              <w:rPr>
                <w:rFonts w:hint="default" w:ascii="Times New Roman" w:hAnsi="Times New Roman" w:cs="Times New Roman"/>
                <w:b w:val="0"/>
                <w:bCs/>
                <w:color w:val="auto"/>
                <w:sz w:val="24"/>
                <w:highlight w:val="none"/>
                <w:u w:val="none" w:color="auto"/>
              </w:rPr>
              <w:t>仓库有专人管理，</w:t>
            </w:r>
            <w:r>
              <w:rPr>
                <w:rFonts w:hint="default" w:ascii="Times New Roman" w:hAnsi="Times New Roman" w:cs="Times New Roman"/>
                <w:b w:val="0"/>
                <w:bCs/>
                <w:color w:val="auto"/>
                <w:sz w:val="24"/>
                <w:highlight w:val="none"/>
                <w:u w:val="none" w:color="auto"/>
                <w:lang w:eastAsia="zh-CN"/>
              </w:rPr>
              <w:t>废</w:t>
            </w:r>
            <w:r>
              <w:rPr>
                <w:rFonts w:hint="eastAsia" w:ascii="Times New Roman" w:hAnsi="Times New Roman" w:cs="Times New Roman"/>
                <w:b w:val="0"/>
                <w:bCs/>
                <w:color w:val="auto"/>
                <w:sz w:val="24"/>
                <w:highlight w:val="none"/>
                <w:u w:val="none" w:color="auto"/>
                <w:lang w:eastAsia="zh-CN"/>
              </w:rPr>
              <w:t>轧制油、油脂、废油</w:t>
            </w:r>
            <w:r>
              <w:rPr>
                <w:rFonts w:hint="default" w:ascii="Times New Roman" w:hAnsi="Times New Roman" w:cs="Times New Roman"/>
                <w:b w:val="0"/>
                <w:bCs/>
                <w:color w:val="auto"/>
                <w:sz w:val="24"/>
                <w:highlight w:val="none"/>
                <w:u w:val="none" w:color="auto"/>
              </w:rPr>
              <w:t>存放</w:t>
            </w:r>
            <w:r>
              <w:rPr>
                <w:rFonts w:hint="eastAsia" w:ascii="Times New Roman" w:hAnsi="Times New Roman" w:cs="Times New Roman"/>
                <w:b w:val="0"/>
                <w:bCs/>
                <w:color w:val="auto"/>
                <w:sz w:val="24"/>
                <w:highlight w:val="none"/>
                <w:u w:val="none" w:color="auto"/>
                <w:lang w:eastAsia="zh-CN"/>
              </w:rPr>
              <w:t>的</w:t>
            </w:r>
            <w:r>
              <w:rPr>
                <w:rFonts w:hint="default" w:ascii="Times New Roman" w:hAnsi="Times New Roman" w:cs="Times New Roman"/>
                <w:b w:val="0"/>
                <w:bCs/>
                <w:color w:val="auto"/>
                <w:sz w:val="24"/>
                <w:highlight w:val="none"/>
                <w:u w:val="none" w:color="auto"/>
              </w:rPr>
              <w:t>危废</w:t>
            </w:r>
            <w:r>
              <w:rPr>
                <w:rFonts w:hint="eastAsia" w:ascii="Times New Roman" w:hAnsi="Times New Roman" w:cs="Times New Roman"/>
                <w:b w:val="0"/>
                <w:bCs/>
                <w:color w:val="auto"/>
                <w:sz w:val="24"/>
                <w:highlight w:val="none"/>
                <w:u w:val="none" w:color="auto"/>
                <w:lang w:eastAsia="zh-CN"/>
              </w:rPr>
              <w:t>储存间专人管理</w:t>
            </w:r>
            <w:r>
              <w:rPr>
                <w:rFonts w:hint="default" w:ascii="Times New Roman" w:hAnsi="Times New Roman" w:cs="Times New Roman"/>
                <w:b w:val="0"/>
                <w:bCs/>
                <w:color w:val="auto"/>
                <w:sz w:val="24"/>
                <w:highlight w:val="none"/>
                <w:u w:val="none" w:color="auto"/>
              </w:rPr>
              <w:t>，仓库门口贴有明显标识，仓库地板具有防腐、防渗、防泄漏的性能，并放于托盘上，定期运至危废仓库，由建设单位委托有资质的危险废物处置单位处置，大大降低危废液渗漏的污染</w:t>
            </w:r>
            <w:r>
              <w:rPr>
                <w:rFonts w:hint="default" w:ascii="Times New Roman" w:hAnsi="Times New Roman" w:cs="Times New Roman"/>
                <w:b w:val="0"/>
                <w:bCs/>
                <w:color w:val="auto"/>
                <w:sz w:val="24"/>
                <w:highlight w:val="none"/>
                <w:u w:val="none" w:color="auto"/>
                <w:lang w:eastAsia="zh-CN"/>
              </w:rPr>
              <w:t>土壤和地下水</w:t>
            </w:r>
            <w:r>
              <w:rPr>
                <w:rFonts w:hint="default" w:ascii="Times New Roman" w:hAnsi="Times New Roman" w:cs="Times New Roman"/>
                <w:b w:val="0"/>
                <w:bCs/>
                <w:color w:val="auto"/>
                <w:sz w:val="24"/>
                <w:highlight w:val="none"/>
                <w:u w:val="none" w:color="auto"/>
              </w:rPr>
              <w:t>的环境风险</w:t>
            </w:r>
            <w:r>
              <w:rPr>
                <w:rFonts w:hint="default" w:ascii="Times New Roman" w:hAnsi="Times New Roman" w:cs="Times New Roman"/>
                <w:b w:val="0"/>
                <w:bCs/>
                <w:color w:val="auto"/>
                <w:sz w:val="24"/>
                <w:highlight w:val="none"/>
                <w:u w:val="none" w:color="auto"/>
                <w:lang w:eastAsia="zh-CN"/>
              </w:rPr>
              <w:t>，但存在</w:t>
            </w:r>
            <w:r>
              <w:rPr>
                <w:rFonts w:hint="eastAsia" w:ascii="Times New Roman" w:hAnsi="Times New Roman" w:cs="Times New Roman"/>
                <w:b w:val="0"/>
                <w:bCs/>
                <w:color w:val="auto"/>
                <w:sz w:val="24"/>
                <w:highlight w:val="none"/>
                <w:u w:val="none" w:color="auto"/>
                <w:lang w:val="en-US" w:eastAsia="zh-CN"/>
              </w:rPr>
              <w:t>废油类</w:t>
            </w:r>
            <w:r>
              <w:rPr>
                <w:rFonts w:hint="default" w:ascii="Times New Roman" w:hAnsi="Times New Roman" w:cs="Times New Roman"/>
                <w:b w:val="0"/>
                <w:bCs/>
                <w:color w:val="auto"/>
                <w:sz w:val="24"/>
                <w:highlight w:val="none"/>
                <w:u w:val="none" w:color="auto"/>
                <w:lang w:eastAsia="zh-CN"/>
              </w:rPr>
              <w:t>泄漏渗入土壤污染地下水的可能。</w:t>
            </w:r>
          </w:p>
          <w:p>
            <w:pPr>
              <w:pStyle w:val="16"/>
              <w:spacing w:line="360" w:lineRule="auto"/>
              <w:ind w:firstLine="480" w:firstLineChars="200"/>
              <w:outlineLvl w:val="9"/>
              <w:rPr>
                <w:rFonts w:hint="default" w:ascii="Times New Roman" w:hAnsi="Times New Roman" w:cs="Times New Roman"/>
                <w:b w:val="0"/>
                <w:bCs/>
                <w:color w:val="auto"/>
                <w:sz w:val="24"/>
                <w:highlight w:val="none"/>
                <w:u w:val="none" w:color="auto"/>
                <w:lang w:eastAsia="zh-CN"/>
              </w:rPr>
            </w:pPr>
            <w:r>
              <w:rPr>
                <w:rFonts w:hint="default" w:ascii="Times New Roman" w:hAnsi="Times New Roman" w:cs="Times New Roman"/>
                <w:b w:val="0"/>
                <w:bCs/>
                <w:color w:val="auto"/>
                <w:sz w:val="24"/>
                <w:highlight w:val="none"/>
                <w:u w:val="none" w:color="auto"/>
                <w:lang w:val="en-US" w:eastAsia="zh-CN"/>
              </w:rPr>
              <w:t>（</w:t>
            </w:r>
            <w:r>
              <w:rPr>
                <w:rFonts w:hint="eastAsia" w:ascii="Times New Roman" w:hAnsi="Times New Roman" w:cs="Times New Roman"/>
                <w:b w:val="0"/>
                <w:bCs/>
                <w:color w:val="auto"/>
                <w:sz w:val="24"/>
                <w:highlight w:val="none"/>
                <w:u w:val="none" w:color="auto"/>
                <w:lang w:val="en-US" w:eastAsia="zh-CN"/>
              </w:rPr>
              <w:t>2</w:t>
            </w:r>
            <w:r>
              <w:rPr>
                <w:rFonts w:hint="default" w:ascii="Times New Roman" w:hAnsi="Times New Roman" w:cs="Times New Roman"/>
                <w:b w:val="0"/>
                <w:bCs/>
                <w:color w:val="auto"/>
                <w:sz w:val="24"/>
                <w:highlight w:val="none"/>
                <w:u w:val="none" w:color="auto"/>
                <w:lang w:val="en-US" w:eastAsia="zh-CN"/>
              </w:rPr>
              <w:t>）</w:t>
            </w:r>
            <w:r>
              <w:rPr>
                <w:rFonts w:hint="default" w:ascii="Times New Roman" w:hAnsi="Times New Roman" w:cs="Times New Roman"/>
                <w:b w:val="0"/>
                <w:bCs/>
                <w:color w:val="auto"/>
                <w:sz w:val="24"/>
                <w:highlight w:val="none"/>
                <w:u w:val="none" w:color="auto"/>
                <w:lang w:eastAsia="zh-CN"/>
              </w:rPr>
              <w:t>天然气管道泄漏</w:t>
            </w:r>
          </w:p>
          <w:p>
            <w:pPr>
              <w:pStyle w:val="16"/>
              <w:numPr>
                <w:ilvl w:val="-1"/>
                <w:numId w:val="0"/>
              </w:numPr>
              <w:spacing w:after="0" w:line="360" w:lineRule="auto"/>
              <w:ind w:leftChars="0" w:firstLine="480" w:firstLineChars="200"/>
              <w:outlineLvl w:val="9"/>
              <w:rPr>
                <w:rFonts w:hint="default" w:ascii="Times New Roman" w:hAnsi="Times New Roman" w:cs="Times New Roman"/>
                <w:b w:val="0"/>
                <w:bCs/>
                <w:color w:val="auto"/>
                <w:u w:val="none" w:color="auto"/>
                <w:lang w:val="en-US" w:eastAsia="zh-CN"/>
              </w:rPr>
            </w:pPr>
            <w:r>
              <w:rPr>
                <w:rFonts w:hint="default" w:ascii="Times New Roman" w:hAnsi="Times New Roman" w:eastAsia="宋体" w:cs="Times New Roman"/>
                <w:b w:val="0"/>
                <w:bCs/>
                <w:color w:val="auto"/>
                <w:sz w:val="24"/>
                <w:u w:val="none" w:color="auto"/>
                <w:lang w:val="en-US" w:eastAsia="zh-CN"/>
              </w:rPr>
              <w:t>若天然气管道出现故障会造成天然气泄漏，天然气管道破损泄漏后与空气混合能形成爆炸性混合物，遇明火、高热有燃烧爆炸的风险，但本项目使用管道天然气，通过定期检查管道及阀门等措施，可以及时控制险情，天然气的泄漏引发事故的概率较低。</w:t>
            </w:r>
          </w:p>
          <w:p>
            <w:pPr>
              <w:pStyle w:val="16"/>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default" w:ascii="Times New Roman" w:hAnsi="Times New Roman" w:cs="Times New Roman"/>
                <w:b w:val="0"/>
                <w:bCs/>
                <w:color w:val="auto"/>
                <w:sz w:val="24"/>
                <w:szCs w:val="24"/>
                <w:highlight w:val="none"/>
                <w:u w:val="none" w:color="auto"/>
                <w:lang w:val="en-US" w:eastAsia="zh-CN"/>
              </w:rPr>
            </w:pPr>
            <w:r>
              <w:rPr>
                <w:rFonts w:hint="default" w:ascii="Times New Roman" w:hAnsi="Times New Roman" w:cs="Times New Roman"/>
                <w:b w:val="0"/>
                <w:bCs/>
                <w:color w:val="auto"/>
                <w:sz w:val="24"/>
                <w:szCs w:val="24"/>
                <w:highlight w:val="none"/>
                <w:u w:val="none" w:color="auto"/>
                <w:lang w:val="en-US" w:eastAsia="zh-CN"/>
              </w:rPr>
              <w:t>3、环境风险防范措施及应急要求</w:t>
            </w:r>
          </w:p>
          <w:p>
            <w:pPr>
              <w:pStyle w:val="16"/>
              <w:spacing w:line="360" w:lineRule="auto"/>
              <w:ind w:firstLine="482"/>
              <w:outlineLvl w:val="9"/>
              <w:rPr>
                <w:rFonts w:hint="eastAsia" w:ascii="Times New Roman" w:hAnsi="Times New Roman" w:cs="Times New Roman"/>
                <w:b w:val="0"/>
                <w:bCs/>
                <w:color w:val="auto"/>
                <w:sz w:val="24"/>
                <w:highlight w:val="none"/>
                <w:u w:val="none" w:color="auto"/>
                <w:lang w:eastAsia="zh-CN"/>
              </w:rPr>
            </w:pPr>
            <w:r>
              <w:rPr>
                <w:rFonts w:hint="eastAsia" w:ascii="Times New Roman" w:hAnsi="Times New Roman" w:cs="Times New Roman"/>
                <w:b w:val="0"/>
                <w:bCs/>
                <w:color w:val="auto"/>
                <w:sz w:val="24"/>
                <w:highlight w:val="none"/>
                <w:u w:val="none" w:color="auto"/>
                <w:lang w:eastAsia="zh-CN"/>
              </w:rPr>
              <w:t>油类风险防范措施：泄露处理方法：1、准时跟换新的油桶、2、把地面上能铲起的油液铲起、3、翻开门使空气流通、4、用清水和洗衣粉清洗地面；油桶着火处理方法：1、准时封堵住桶口，使油液与空气隔离；2、小面积起火使用沙土、灭火器对火源进展扑救；3、严禁用水灭火；4、转移火源四周物品；5、通知其它员工帮助扑灭，启动车间消防应急预案并报告上级领导；6、火势难已把握时报警并紧急疏散撤离。</w:t>
            </w:r>
          </w:p>
          <w:p>
            <w:pPr>
              <w:pStyle w:val="16"/>
              <w:spacing w:line="360" w:lineRule="auto"/>
              <w:ind w:firstLine="480" w:firstLineChars="200"/>
              <w:outlineLvl w:val="9"/>
              <w:rPr>
                <w:rFonts w:hint="default" w:ascii="Times New Roman" w:hAnsi="Times New Roman" w:cs="Times New Roman"/>
                <w:b w:val="0"/>
                <w:bCs/>
                <w:color w:val="auto"/>
                <w:u w:val="none" w:color="auto"/>
                <w:lang w:val="en-US" w:eastAsia="zh-CN"/>
              </w:rPr>
            </w:pPr>
            <w:r>
              <w:rPr>
                <w:rFonts w:hint="eastAsia" w:ascii="Times New Roman" w:hAnsi="Times New Roman" w:cs="Times New Roman"/>
                <w:b w:val="0"/>
                <w:bCs/>
                <w:color w:val="auto"/>
                <w:sz w:val="24"/>
                <w:highlight w:val="none"/>
                <w:u w:val="none" w:color="auto"/>
                <w:lang w:val="en-US" w:eastAsia="zh-CN"/>
              </w:rPr>
              <w:t>天燃气管道泄漏风险防范措施：</w:t>
            </w:r>
            <w:r>
              <w:rPr>
                <w:rFonts w:hint="default" w:ascii="Times New Roman" w:hAnsi="Times New Roman" w:cs="Times New Roman"/>
                <w:b w:val="0"/>
                <w:bCs/>
                <w:color w:val="auto"/>
                <w:sz w:val="24"/>
                <w:highlight w:val="none"/>
                <w:u w:val="none" w:color="auto"/>
                <w:lang w:val="en-US" w:eastAsia="zh-CN"/>
              </w:rPr>
              <w:t>加强天然气管道的运行维护，定期检查阀门，加强安全管理，确保其安全运行。</w:t>
            </w:r>
          </w:p>
          <w:p>
            <w:pPr>
              <w:pStyle w:val="16"/>
              <w:snapToGrid/>
              <w:spacing w:line="360" w:lineRule="auto"/>
              <w:ind w:firstLine="480" w:firstLineChars="200"/>
              <w:outlineLvl w:val="9"/>
              <w:rPr>
                <w:rFonts w:hint="default" w:ascii="Times New Roman" w:hAnsi="Times New Roman" w:cs="Times New Roman"/>
                <w:b w:val="0"/>
                <w:bCs/>
                <w:color w:val="auto"/>
                <w:sz w:val="24"/>
                <w:szCs w:val="24"/>
                <w:highlight w:val="none"/>
                <w:u w:val="none" w:color="auto"/>
                <w:lang w:val="en-US" w:eastAsia="zh-CN"/>
              </w:rPr>
            </w:pPr>
            <w:r>
              <w:rPr>
                <w:rFonts w:hint="default" w:ascii="Times New Roman" w:hAnsi="Times New Roman" w:cs="Times New Roman"/>
                <w:b w:val="0"/>
                <w:bCs/>
                <w:color w:val="auto"/>
                <w:sz w:val="24"/>
                <w:szCs w:val="24"/>
                <w:highlight w:val="none"/>
                <w:u w:val="none" w:color="auto"/>
                <w:lang w:val="en-US" w:eastAsia="zh-CN"/>
              </w:rPr>
              <w:t>采取环境风险防范措施及应急要求后，本建设项目环境风险可防控。</w:t>
            </w:r>
          </w:p>
          <w:p>
            <w:pPr>
              <w:spacing w:line="360" w:lineRule="auto"/>
              <w:ind w:firstLine="482" w:firstLineChars="200"/>
              <w:jc w:val="both"/>
              <w:rPr>
                <w:rFonts w:hint="default" w:ascii="Times New Roman" w:hAnsi="Times New Roman" w:cs="Times New Roman"/>
                <w:b/>
                <w:bCs/>
                <w:color w:val="auto"/>
                <w:sz w:val="24"/>
                <w:highlight w:val="none"/>
                <w:lang w:val="en-US" w:eastAsia="zh-CN"/>
              </w:rPr>
            </w:pPr>
            <w:r>
              <w:rPr>
                <w:rFonts w:hint="eastAsia" w:ascii="Times New Roman" w:hAnsi="Times New Roman" w:cs="Times New Roman"/>
                <w:b/>
                <w:bCs/>
                <w:color w:val="auto"/>
                <w:sz w:val="24"/>
                <w:highlight w:val="none"/>
                <w:lang w:val="en-US" w:eastAsia="zh-CN"/>
              </w:rPr>
              <w:t>（七）三本账</w:t>
            </w:r>
          </w:p>
          <w:p>
            <w:pPr>
              <w:tabs>
                <w:tab w:val="left" w:pos="540"/>
              </w:tabs>
              <w:spacing w:line="360" w:lineRule="auto"/>
              <w:ind w:firstLine="480" w:firstLineChars="200"/>
              <w:rPr>
                <w:rFonts w:ascii="Times New Roman" w:hAnsi="Times New Roman"/>
                <w:sz w:val="24"/>
              </w:rPr>
            </w:pPr>
            <w:r>
              <w:rPr>
                <w:rFonts w:hint="eastAsia" w:ascii="Times New Roman" w:hAnsi="Times New Roman"/>
                <w:sz w:val="24"/>
                <w:lang w:val="en-US" w:eastAsia="zh-CN"/>
              </w:rPr>
              <w:t>改建</w:t>
            </w:r>
            <w:r>
              <w:rPr>
                <w:rFonts w:hint="eastAsia" w:ascii="Times New Roman" w:hAnsi="Times New Roman"/>
                <w:sz w:val="24"/>
              </w:rPr>
              <w:t>完成后，全厂各污染物产品“三本账”详见下表。</w:t>
            </w:r>
          </w:p>
          <w:p>
            <w:pPr>
              <w:pStyle w:val="2"/>
              <w:spacing w:line="360" w:lineRule="auto"/>
              <w:rPr>
                <w:rFonts w:ascii="Times New Roman" w:hAnsi="Times New Roman"/>
                <w:b/>
                <w:bCs/>
                <w:szCs w:val="21"/>
                <w:u w:val="single"/>
              </w:rPr>
            </w:pPr>
            <w:r>
              <w:rPr>
                <w:rFonts w:hint="default" w:ascii="Times New Roman" w:hAnsi="Times New Roman" w:eastAsia="宋体"/>
                <w:b/>
                <w:bCs w:val="0"/>
                <w:color w:val="auto"/>
                <w:kern w:val="44"/>
                <w:sz w:val="24"/>
                <w:szCs w:val="24"/>
              </w:rPr>
              <w:t xml:space="preserve"> </w:t>
            </w:r>
            <w:r>
              <w:rPr>
                <w:rFonts w:ascii="Times New Roman" w:hAnsi="Times New Roman" w:eastAsia="宋体"/>
                <w:b/>
                <w:bCs w:val="0"/>
                <w:color w:val="auto"/>
                <w:kern w:val="44"/>
                <w:sz w:val="24"/>
                <w:szCs w:val="24"/>
              </w:rPr>
              <w:t xml:space="preserve"> </w:t>
            </w:r>
            <w:r>
              <w:rPr>
                <w:rFonts w:hint="eastAsia" w:ascii="Times New Roman" w:hAnsi="Times New Roman" w:eastAsia="宋体"/>
                <w:b/>
                <w:bCs w:val="0"/>
                <w:color w:val="auto"/>
                <w:kern w:val="44"/>
                <w:sz w:val="24"/>
                <w:szCs w:val="24"/>
              </w:rPr>
              <w:t xml:space="preserve"> </w:t>
            </w:r>
            <w:r>
              <w:rPr>
                <w:rFonts w:hint="eastAsia" w:ascii="Times New Roman" w:hAnsi="Times New Roman" w:eastAsia="宋体"/>
                <w:b/>
                <w:bCs w:val="0"/>
                <w:color w:val="auto"/>
                <w:kern w:val="44"/>
                <w:sz w:val="24"/>
                <w:szCs w:val="24"/>
                <w:u w:val="single"/>
              </w:rPr>
              <w:t>项目“三本账”一览表</w:t>
            </w:r>
            <w:r>
              <w:rPr>
                <w:rFonts w:hint="eastAsia" w:ascii="Times New Roman" w:hAnsi="Times New Roman" w:eastAsia="宋体"/>
                <w:b/>
                <w:bCs w:val="0"/>
                <w:color w:val="auto"/>
                <w:kern w:val="44"/>
                <w:sz w:val="24"/>
                <w:szCs w:val="24"/>
                <w:u w:val="single"/>
                <w:lang w:val="en-US" w:eastAsia="zh-CN"/>
              </w:rPr>
              <w:t xml:space="preserve">  单位：t/a</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20"/>
              <w:gridCol w:w="1300"/>
              <w:gridCol w:w="974"/>
              <w:gridCol w:w="926"/>
              <w:gridCol w:w="904"/>
              <w:gridCol w:w="1151"/>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项目</w:t>
                  </w:r>
                </w:p>
              </w:tc>
              <w:tc>
                <w:tcPr>
                  <w:tcW w:w="641"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污染物</w:t>
                  </w:r>
                </w:p>
              </w:tc>
              <w:tc>
                <w:tcPr>
                  <w:tcW w:w="817" w:type="pct"/>
                  <w:vAlign w:val="center"/>
                </w:tcPr>
                <w:p>
                  <w:pPr>
                    <w:tabs>
                      <w:tab w:val="left" w:pos="540"/>
                    </w:tabs>
                    <w:spacing w:line="360" w:lineRule="exact"/>
                    <w:jc w:val="center"/>
                    <w:rPr>
                      <w:rFonts w:hint="eastAsia" w:ascii="Times New Roman" w:hAnsi="Times New Roman" w:eastAsia="宋体"/>
                      <w:b/>
                      <w:bCs/>
                      <w:szCs w:val="21"/>
                      <w:u w:val="single"/>
                      <w:lang w:eastAsia="zh-CN"/>
                    </w:rPr>
                  </w:pPr>
                  <w:r>
                    <w:rPr>
                      <w:rFonts w:hint="eastAsia" w:ascii="Times New Roman" w:hAnsi="Times New Roman"/>
                      <w:b/>
                      <w:bCs/>
                      <w:szCs w:val="21"/>
                      <w:u w:val="single"/>
                    </w:rPr>
                    <w:t>现有工程实际排放量</w:t>
                  </w:r>
                  <w:r>
                    <w:rPr>
                      <w:rFonts w:hint="eastAsia" w:ascii="Times New Roman" w:hAnsi="Times New Roman"/>
                      <w:b/>
                      <w:bCs/>
                      <w:szCs w:val="21"/>
                      <w:u w:val="single"/>
                      <w:lang w:eastAsia="zh-CN"/>
                    </w:rPr>
                    <w:t>（</w:t>
                  </w:r>
                  <w:r>
                    <w:rPr>
                      <w:rFonts w:hint="eastAsia" w:ascii="Times New Roman" w:hAnsi="Times New Roman"/>
                      <w:b/>
                      <w:bCs/>
                      <w:szCs w:val="21"/>
                      <w:u w:val="single"/>
                      <w:lang w:val="en-US" w:eastAsia="zh-CN"/>
                    </w:rPr>
                    <w:t>含拟建</w:t>
                  </w:r>
                  <w:r>
                    <w:rPr>
                      <w:rFonts w:hint="eastAsia" w:ascii="Times New Roman" w:hAnsi="Times New Roman"/>
                      <w:b/>
                      <w:bCs/>
                      <w:szCs w:val="21"/>
                      <w:u w:val="single"/>
                      <w:lang w:eastAsia="zh-CN"/>
                    </w:rPr>
                    <w:t>）</w:t>
                  </w:r>
                </w:p>
              </w:tc>
              <w:tc>
                <w:tcPr>
                  <w:tcW w:w="612" w:type="pct"/>
                  <w:vAlign w:val="center"/>
                </w:tcPr>
                <w:p>
                  <w:pPr>
                    <w:tabs>
                      <w:tab w:val="left" w:pos="540"/>
                    </w:tabs>
                    <w:spacing w:line="360" w:lineRule="exact"/>
                    <w:jc w:val="center"/>
                    <w:rPr>
                      <w:rFonts w:hint="default" w:ascii="Times New Roman" w:hAnsi="Times New Roman" w:eastAsia="宋体"/>
                      <w:b/>
                      <w:bCs/>
                      <w:szCs w:val="21"/>
                      <w:highlight w:val="none"/>
                      <w:u w:val="single"/>
                      <w:lang w:val="en-US" w:eastAsia="zh-CN"/>
                    </w:rPr>
                  </w:pPr>
                  <w:r>
                    <w:rPr>
                      <w:rFonts w:hint="eastAsia" w:ascii="Times New Roman" w:hAnsi="Times New Roman"/>
                      <w:b/>
                      <w:bCs/>
                      <w:szCs w:val="21"/>
                      <w:highlight w:val="none"/>
                      <w:u w:val="single"/>
                    </w:rPr>
                    <w:t>现有工程</w:t>
                  </w:r>
                  <w:r>
                    <w:rPr>
                      <w:rFonts w:hint="eastAsia" w:ascii="Times New Roman" w:hAnsi="Times New Roman"/>
                      <w:b/>
                      <w:bCs/>
                      <w:szCs w:val="21"/>
                      <w:highlight w:val="none"/>
                      <w:u w:val="single"/>
                      <w:lang w:val="en-US" w:eastAsia="zh-CN"/>
                    </w:rPr>
                    <w:t>环评批复总量</w:t>
                  </w:r>
                </w:p>
              </w:tc>
              <w:tc>
                <w:tcPr>
                  <w:tcW w:w="582"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本项目排放量</w:t>
                  </w:r>
                </w:p>
              </w:tc>
              <w:tc>
                <w:tcPr>
                  <w:tcW w:w="568"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“以新代老”削减量</w:t>
                  </w:r>
                </w:p>
              </w:tc>
              <w:tc>
                <w:tcPr>
                  <w:tcW w:w="723"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项目完成后全厂排放量</w:t>
                  </w:r>
                </w:p>
              </w:tc>
              <w:tc>
                <w:tcPr>
                  <w:tcW w:w="703"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restar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废气</w:t>
                  </w:r>
                </w:p>
              </w:tc>
              <w:tc>
                <w:tcPr>
                  <w:tcW w:w="641"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颗粒物</w:t>
                  </w:r>
                </w:p>
              </w:tc>
              <w:tc>
                <w:tcPr>
                  <w:tcW w:w="130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imes New Roman" w:hAnsi="Times New Roman" w:eastAsia="宋体"/>
                      <w:b/>
                      <w:bCs/>
                      <w:szCs w:val="21"/>
                      <w:u w:val="single"/>
                    </w:rPr>
                  </w:pPr>
                  <w:r>
                    <w:rPr>
                      <w:rFonts w:hint="eastAsia" w:ascii="Times New Roman" w:hAnsi="Times New Roman" w:cs="Times New Roman"/>
                      <w:b/>
                      <w:bCs/>
                      <w:color w:val="auto"/>
                      <w:sz w:val="21"/>
                      <w:szCs w:val="21"/>
                      <w:highlight w:val="none"/>
                      <w:u w:val="single"/>
                      <w:lang w:val="en-US" w:eastAsia="zh-CN"/>
                    </w:rPr>
                    <w:t>0.237</w:t>
                  </w:r>
                </w:p>
              </w:tc>
              <w:tc>
                <w:tcPr>
                  <w:tcW w:w="97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ascii="Times New Roman" w:hAnsi="Times New Roman"/>
                      <w:b/>
                      <w:bCs/>
                      <w:szCs w:val="21"/>
                      <w:highlight w:val="none"/>
                      <w:u w:val="single"/>
                    </w:rPr>
                  </w:pPr>
                  <w:r>
                    <w:rPr>
                      <w:rFonts w:hint="eastAsia" w:ascii="Times New Roman" w:hAnsi="Times New Roman" w:cs="Times New Roman"/>
                      <w:b/>
                      <w:bCs/>
                      <w:color w:val="auto"/>
                      <w:sz w:val="21"/>
                      <w:szCs w:val="21"/>
                      <w:highlight w:val="none"/>
                      <w:u w:val="single"/>
                      <w:lang w:val="en-US" w:eastAsia="zh-CN"/>
                    </w:rPr>
                    <w:t>5.0824</w:t>
                  </w:r>
                </w:p>
              </w:tc>
              <w:tc>
                <w:tcPr>
                  <w:tcW w:w="582" w:type="pct"/>
                  <w:vAlign w:val="center"/>
                </w:tcPr>
                <w:p>
                  <w:pPr>
                    <w:tabs>
                      <w:tab w:val="left" w:pos="540"/>
                    </w:tabs>
                    <w:spacing w:line="360" w:lineRule="exact"/>
                    <w:jc w:val="center"/>
                    <w:rPr>
                      <w:rFonts w:hint="eastAsia" w:ascii="Times New Roman" w:hAnsi="Times New Roman" w:eastAsia="宋体"/>
                      <w:b/>
                      <w:bCs/>
                      <w:szCs w:val="21"/>
                      <w:u w:val="single"/>
                    </w:rPr>
                  </w:pPr>
                  <w:r>
                    <w:rPr>
                      <w:rFonts w:hint="eastAsia" w:ascii="Times New Roman" w:hAnsi="Times New Roman" w:eastAsia="宋体"/>
                      <w:b/>
                      <w:bCs/>
                      <w:szCs w:val="21"/>
                      <w:u w:val="single"/>
                      <w:lang w:val="en-US" w:eastAsia="zh-CN"/>
                    </w:rPr>
                    <w:t>0.2012</w:t>
                  </w:r>
                </w:p>
              </w:tc>
              <w:tc>
                <w:tcPr>
                  <w:tcW w:w="568"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0</w:t>
                  </w:r>
                </w:p>
              </w:tc>
              <w:tc>
                <w:tcPr>
                  <w:tcW w:w="1151" w:type="dxa"/>
                  <w:vAlign w:val="center"/>
                </w:tcPr>
                <w:p>
                  <w:pPr>
                    <w:tabs>
                      <w:tab w:val="left" w:pos="540"/>
                    </w:tabs>
                    <w:spacing w:line="360" w:lineRule="exact"/>
                    <w:jc w:val="center"/>
                    <w:rPr>
                      <w:rFonts w:hint="eastAsia" w:ascii="Times New Roman" w:hAnsi="Times New Roman" w:eastAsia="宋体"/>
                      <w:b/>
                      <w:bCs/>
                      <w:szCs w:val="21"/>
                      <w:u w:val="single"/>
                      <w:lang w:val="en-US" w:eastAsia="zh-CN"/>
                    </w:rPr>
                  </w:pPr>
                  <w:r>
                    <w:rPr>
                      <w:rFonts w:hint="eastAsia" w:ascii="Times New Roman" w:hAnsi="Times New Roman" w:eastAsia="宋体"/>
                      <w:b/>
                      <w:bCs/>
                      <w:szCs w:val="21"/>
                      <w:u w:val="single"/>
                      <w:lang w:val="en-US" w:eastAsia="zh-CN"/>
                    </w:rPr>
                    <w:t>0.4382</w:t>
                  </w:r>
                </w:p>
              </w:tc>
              <w:tc>
                <w:tcPr>
                  <w:tcW w:w="703" w:type="pct"/>
                  <w:vAlign w:val="center"/>
                </w:tcPr>
                <w:p>
                  <w:pPr>
                    <w:tabs>
                      <w:tab w:val="left" w:pos="540"/>
                    </w:tabs>
                    <w:spacing w:line="360" w:lineRule="exact"/>
                    <w:jc w:val="center"/>
                    <w:rPr>
                      <w:rFonts w:hint="eastAsia" w:ascii="Times New Roman" w:hAnsi="Times New Roman" w:eastAsia="宋体"/>
                      <w:b/>
                      <w:bCs/>
                      <w:szCs w:val="21"/>
                      <w:u w:val="single"/>
                    </w:rPr>
                  </w:pPr>
                  <w:r>
                    <w:rPr>
                      <w:rFonts w:hint="eastAsia" w:ascii="Times New Roman" w:hAnsi="Times New Roman" w:eastAsia="宋体"/>
                      <w:b/>
                      <w:bCs/>
                      <w:szCs w:val="21"/>
                      <w:u w:val="single"/>
                      <w:lang w:val="en-US" w:eastAsia="zh-CN"/>
                    </w:rPr>
                    <w:t>+0.2012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continue"/>
                  <w:vAlign w:val="center"/>
                </w:tcPr>
                <w:p>
                  <w:pPr>
                    <w:tabs>
                      <w:tab w:val="left" w:pos="540"/>
                    </w:tabs>
                    <w:spacing w:line="360" w:lineRule="exact"/>
                    <w:jc w:val="center"/>
                    <w:rPr>
                      <w:rFonts w:ascii="Times New Roman" w:hAnsi="Times New Roman"/>
                      <w:b/>
                      <w:bCs/>
                      <w:szCs w:val="21"/>
                      <w:u w:val="single"/>
                    </w:rPr>
                  </w:pPr>
                </w:p>
              </w:tc>
              <w:tc>
                <w:tcPr>
                  <w:tcW w:w="641"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SO</w:t>
                  </w:r>
                  <w:r>
                    <w:rPr>
                      <w:rFonts w:hint="eastAsia" w:ascii="Times New Roman" w:hAnsi="Times New Roman"/>
                      <w:b/>
                      <w:bCs/>
                      <w:szCs w:val="21"/>
                      <w:u w:val="single"/>
                      <w:vertAlign w:val="subscript"/>
                    </w:rPr>
                    <w:t>2</w:t>
                  </w:r>
                </w:p>
              </w:tc>
              <w:tc>
                <w:tcPr>
                  <w:tcW w:w="130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imes New Roman" w:hAnsi="Times New Roman" w:eastAsia="宋体"/>
                      <w:b/>
                      <w:bCs/>
                      <w:szCs w:val="21"/>
                      <w:u w:val="single"/>
                    </w:rPr>
                  </w:pPr>
                  <w:r>
                    <w:rPr>
                      <w:rFonts w:hint="eastAsia" w:ascii="Times New Roman" w:hAnsi="Times New Roman" w:cs="Times New Roman"/>
                      <w:b/>
                      <w:bCs/>
                      <w:color w:val="auto"/>
                      <w:sz w:val="21"/>
                      <w:szCs w:val="21"/>
                      <w:highlight w:val="none"/>
                      <w:u w:val="single"/>
                      <w:lang w:val="en-US" w:eastAsia="zh-CN"/>
                    </w:rPr>
                    <w:t>0.2</w:t>
                  </w:r>
                </w:p>
              </w:tc>
              <w:tc>
                <w:tcPr>
                  <w:tcW w:w="97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imes New Roman" w:hAnsi="Times New Roman" w:eastAsia="宋体"/>
                      <w:b/>
                      <w:bCs/>
                      <w:szCs w:val="21"/>
                      <w:u w:val="single"/>
                      <w:lang w:val="en-US" w:eastAsia="zh-CN"/>
                    </w:rPr>
                  </w:pPr>
                  <w:r>
                    <w:rPr>
                      <w:rFonts w:hint="eastAsia" w:ascii="Times New Roman" w:hAnsi="Times New Roman" w:cs="Times New Roman"/>
                      <w:b/>
                      <w:bCs/>
                      <w:color w:val="auto"/>
                      <w:sz w:val="21"/>
                      <w:szCs w:val="21"/>
                      <w:highlight w:val="none"/>
                      <w:u w:val="single"/>
                      <w:lang w:val="en-US" w:eastAsia="zh-CN"/>
                    </w:rPr>
                    <w:t>1.122</w:t>
                  </w:r>
                </w:p>
              </w:tc>
              <w:tc>
                <w:tcPr>
                  <w:tcW w:w="582" w:type="pct"/>
                  <w:vAlign w:val="center"/>
                </w:tcPr>
                <w:p>
                  <w:pPr>
                    <w:tabs>
                      <w:tab w:val="left" w:pos="540"/>
                    </w:tabs>
                    <w:spacing w:line="360" w:lineRule="exact"/>
                    <w:jc w:val="center"/>
                    <w:rPr>
                      <w:rFonts w:hint="eastAsia" w:ascii="Times New Roman" w:hAnsi="Times New Roman" w:eastAsia="宋体"/>
                      <w:b/>
                      <w:bCs/>
                      <w:szCs w:val="21"/>
                      <w:u w:val="single"/>
                    </w:rPr>
                  </w:pPr>
                  <w:r>
                    <w:rPr>
                      <w:rFonts w:hint="eastAsia" w:ascii="Times New Roman" w:hAnsi="Times New Roman" w:eastAsia="宋体"/>
                      <w:b/>
                      <w:bCs/>
                      <w:szCs w:val="21"/>
                      <w:u w:val="single"/>
                      <w:lang w:val="en-US" w:eastAsia="zh-CN"/>
                    </w:rPr>
                    <w:t>0.04</w:t>
                  </w:r>
                </w:p>
              </w:tc>
              <w:tc>
                <w:tcPr>
                  <w:tcW w:w="568"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0</w:t>
                  </w:r>
                </w:p>
              </w:tc>
              <w:tc>
                <w:tcPr>
                  <w:tcW w:w="1151" w:type="dxa"/>
                  <w:vAlign w:val="center"/>
                </w:tcPr>
                <w:p>
                  <w:pPr>
                    <w:tabs>
                      <w:tab w:val="left" w:pos="540"/>
                    </w:tabs>
                    <w:spacing w:line="360" w:lineRule="exact"/>
                    <w:jc w:val="center"/>
                    <w:rPr>
                      <w:rFonts w:hint="eastAsia" w:ascii="Times New Roman" w:hAnsi="Times New Roman" w:eastAsia="宋体"/>
                      <w:b/>
                      <w:bCs/>
                      <w:szCs w:val="21"/>
                      <w:u w:val="single"/>
                      <w:lang w:val="en-US" w:eastAsia="zh-CN"/>
                    </w:rPr>
                  </w:pPr>
                  <w:r>
                    <w:rPr>
                      <w:rFonts w:hint="eastAsia" w:ascii="Times New Roman" w:hAnsi="Times New Roman" w:eastAsia="宋体"/>
                      <w:b/>
                      <w:bCs/>
                      <w:szCs w:val="21"/>
                      <w:u w:val="single"/>
                      <w:lang w:val="en-US" w:eastAsia="zh-CN"/>
                    </w:rPr>
                    <w:t>0.24</w:t>
                  </w:r>
                </w:p>
              </w:tc>
              <w:tc>
                <w:tcPr>
                  <w:tcW w:w="703" w:type="pct"/>
                  <w:vAlign w:val="center"/>
                </w:tcPr>
                <w:p>
                  <w:pPr>
                    <w:tabs>
                      <w:tab w:val="left" w:pos="540"/>
                    </w:tabs>
                    <w:spacing w:line="360" w:lineRule="exact"/>
                    <w:jc w:val="center"/>
                    <w:rPr>
                      <w:rFonts w:hint="eastAsia" w:ascii="Times New Roman" w:hAnsi="Times New Roman" w:eastAsia="宋体"/>
                      <w:b/>
                      <w:bCs/>
                      <w:szCs w:val="21"/>
                      <w:u w:val="single"/>
                    </w:rPr>
                  </w:pPr>
                  <w:r>
                    <w:rPr>
                      <w:rFonts w:hint="eastAsia" w:ascii="Times New Roman" w:hAnsi="Times New Roman" w:eastAsia="宋体"/>
                      <w:b/>
                      <w:bCs/>
                      <w:szCs w:val="21"/>
                      <w:u w:val="single"/>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continue"/>
                  <w:vAlign w:val="center"/>
                </w:tcPr>
                <w:p>
                  <w:pPr>
                    <w:tabs>
                      <w:tab w:val="left" w:pos="540"/>
                    </w:tabs>
                    <w:spacing w:line="360" w:lineRule="exact"/>
                    <w:jc w:val="center"/>
                    <w:rPr>
                      <w:rFonts w:ascii="Times New Roman" w:hAnsi="Times New Roman"/>
                      <w:b/>
                      <w:bCs/>
                      <w:szCs w:val="21"/>
                      <w:u w:val="single"/>
                    </w:rPr>
                  </w:pPr>
                </w:p>
              </w:tc>
              <w:tc>
                <w:tcPr>
                  <w:tcW w:w="641"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NOx</w:t>
                  </w:r>
                </w:p>
              </w:tc>
              <w:tc>
                <w:tcPr>
                  <w:tcW w:w="130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imes New Roman" w:hAnsi="Times New Roman" w:eastAsia="宋体"/>
                      <w:b/>
                      <w:bCs/>
                      <w:szCs w:val="21"/>
                      <w:u w:val="single"/>
                    </w:rPr>
                  </w:pPr>
                  <w:r>
                    <w:rPr>
                      <w:rFonts w:hint="eastAsia" w:ascii="Times New Roman" w:hAnsi="Times New Roman" w:cs="Times New Roman"/>
                      <w:b/>
                      <w:bCs/>
                      <w:color w:val="auto"/>
                      <w:sz w:val="21"/>
                      <w:szCs w:val="21"/>
                      <w:highlight w:val="none"/>
                      <w:u w:val="single"/>
                      <w:lang w:val="en-US" w:eastAsia="zh-CN"/>
                    </w:rPr>
                    <w:t>0.626</w:t>
                  </w:r>
                </w:p>
              </w:tc>
              <w:tc>
                <w:tcPr>
                  <w:tcW w:w="97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imes New Roman" w:hAnsi="Times New Roman" w:eastAsia="宋体"/>
                      <w:b/>
                      <w:bCs/>
                      <w:szCs w:val="21"/>
                      <w:u w:val="single"/>
                      <w:lang w:val="en-US" w:eastAsia="zh-CN"/>
                    </w:rPr>
                  </w:pPr>
                  <w:r>
                    <w:rPr>
                      <w:rFonts w:hint="eastAsia" w:ascii="Times New Roman" w:hAnsi="Times New Roman" w:cs="Times New Roman"/>
                      <w:b/>
                      <w:bCs/>
                      <w:color w:val="auto"/>
                      <w:sz w:val="21"/>
                      <w:szCs w:val="21"/>
                      <w:highlight w:val="none"/>
                      <w:u w:val="single"/>
                      <w:lang w:val="en-US" w:eastAsia="zh-CN"/>
                    </w:rPr>
                    <w:t>6.551</w:t>
                  </w:r>
                </w:p>
              </w:tc>
              <w:tc>
                <w:tcPr>
                  <w:tcW w:w="582" w:type="pct"/>
                  <w:vAlign w:val="center"/>
                </w:tcPr>
                <w:p>
                  <w:pPr>
                    <w:tabs>
                      <w:tab w:val="left" w:pos="540"/>
                    </w:tabs>
                    <w:spacing w:line="360" w:lineRule="exact"/>
                    <w:jc w:val="center"/>
                    <w:rPr>
                      <w:rFonts w:hint="eastAsia" w:ascii="Times New Roman" w:hAnsi="Times New Roman" w:eastAsia="宋体"/>
                      <w:b/>
                      <w:bCs/>
                      <w:szCs w:val="21"/>
                      <w:u w:val="single"/>
                    </w:rPr>
                  </w:pPr>
                  <w:r>
                    <w:rPr>
                      <w:rFonts w:hint="eastAsia" w:ascii="Times New Roman" w:hAnsi="Times New Roman" w:eastAsia="宋体"/>
                      <w:b/>
                      <w:bCs/>
                      <w:szCs w:val="21"/>
                      <w:u w:val="single"/>
                      <w:lang w:val="en-US" w:eastAsia="zh-CN"/>
                    </w:rPr>
                    <w:t>0.349</w:t>
                  </w:r>
                </w:p>
              </w:tc>
              <w:tc>
                <w:tcPr>
                  <w:tcW w:w="568"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0</w:t>
                  </w:r>
                </w:p>
              </w:tc>
              <w:tc>
                <w:tcPr>
                  <w:tcW w:w="1151" w:type="dxa"/>
                  <w:vAlign w:val="center"/>
                </w:tcPr>
                <w:p>
                  <w:pPr>
                    <w:tabs>
                      <w:tab w:val="left" w:pos="540"/>
                    </w:tabs>
                    <w:spacing w:line="360" w:lineRule="exact"/>
                    <w:jc w:val="center"/>
                    <w:rPr>
                      <w:rFonts w:hint="eastAsia" w:ascii="Times New Roman" w:hAnsi="Times New Roman" w:eastAsia="宋体"/>
                      <w:b/>
                      <w:bCs/>
                      <w:szCs w:val="21"/>
                      <w:u w:val="single"/>
                      <w:lang w:val="en-US" w:eastAsia="zh-CN"/>
                    </w:rPr>
                  </w:pPr>
                  <w:r>
                    <w:rPr>
                      <w:rFonts w:hint="eastAsia" w:ascii="Times New Roman" w:hAnsi="Times New Roman" w:eastAsia="宋体"/>
                      <w:b/>
                      <w:bCs/>
                      <w:szCs w:val="21"/>
                      <w:u w:val="single"/>
                      <w:lang w:val="en-US" w:eastAsia="zh-CN"/>
                    </w:rPr>
                    <w:t>0.975</w:t>
                  </w:r>
                </w:p>
              </w:tc>
              <w:tc>
                <w:tcPr>
                  <w:tcW w:w="703" w:type="pct"/>
                  <w:vAlign w:val="center"/>
                </w:tcPr>
                <w:p>
                  <w:pPr>
                    <w:tabs>
                      <w:tab w:val="left" w:pos="540"/>
                    </w:tabs>
                    <w:spacing w:line="360" w:lineRule="exact"/>
                    <w:jc w:val="center"/>
                    <w:rPr>
                      <w:rFonts w:hint="eastAsia" w:ascii="Times New Roman" w:hAnsi="Times New Roman" w:eastAsia="宋体"/>
                      <w:b/>
                      <w:bCs/>
                      <w:szCs w:val="21"/>
                      <w:u w:val="single"/>
                    </w:rPr>
                  </w:pPr>
                  <w:r>
                    <w:rPr>
                      <w:rFonts w:hint="eastAsia" w:ascii="Times New Roman" w:hAnsi="Times New Roman" w:eastAsia="宋体"/>
                      <w:b/>
                      <w:bCs/>
                      <w:szCs w:val="21"/>
                      <w:u w:val="single"/>
                      <w:lang w:val="en-US" w:eastAsia="zh-CN"/>
                    </w:rPr>
                    <w:t>+0.349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continue"/>
                  <w:vAlign w:val="center"/>
                </w:tcPr>
                <w:p>
                  <w:pPr>
                    <w:tabs>
                      <w:tab w:val="left" w:pos="540"/>
                    </w:tabs>
                    <w:spacing w:line="360" w:lineRule="exact"/>
                    <w:jc w:val="center"/>
                    <w:rPr>
                      <w:rFonts w:ascii="Times New Roman" w:hAnsi="Times New Roman"/>
                      <w:b/>
                      <w:bCs/>
                      <w:szCs w:val="21"/>
                      <w:u w:val="single"/>
                    </w:rPr>
                  </w:pPr>
                </w:p>
              </w:tc>
              <w:tc>
                <w:tcPr>
                  <w:tcW w:w="641"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非甲烷总烃</w:t>
                  </w:r>
                </w:p>
              </w:tc>
              <w:tc>
                <w:tcPr>
                  <w:tcW w:w="130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eastAsia" w:ascii="Times New Roman" w:hAnsi="Times New Roman" w:eastAsia="宋体"/>
                      <w:b/>
                      <w:bCs/>
                      <w:szCs w:val="21"/>
                      <w:u w:val="single"/>
                    </w:rPr>
                  </w:pPr>
                  <w:r>
                    <w:rPr>
                      <w:rFonts w:hint="eastAsia" w:ascii="Times New Roman" w:hAnsi="Times New Roman" w:cs="Times New Roman"/>
                      <w:b/>
                      <w:bCs/>
                      <w:color w:val="auto"/>
                      <w:sz w:val="21"/>
                      <w:szCs w:val="21"/>
                      <w:highlight w:val="none"/>
                      <w:u w:val="single"/>
                      <w:lang w:val="en-US" w:eastAsia="zh-CN"/>
                    </w:rPr>
                    <w:t>4.194</w:t>
                  </w:r>
                </w:p>
              </w:tc>
              <w:tc>
                <w:tcPr>
                  <w:tcW w:w="97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imes New Roman" w:hAnsi="Times New Roman" w:eastAsia="宋体"/>
                      <w:b/>
                      <w:bCs/>
                      <w:szCs w:val="21"/>
                      <w:u w:val="single"/>
                      <w:lang w:val="en-US" w:eastAsia="zh-CN"/>
                    </w:rPr>
                  </w:pPr>
                  <w:r>
                    <w:rPr>
                      <w:rFonts w:hint="eastAsia" w:ascii="Times New Roman" w:hAnsi="Times New Roman" w:cs="Times New Roman"/>
                      <w:b/>
                      <w:bCs/>
                      <w:color w:val="auto"/>
                      <w:sz w:val="21"/>
                      <w:szCs w:val="21"/>
                      <w:highlight w:val="none"/>
                      <w:u w:val="single"/>
                      <w:lang w:val="en-US" w:eastAsia="zh-CN"/>
                    </w:rPr>
                    <w:t>21.511</w:t>
                  </w:r>
                </w:p>
              </w:tc>
              <w:tc>
                <w:tcPr>
                  <w:tcW w:w="582" w:type="pct"/>
                  <w:vAlign w:val="center"/>
                </w:tcPr>
                <w:p>
                  <w:pPr>
                    <w:tabs>
                      <w:tab w:val="left" w:pos="540"/>
                    </w:tabs>
                    <w:spacing w:line="360" w:lineRule="exact"/>
                    <w:jc w:val="center"/>
                    <w:rPr>
                      <w:rFonts w:hint="eastAsia" w:ascii="Times New Roman" w:hAnsi="Times New Roman" w:eastAsia="宋体"/>
                      <w:b/>
                      <w:bCs/>
                      <w:szCs w:val="21"/>
                      <w:u w:val="single"/>
                    </w:rPr>
                  </w:pPr>
                  <w:r>
                    <w:rPr>
                      <w:rFonts w:hint="eastAsia" w:ascii="Times New Roman" w:hAnsi="Times New Roman" w:eastAsia="宋体"/>
                      <w:b/>
                      <w:bCs/>
                      <w:szCs w:val="21"/>
                      <w:u w:val="single"/>
                      <w:lang w:val="en-US" w:eastAsia="zh-CN"/>
                    </w:rPr>
                    <w:t>0.333</w:t>
                  </w:r>
                </w:p>
              </w:tc>
              <w:tc>
                <w:tcPr>
                  <w:tcW w:w="568"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0</w:t>
                  </w:r>
                </w:p>
              </w:tc>
              <w:tc>
                <w:tcPr>
                  <w:tcW w:w="1151" w:type="dxa"/>
                  <w:vAlign w:val="center"/>
                </w:tcPr>
                <w:p>
                  <w:pPr>
                    <w:tabs>
                      <w:tab w:val="left" w:pos="540"/>
                    </w:tabs>
                    <w:spacing w:line="360" w:lineRule="exact"/>
                    <w:jc w:val="center"/>
                    <w:rPr>
                      <w:rFonts w:hint="eastAsia" w:ascii="Times New Roman" w:hAnsi="Times New Roman" w:eastAsia="宋体"/>
                      <w:b/>
                      <w:bCs/>
                      <w:szCs w:val="21"/>
                      <w:u w:val="single"/>
                      <w:lang w:val="en-US" w:eastAsia="zh-CN"/>
                    </w:rPr>
                  </w:pPr>
                  <w:r>
                    <w:rPr>
                      <w:rFonts w:hint="eastAsia" w:ascii="Times New Roman" w:hAnsi="Times New Roman" w:eastAsia="宋体"/>
                      <w:b/>
                      <w:bCs/>
                      <w:szCs w:val="21"/>
                      <w:u w:val="single"/>
                      <w:lang w:val="en-US" w:eastAsia="zh-CN"/>
                    </w:rPr>
                    <w:t>4.527</w:t>
                  </w:r>
                </w:p>
              </w:tc>
              <w:tc>
                <w:tcPr>
                  <w:tcW w:w="703" w:type="pct"/>
                  <w:vAlign w:val="center"/>
                </w:tcPr>
                <w:p>
                  <w:pPr>
                    <w:tabs>
                      <w:tab w:val="left" w:pos="540"/>
                    </w:tabs>
                    <w:spacing w:line="360" w:lineRule="exact"/>
                    <w:jc w:val="center"/>
                    <w:rPr>
                      <w:rFonts w:hint="eastAsia" w:ascii="Times New Roman" w:hAnsi="Times New Roman" w:eastAsia="宋体"/>
                      <w:b/>
                      <w:bCs/>
                      <w:szCs w:val="21"/>
                      <w:u w:val="single"/>
                    </w:rPr>
                  </w:pPr>
                  <w:r>
                    <w:rPr>
                      <w:rFonts w:hint="eastAsia" w:ascii="Times New Roman" w:hAnsi="Times New Roman" w:eastAsia="宋体"/>
                      <w:b/>
                      <w:bCs/>
                      <w:szCs w:val="21"/>
                      <w:u w:val="single"/>
                      <w:lang w:val="en-US" w:eastAsia="zh-CN"/>
                    </w:rPr>
                    <w:t>+0.333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restar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废水</w:t>
                  </w:r>
                </w:p>
              </w:tc>
              <w:tc>
                <w:tcPr>
                  <w:tcW w:w="641" w:type="pct"/>
                  <w:vAlign w:val="center"/>
                </w:tcPr>
                <w:p>
                  <w:pPr>
                    <w:pStyle w:val="48"/>
                    <w:adjustRightInd/>
                    <w:snapToGrid/>
                    <w:spacing w:line="360" w:lineRule="exact"/>
                    <w:ind w:firstLine="0" w:firstLineChars="0"/>
                    <w:jc w:val="center"/>
                    <w:rPr>
                      <w:rFonts w:ascii="Times New Roman"/>
                      <w:b/>
                      <w:bCs/>
                      <w:sz w:val="21"/>
                      <w:szCs w:val="21"/>
                      <w:u w:val="single"/>
                    </w:rPr>
                  </w:pPr>
                  <w:r>
                    <w:rPr>
                      <w:rFonts w:hint="eastAsia" w:ascii="Times New Roman"/>
                      <w:b/>
                      <w:bCs/>
                      <w:sz w:val="21"/>
                      <w:szCs w:val="21"/>
                      <w:u w:val="single"/>
                    </w:rPr>
                    <w:t>COD</w:t>
                  </w:r>
                </w:p>
              </w:tc>
              <w:tc>
                <w:tcPr>
                  <w:tcW w:w="130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eastAsia" w:ascii="Times New Roman" w:hAnsi="Times New Roman" w:eastAsia="宋体"/>
                      <w:b/>
                      <w:bCs/>
                      <w:szCs w:val="21"/>
                      <w:u w:val="single"/>
                    </w:rPr>
                  </w:pPr>
                  <w:r>
                    <w:rPr>
                      <w:rFonts w:hint="eastAsia" w:ascii="Times New Roman" w:hAnsi="Times New Roman" w:cs="Times New Roman"/>
                      <w:b/>
                      <w:bCs/>
                      <w:color w:val="auto"/>
                      <w:sz w:val="21"/>
                      <w:szCs w:val="21"/>
                      <w:highlight w:val="none"/>
                      <w:u w:val="single"/>
                      <w:lang w:val="en-US" w:eastAsia="zh-CN"/>
                    </w:rPr>
                    <w:t>8.74</w:t>
                  </w:r>
                </w:p>
              </w:tc>
              <w:tc>
                <w:tcPr>
                  <w:tcW w:w="97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imes New Roman" w:hAnsi="Times New Roman" w:eastAsia="宋体"/>
                      <w:b/>
                      <w:bCs/>
                      <w:szCs w:val="21"/>
                      <w:u w:val="single"/>
                      <w:lang w:val="en-US" w:eastAsia="zh-CN"/>
                    </w:rPr>
                  </w:pPr>
                  <w:r>
                    <w:rPr>
                      <w:rFonts w:hint="eastAsia" w:ascii="Times New Roman" w:hAnsi="Times New Roman" w:cs="Times New Roman"/>
                      <w:b/>
                      <w:bCs/>
                      <w:color w:val="auto"/>
                      <w:sz w:val="21"/>
                      <w:szCs w:val="21"/>
                      <w:highlight w:val="none"/>
                      <w:u w:val="single"/>
                      <w:lang w:val="en-US" w:eastAsia="zh-CN"/>
                    </w:rPr>
                    <w:t>9.9683</w:t>
                  </w:r>
                </w:p>
              </w:tc>
              <w:tc>
                <w:tcPr>
                  <w:tcW w:w="582" w:type="pct"/>
                  <w:vAlign w:val="center"/>
                </w:tcPr>
                <w:p>
                  <w:pPr>
                    <w:tabs>
                      <w:tab w:val="left" w:pos="540"/>
                    </w:tabs>
                    <w:spacing w:line="360" w:lineRule="exact"/>
                    <w:jc w:val="center"/>
                    <w:rPr>
                      <w:rFonts w:hint="eastAsia" w:ascii="Times New Roman" w:hAnsi="Times New Roman" w:eastAsia="宋体"/>
                      <w:b/>
                      <w:bCs/>
                      <w:szCs w:val="21"/>
                      <w:u w:val="single"/>
                    </w:rPr>
                  </w:pPr>
                  <w:r>
                    <w:rPr>
                      <w:rFonts w:hint="eastAsia" w:ascii="Times New Roman" w:hAnsi="Times New Roman" w:eastAsia="宋体"/>
                      <w:b/>
                      <w:bCs/>
                      <w:szCs w:val="21"/>
                      <w:u w:val="single"/>
                      <w:lang w:val="en-US" w:eastAsia="zh-CN"/>
                    </w:rPr>
                    <w:t>0</w:t>
                  </w:r>
                </w:p>
              </w:tc>
              <w:tc>
                <w:tcPr>
                  <w:tcW w:w="568"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0</w:t>
                  </w:r>
                </w:p>
              </w:tc>
              <w:tc>
                <w:tcPr>
                  <w:tcW w:w="1151" w:type="dxa"/>
                  <w:vAlign w:val="center"/>
                </w:tcPr>
                <w:p>
                  <w:pPr>
                    <w:tabs>
                      <w:tab w:val="left" w:pos="540"/>
                    </w:tabs>
                    <w:spacing w:line="360" w:lineRule="exact"/>
                    <w:jc w:val="center"/>
                    <w:rPr>
                      <w:rFonts w:hint="eastAsia" w:ascii="Times New Roman" w:hAnsi="Times New Roman" w:eastAsia="宋体"/>
                      <w:b/>
                      <w:bCs/>
                      <w:szCs w:val="21"/>
                      <w:u w:val="single"/>
                      <w:lang w:val="en-US" w:eastAsia="zh-CN"/>
                    </w:rPr>
                  </w:pPr>
                  <w:r>
                    <w:rPr>
                      <w:rFonts w:hint="eastAsia" w:ascii="Times New Roman" w:hAnsi="Times New Roman" w:eastAsia="宋体"/>
                      <w:b/>
                      <w:bCs/>
                      <w:szCs w:val="21"/>
                      <w:u w:val="single"/>
                      <w:lang w:val="en-US" w:eastAsia="zh-CN"/>
                    </w:rPr>
                    <w:t>8.74</w:t>
                  </w:r>
                </w:p>
              </w:tc>
              <w:tc>
                <w:tcPr>
                  <w:tcW w:w="703" w:type="pct"/>
                  <w:vAlign w:val="center"/>
                </w:tcPr>
                <w:p>
                  <w:pPr>
                    <w:tabs>
                      <w:tab w:val="left" w:pos="540"/>
                    </w:tabs>
                    <w:spacing w:line="360" w:lineRule="exact"/>
                    <w:jc w:val="center"/>
                    <w:rPr>
                      <w:rFonts w:hint="eastAsia" w:ascii="Times New Roman" w:hAnsi="Times New Roman" w:eastAsia="宋体"/>
                      <w:b/>
                      <w:bCs/>
                      <w:szCs w:val="21"/>
                      <w:u w:val="single"/>
                    </w:rPr>
                  </w:pPr>
                  <w:r>
                    <w:rPr>
                      <w:rFonts w:hint="eastAsia" w:ascii="Times New Roman" w:hAnsi="Times New Roman" w:eastAsia="宋体"/>
                      <w:b/>
                      <w:bCs/>
                      <w:szCs w:val="21"/>
                      <w:u w:val="singl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 w:type="pct"/>
                  <w:vMerge w:val="continue"/>
                  <w:vAlign w:val="center"/>
                </w:tcPr>
                <w:p>
                  <w:pPr>
                    <w:tabs>
                      <w:tab w:val="left" w:pos="540"/>
                    </w:tabs>
                    <w:spacing w:line="360" w:lineRule="exact"/>
                    <w:jc w:val="center"/>
                    <w:rPr>
                      <w:rFonts w:ascii="Times New Roman" w:hAnsi="Times New Roman"/>
                      <w:b/>
                      <w:bCs/>
                      <w:szCs w:val="21"/>
                      <w:u w:val="single"/>
                    </w:rPr>
                  </w:pPr>
                </w:p>
              </w:tc>
              <w:tc>
                <w:tcPr>
                  <w:tcW w:w="641" w:type="pct"/>
                  <w:vAlign w:val="center"/>
                </w:tcPr>
                <w:p>
                  <w:pPr>
                    <w:pStyle w:val="48"/>
                    <w:adjustRightInd/>
                    <w:snapToGrid/>
                    <w:spacing w:line="360" w:lineRule="exact"/>
                    <w:ind w:firstLine="0" w:firstLineChars="0"/>
                    <w:jc w:val="center"/>
                    <w:rPr>
                      <w:rFonts w:ascii="Times New Roman"/>
                      <w:b/>
                      <w:bCs/>
                      <w:sz w:val="21"/>
                      <w:szCs w:val="21"/>
                      <w:u w:val="single"/>
                    </w:rPr>
                  </w:pPr>
                  <w:r>
                    <w:rPr>
                      <w:rFonts w:hint="eastAsia" w:ascii="Times New Roman"/>
                      <w:b/>
                      <w:bCs/>
                      <w:sz w:val="21"/>
                      <w:szCs w:val="21"/>
                      <w:u w:val="single"/>
                    </w:rPr>
                    <w:t>氨氮</w:t>
                  </w:r>
                </w:p>
              </w:tc>
              <w:tc>
                <w:tcPr>
                  <w:tcW w:w="1300"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ascii="Times New Roman"/>
                      <w:b/>
                      <w:bCs/>
                      <w:sz w:val="21"/>
                      <w:szCs w:val="21"/>
                      <w:u w:val="single"/>
                    </w:rPr>
                  </w:pPr>
                  <w:r>
                    <w:rPr>
                      <w:rFonts w:hint="eastAsia" w:ascii="Times New Roman" w:hAnsi="Times New Roman" w:cs="Times New Roman"/>
                      <w:b/>
                      <w:bCs/>
                      <w:color w:val="auto"/>
                      <w:sz w:val="21"/>
                      <w:szCs w:val="21"/>
                      <w:highlight w:val="none"/>
                      <w:u w:val="single"/>
                      <w:lang w:val="en-US" w:eastAsia="zh-CN"/>
                    </w:rPr>
                    <w:t>0.874</w:t>
                  </w:r>
                </w:p>
              </w:tc>
              <w:tc>
                <w:tcPr>
                  <w:tcW w:w="974"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eastAsia" w:ascii="Times New Roman" w:hAnsi="Times New Roman" w:eastAsia="宋体"/>
                      <w:b/>
                      <w:bCs/>
                      <w:szCs w:val="21"/>
                      <w:u w:val="single"/>
                      <w:lang w:val="en-US" w:eastAsia="zh-CN"/>
                    </w:rPr>
                  </w:pPr>
                  <w:r>
                    <w:rPr>
                      <w:rFonts w:hint="eastAsia" w:ascii="Times New Roman" w:hAnsi="Times New Roman" w:cs="Times New Roman"/>
                      <w:b/>
                      <w:bCs/>
                      <w:color w:val="auto"/>
                      <w:sz w:val="21"/>
                      <w:szCs w:val="21"/>
                      <w:highlight w:val="none"/>
                      <w:u w:val="single"/>
                      <w:lang w:val="en-US" w:eastAsia="zh-CN"/>
                    </w:rPr>
                    <w:t>0.9968</w:t>
                  </w:r>
                </w:p>
              </w:tc>
              <w:tc>
                <w:tcPr>
                  <w:tcW w:w="582" w:type="pct"/>
                  <w:vAlign w:val="center"/>
                </w:tcPr>
                <w:p>
                  <w:pPr>
                    <w:tabs>
                      <w:tab w:val="left" w:pos="540"/>
                    </w:tabs>
                    <w:spacing w:line="360" w:lineRule="exact"/>
                    <w:jc w:val="center"/>
                    <w:rPr>
                      <w:rFonts w:hint="eastAsia" w:ascii="Times New Roman" w:hAnsi="Times New Roman" w:eastAsia="宋体"/>
                      <w:b/>
                      <w:bCs/>
                      <w:szCs w:val="21"/>
                      <w:u w:val="single"/>
                    </w:rPr>
                  </w:pPr>
                  <w:r>
                    <w:rPr>
                      <w:rFonts w:hint="eastAsia" w:ascii="Times New Roman" w:hAnsi="Times New Roman" w:eastAsia="宋体"/>
                      <w:b/>
                      <w:bCs/>
                      <w:szCs w:val="21"/>
                      <w:u w:val="single"/>
                      <w:lang w:val="en-US" w:eastAsia="zh-CN"/>
                    </w:rPr>
                    <w:t>0</w:t>
                  </w:r>
                </w:p>
              </w:tc>
              <w:tc>
                <w:tcPr>
                  <w:tcW w:w="568" w:type="pct"/>
                  <w:vAlign w:val="center"/>
                </w:tcPr>
                <w:p>
                  <w:pPr>
                    <w:tabs>
                      <w:tab w:val="left" w:pos="540"/>
                    </w:tabs>
                    <w:spacing w:line="360" w:lineRule="exact"/>
                    <w:jc w:val="center"/>
                    <w:rPr>
                      <w:rFonts w:ascii="Times New Roman" w:hAnsi="Times New Roman"/>
                      <w:b/>
                      <w:bCs/>
                      <w:szCs w:val="21"/>
                      <w:u w:val="single"/>
                    </w:rPr>
                  </w:pPr>
                  <w:r>
                    <w:rPr>
                      <w:rFonts w:hint="eastAsia" w:ascii="Times New Roman" w:hAnsi="Times New Roman"/>
                      <w:b/>
                      <w:bCs/>
                      <w:szCs w:val="21"/>
                      <w:u w:val="single"/>
                    </w:rPr>
                    <w:t>0</w:t>
                  </w:r>
                </w:p>
              </w:tc>
              <w:tc>
                <w:tcPr>
                  <w:tcW w:w="1151" w:type="dxa"/>
                  <w:vAlign w:val="center"/>
                </w:tcPr>
                <w:p>
                  <w:pPr>
                    <w:tabs>
                      <w:tab w:val="left" w:pos="540"/>
                    </w:tabs>
                    <w:spacing w:line="360" w:lineRule="exact"/>
                    <w:jc w:val="center"/>
                    <w:rPr>
                      <w:rFonts w:hint="eastAsia" w:ascii="Times New Roman" w:hAnsi="Times New Roman" w:eastAsia="宋体"/>
                      <w:b/>
                      <w:bCs/>
                      <w:szCs w:val="21"/>
                      <w:u w:val="single"/>
                      <w:lang w:val="en-US" w:eastAsia="zh-CN"/>
                    </w:rPr>
                  </w:pPr>
                  <w:r>
                    <w:rPr>
                      <w:rFonts w:hint="eastAsia" w:ascii="Times New Roman" w:hAnsi="Times New Roman" w:eastAsia="宋体"/>
                      <w:b/>
                      <w:bCs/>
                      <w:szCs w:val="21"/>
                      <w:u w:val="single"/>
                      <w:lang w:val="en-US" w:eastAsia="zh-CN"/>
                    </w:rPr>
                    <w:t>0.874</w:t>
                  </w:r>
                </w:p>
              </w:tc>
              <w:tc>
                <w:tcPr>
                  <w:tcW w:w="703" w:type="pct"/>
                  <w:vAlign w:val="center"/>
                </w:tcPr>
                <w:p>
                  <w:pPr>
                    <w:tabs>
                      <w:tab w:val="left" w:pos="540"/>
                    </w:tabs>
                    <w:spacing w:line="360" w:lineRule="exact"/>
                    <w:jc w:val="center"/>
                    <w:rPr>
                      <w:rFonts w:hint="eastAsia" w:ascii="Times New Roman" w:hAnsi="Times New Roman" w:eastAsia="宋体"/>
                      <w:b/>
                      <w:bCs/>
                      <w:szCs w:val="21"/>
                      <w:u w:val="single"/>
                    </w:rPr>
                  </w:pPr>
                  <w:r>
                    <w:rPr>
                      <w:rFonts w:hint="eastAsia" w:ascii="Times New Roman" w:hAnsi="Times New Roman" w:eastAsia="宋体"/>
                      <w:b/>
                      <w:bCs/>
                      <w:szCs w:val="21"/>
                      <w:u w:val="single"/>
                      <w:lang w:val="en-US" w:eastAsia="zh-CN"/>
                    </w:rPr>
                    <w:t>+0</w:t>
                  </w:r>
                </w:p>
              </w:tc>
            </w:tr>
          </w:tbl>
          <w:p>
            <w:pPr>
              <w:tabs>
                <w:tab w:val="left" w:pos="540"/>
              </w:tabs>
              <w:rPr>
                <w:rFonts w:hint="eastAsia" w:ascii="Times New Roman" w:hAnsi="Times New Roman" w:eastAsia="宋体"/>
                <w:b/>
                <w:bCs/>
                <w:sz w:val="24"/>
                <w:u w:val="single"/>
                <w:lang w:eastAsia="zh-CN"/>
              </w:rPr>
            </w:pPr>
            <w:r>
              <w:rPr>
                <w:rFonts w:hint="eastAsia" w:ascii="Times New Roman" w:hAnsi="Times New Roman"/>
                <w:b/>
                <w:bCs/>
                <w:szCs w:val="21"/>
                <w:u w:val="single"/>
              </w:rPr>
              <w:t>注：本项目倾动炉为新增，</w:t>
            </w:r>
            <w:r>
              <w:rPr>
                <w:rFonts w:hint="eastAsia" w:ascii="Times New Roman" w:hAnsi="Times New Roman"/>
                <w:b/>
                <w:bCs/>
                <w:szCs w:val="21"/>
                <w:u w:val="single"/>
                <w:lang w:val="en-US" w:eastAsia="zh-CN"/>
              </w:rPr>
              <w:t>天然气用量增加，相应污染物增加，</w:t>
            </w:r>
            <w:r>
              <w:rPr>
                <w:rFonts w:hint="eastAsia" w:ascii="Times New Roman" w:hAnsi="Times New Roman"/>
                <w:b/>
                <w:bCs/>
                <w:szCs w:val="21"/>
                <w:u w:val="single"/>
              </w:rPr>
              <w:t>对原有工程无削减</w:t>
            </w:r>
            <w:r>
              <w:rPr>
                <w:rFonts w:hint="eastAsia" w:ascii="Times New Roman" w:hAnsi="Times New Roman"/>
                <w:b/>
                <w:bCs/>
                <w:szCs w:val="21"/>
                <w:u w:val="single"/>
                <w:lang w:eastAsia="zh-CN"/>
              </w:rPr>
              <w:t>。</w:t>
            </w:r>
          </w:p>
          <w:p>
            <w:pPr>
              <w:spacing w:line="360" w:lineRule="auto"/>
              <w:jc w:val="both"/>
              <w:rPr>
                <w:rFonts w:hint="default" w:ascii="Times New Roman" w:hAnsi="Times New Roman" w:cs="Times New Roman"/>
                <w:color w:val="auto"/>
                <w:sz w:val="24"/>
                <w:szCs w:val="24"/>
                <w:vertAlign w:val="baseline"/>
                <w:lang w:val="en-US" w:eastAsia="zh-CN"/>
              </w:rPr>
            </w:pPr>
          </w:p>
        </w:tc>
      </w:tr>
    </w:tbl>
    <w:p>
      <w:pPr>
        <w:pStyle w:val="18"/>
        <w:rPr>
          <w:rFonts w:hint="default" w:ascii="Times New Roman" w:hAnsi="Times New Roman" w:cs="Times New Roman"/>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cs="Times New Roman"/>
          <w:color w:val="auto"/>
          <w:lang w:val="en-US" w:eastAsia="zh-CN"/>
        </w:rPr>
      </w:pPr>
      <w:r>
        <w:rPr>
          <w:rFonts w:hint="default" w:ascii="Times New Roman" w:hAnsi="Times New Roman" w:eastAsia="黑体" w:cs="Times New Roman"/>
          <w:color w:val="auto"/>
          <w:sz w:val="28"/>
          <w:szCs w:val="36"/>
          <w:lang w:val="en-US" w:eastAsia="zh-CN"/>
        </w:rPr>
        <w:t>五、环境保护措施监督检查清单</w:t>
      </w:r>
    </w:p>
    <w:tbl>
      <w:tblPr>
        <w:tblStyle w:val="27"/>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44"/>
        <w:gridCol w:w="994"/>
        <w:gridCol w:w="1336"/>
        <w:gridCol w:w="36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09" w:type="dxa"/>
            <w:tcBorders>
              <w:tl2br w:val="single" w:color="auto" w:sz="4" w:space="0"/>
            </w:tcBorders>
          </w:tcPr>
          <w:p>
            <w:pPr>
              <w:tabs>
                <w:tab w:val="center" w:pos="360"/>
              </w:tabs>
              <w:spacing w:line="360" w:lineRule="exact"/>
              <w:ind w:firstLine="480" w:firstLineChars="200"/>
              <w:rPr>
                <w:rFonts w:ascii="Times New Roman" w:hAnsi="Times New Roman" w:cs="Times New Roman"/>
                <w:color w:val="auto"/>
                <w:kern w:val="21"/>
                <w:sz w:val="24"/>
                <w:szCs w:val="24"/>
              </w:rPr>
            </w:pPr>
            <w:r>
              <w:rPr>
                <w:rFonts w:hint="default" w:ascii="Times New Roman" w:hAnsi="Times New Roman" w:cs="Times New Roman"/>
                <w:color w:val="auto"/>
                <w:kern w:val="21"/>
                <w:sz w:val="24"/>
                <w:szCs w:val="24"/>
              </w:rPr>
              <w:t>内容</w:t>
            </w:r>
          </w:p>
          <w:p>
            <w:pPr>
              <w:spacing w:line="360" w:lineRule="exact"/>
              <w:rPr>
                <w:rFonts w:ascii="Times New Roman" w:hAnsi="Times New Roman" w:cs="Times New Roman"/>
                <w:color w:val="auto"/>
                <w:kern w:val="21"/>
                <w:sz w:val="24"/>
                <w:szCs w:val="24"/>
              </w:rPr>
            </w:pPr>
            <w:r>
              <w:rPr>
                <w:rFonts w:ascii="Times New Roman" w:hAnsi="Times New Roman" w:cs="Times New Roman"/>
                <w:color w:val="auto"/>
                <w:kern w:val="21"/>
                <w:sz w:val="24"/>
                <w:szCs w:val="24"/>
              </w:rPr>
              <w:t>要素</w:t>
            </w:r>
          </w:p>
        </w:tc>
        <w:tc>
          <w:tcPr>
            <w:tcW w:w="1544"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排放口(编号、名称)/污染源</w:t>
            </w:r>
          </w:p>
        </w:tc>
        <w:tc>
          <w:tcPr>
            <w:tcW w:w="994"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污染物项目</w:t>
            </w:r>
          </w:p>
        </w:tc>
        <w:tc>
          <w:tcPr>
            <w:tcW w:w="1336"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环境保护措施</w:t>
            </w:r>
          </w:p>
        </w:tc>
        <w:tc>
          <w:tcPr>
            <w:tcW w:w="3621"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1009" w:type="dxa"/>
            <w:vMerge w:val="restart"/>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大气环境</w:t>
            </w:r>
          </w:p>
        </w:tc>
        <w:tc>
          <w:tcPr>
            <w:tcW w:w="1544"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color w:val="auto"/>
                <w:kern w:val="21"/>
                <w:sz w:val="24"/>
                <w:szCs w:val="24"/>
              </w:rPr>
            </w:pPr>
            <w:r>
              <w:rPr>
                <w:rFonts w:hint="default" w:ascii="Times New Roman" w:hAnsi="Times New Roman" w:cs="Times New Roman"/>
                <w:b w:val="0"/>
                <w:bCs w:val="0"/>
                <w:color w:val="auto"/>
                <w:sz w:val="24"/>
                <w:szCs w:val="24"/>
                <w:u w:val="none"/>
                <w:lang w:val="en-US" w:eastAsia="zh-CN"/>
              </w:rPr>
              <w:t>熔炼废气排放口</w:t>
            </w:r>
            <w:r>
              <w:rPr>
                <w:rFonts w:hint="default" w:ascii="Times New Roman" w:hAnsi="Times New Roman" w:eastAsia="宋体" w:cs="Times New Roman"/>
                <w:b w:val="0"/>
                <w:bCs w:val="0"/>
                <w:color w:val="auto"/>
                <w:sz w:val="24"/>
                <w:szCs w:val="24"/>
                <w:lang w:val="en-US" w:eastAsia="zh-CN"/>
              </w:rPr>
              <w:t>排放口</w:t>
            </w:r>
          </w:p>
        </w:tc>
        <w:tc>
          <w:tcPr>
            <w:tcW w:w="994" w:type="dxa"/>
            <w:vAlign w:val="center"/>
          </w:tcPr>
          <w:p>
            <w:pPr>
              <w:spacing w:line="360" w:lineRule="exact"/>
              <w:jc w:val="center"/>
              <w:rPr>
                <w:rFonts w:hint="default" w:ascii="Times New Roman" w:hAnsi="Times New Roman" w:eastAsia="宋体" w:cs="Times New Roman"/>
                <w:color w:val="auto"/>
                <w:kern w:val="21"/>
                <w:sz w:val="24"/>
                <w:szCs w:val="24"/>
                <w:lang w:eastAsia="zh-CN"/>
              </w:rPr>
            </w:pPr>
            <w:r>
              <w:rPr>
                <w:rFonts w:hint="default" w:ascii="Times New Roman" w:hAnsi="Times New Roman" w:cs="Times New Roman"/>
                <w:color w:val="auto"/>
                <w:kern w:val="21"/>
                <w:sz w:val="24"/>
                <w:szCs w:val="24"/>
                <w:lang w:eastAsia="zh-CN"/>
              </w:rPr>
              <w:t>颗粒物、二氧化硫、氮氧化物、铅及其化合物</w:t>
            </w:r>
          </w:p>
        </w:tc>
        <w:tc>
          <w:tcPr>
            <w:tcW w:w="1336" w:type="dxa"/>
            <w:vAlign w:val="center"/>
          </w:tcPr>
          <w:p>
            <w:pPr>
              <w:spacing w:line="360" w:lineRule="exact"/>
              <w:jc w:val="center"/>
              <w:rPr>
                <w:rFonts w:ascii="Times New Roman" w:hAnsi="Times New Roman" w:cs="Times New Roman"/>
                <w:color w:val="auto"/>
                <w:kern w:val="21"/>
                <w:sz w:val="24"/>
                <w:szCs w:val="24"/>
              </w:rPr>
            </w:pPr>
            <w:r>
              <w:rPr>
                <w:rFonts w:hint="default" w:ascii="Times New Roman" w:hAnsi="Times New Roman" w:cs="Times New Roman"/>
                <w:b w:val="0"/>
                <w:bCs w:val="0"/>
                <w:color w:val="auto"/>
                <w:kern w:val="21"/>
                <w:sz w:val="24"/>
                <w:szCs w:val="24"/>
                <w:highlight w:val="none"/>
                <w:u w:val="none"/>
              </w:rPr>
              <w:t>袋式除尘器+</w:t>
            </w:r>
            <w:r>
              <w:rPr>
                <w:rFonts w:hint="default" w:ascii="Times New Roman" w:hAnsi="Times New Roman" w:cs="Times New Roman"/>
                <w:b w:val="0"/>
                <w:bCs w:val="0"/>
                <w:color w:val="auto"/>
                <w:kern w:val="21"/>
                <w:sz w:val="24"/>
                <w:szCs w:val="24"/>
                <w:highlight w:val="none"/>
                <w:u w:val="none"/>
                <w:lang w:val="en-US" w:eastAsia="zh-CN"/>
              </w:rPr>
              <w:t>20</w:t>
            </w:r>
            <w:r>
              <w:rPr>
                <w:rFonts w:hint="default" w:ascii="Times New Roman" w:hAnsi="Times New Roman" w:cs="Times New Roman"/>
                <w:b w:val="0"/>
                <w:bCs w:val="0"/>
                <w:color w:val="auto"/>
                <w:kern w:val="21"/>
                <w:sz w:val="24"/>
                <w:szCs w:val="24"/>
                <w:highlight w:val="none"/>
                <w:u w:val="none"/>
              </w:rPr>
              <w:t>m排气筒</w:t>
            </w:r>
          </w:p>
        </w:tc>
        <w:tc>
          <w:tcPr>
            <w:tcW w:w="3621" w:type="dxa"/>
            <w:vAlign w:val="center"/>
          </w:tcPr>
          <w:p>
            <w:pPr>
              <w:autoSpaceDE w:val="0"/>
              <w:jc w:val="center"/>
              <w:rPr>
                <w:rFonts w:ascii="Times New Roman" w:hAnsi="Times New Roman" w:cs="Times New Roman"/>
                <w:color w:val="auto"/>
                <w:kern w:val="21"/>
                <w:sz w:val="24"/>
                <w:szCs w:val="24"/>
              </w:rPr>
            </w:pPr>
            <w:r>
              <w:rPr>
                <w:rFonts w:hint="default" w:ascii="Times New Roman" w:hAnsi="Times New Roman" w:cs="Times New Roman"/>
                <w:b w:val="0"/>
                <w:bCs w:val="0"/>
                <w:color w:val="auto"/>
                <w:sz w:val="24"/>
                <w:szCs w:val="24"/>
                <w:u w:val="none"/>
              </w:rPr>
              <w:t>满足《河南省工业炉窑大气污染物排放标准》（DB41/1066-2020）表1标准限值要求</w:t>
            </w:r>
            <w:r>
              <w:rPr>
                <w:rFonts w:hint="default" w:ascii="Times New Roman" w:hAnsi="Times New Roman" w:cs="Times New Roman"/>
                <w:b w:val="0"/>
                <w:bCs w:val="0"/>
                <w:color w:val="auto"/>
                <w:sz w:val="24"/>
                <w:szCs w:val="24"/>
                <w:highlight w:val="none"/>
                <w:u w:val="none"/>
              </w:rPr>
              <w:t>（颗粒物≤</w:t>
            </w:r>
            <w:r>
              <w:rPr>
                <w:rFonts w:hint="eastAsia" w:ascii="Times New Roman" w:hAnsi="Times New Roman" w:cs="Times New Roman"/>
                <w:b w:val="0"/>
                <w:bCs w:val="0"/>
                <w:color w:val="auto"/>
                <w:sz w:val="24"/>
                <w:szCs w:val="24"/>
                <w:highlight w:val="none"/>
                <w:u w:val="none"/>
                <w:lang w:val="en-US" w:eastAsia="zh-CN"/>
              </w:rPr>
              <w:t>1</w:t>
            </w:r>
            <w:r>
              <w:rPr>
                <w:rFonts w:hint="default" w:ascii="Times New Roman" w:hAnsi="Times New Roman" w:cs="Times New Roman"/>
                <w:b w:val="0"/>
                <w:bCs w:val="0"/>
                <w:color w:val="auto"/>
                <w:sz w:val="24"/>
                <w:szCs w:val="24"/>
                <w:highlight w:val="none"/>
                <w:u w:val="none"/>
              </w:rPr>
              <w:t>0mg/m</w:t>
            </w:r>
            <w:r>
              <w:rPr>
                <w:rFonts w:hint="default" w:ascii="Times New Roman" w:hAnsi="Times New Roman" w:cs="Times New Roman"/>
                <w:b w:val="0"/>
                <w:bCs w:val="0"/>
                <w:color w:val="auto"/>
                <w:sz w:val="24"/>
                <w:szCs w:val="24"/>
                <w:highlight w:val="none"/>
                <w:u w:val="none"/>
                <w:vertAlign w:val="superscript"/>
              </w:rPr>
              <w:t>3</w:t>
            </w:r>
            <w:r>
              <w:rPr>
                <w:rFonts w:hint="default" w:ascii="Times New Roman" w:hAnsi="Times New Roman" w:cs="Times New Roman"/>
                <w:b w:val="0"/>
                <w:bCs w:val="0"/>
                <w:color w:val="auto"/>
                <w:sz w:val="24"/>
                <w:szCs w:val="24"/>
                <w:highlight w:val="none"/>
                <w:u w:val="none"/>
              </w:rPr>
              <w:t>、二氧化硫≤</w:t>
            </w:r>
            <w:r>
              <w:rPr>
                <w:rFonts w:hint="eastAsia" w:ascii="Times New Roman" w:hAnsi="Times New Roman" w:cs="Times New Roman"/>
                <w:b w:val="0"/>
                <w:bCs w:val="0"/>
                <w:color w:val="auto"/>
                <w:sz w:val="24"/>
                <w:szCs w:val="24"/>
                <w:highlight w:val="none"/>
                <w:u w:val="none"/>
                <w:lang w:val="en-US" w:eastAsia="zh-CN"/>
              </w:rPr>
              <w:t>5</w:t>
            </w:r>
            <w:r>
              <w:rPr>
                <w:rFonts w:hint="default" w:ascii="Times New Roman" w:hAnsi="Times New Roman" w:cs="Times New Roman"/>
                <w:b w:val="0"/>
                <w:bCs w:val="0"/>
                <w:color w:val="auto"/>
                <w:sz w:val="24"/>
                <w:szCs w:val="24"/>
                <w:highlight w:val="none"/>
                <w:u w:val="none"/>
              </w:rPr>
              <w:t>0mg/m</w:t>
            </w:r>
            <w:r>
              <w:rPr>
                <w:rFonts w:hint="default" w:ascii="Times New Roman" w:hAnsi="Times New Roman" w:cs="Times New Roman"/>
                <w:b w:val="0"/>
                <w:bCs w:val="0"/>
                <w:color w:val="auto"/>
                <w:sz w:val="24"/>
                <w:szCs w:val="24"/>
                <w:highlight w:val="none"/>
                <w:u w:val="none"/>
                <w:vertAlign w:val="superscript"/>
              </w:rPr>
              <w:t>3</w:t>
            </w:r>
            <w:r>
              <w:rPr>
                <w:rFonts w:hint="default" w:ascii="Times New Roman" w:hAnsi="Times New Roman" w:cs="Times New Roman"/>
                <w:b w:val="0"/>
                <w:bCs w:val="0"/>
                <w:color w:val="auto"/>
                <w:sz w:val="24"/>
                <w:szCs w:val="24"/>
                <w:highlight w:val="none"/>
                <w:u w:val="none"/>
              </w:rPr>
              <w:t>、氮氧化物≤300mg/m</w:t>
            </w:r>
            <w:r>
              <w:rPr>
                <w:rFonts w:hint="default" w:ascii="Times New Roman" w:hAnsi="Times New Roman" w:cs="Times New Roman"/>
                <w:b w:val="0"/>
                <w:bCs w:val="0"/>
                <w:color w:val="auto"/>
                <w:sz w:val="24"/>
                <w:szCs w:val="24"/>
                <w:highlight w:val="none"/>
                <w:u w:val="none"/>
                <w:vertAlign w:val="superscript"/>
              </w:rPr>
              <w:t>3</w:t>
            </w:r>
            <w:r>
              <w:rPr>
                <w:rFonts w:hint="default" w:ascii="Times New Roman" w:hAnsi="Times New Roman" w:cs="Times New Roman"/>
                <w:b w:val="0"/>
                <w:bCs w:val="0"/>
                <w:color w:val="auto"/>
                <w:sz w:val="24"/>
                <w:szCs w:val="24"/>
                <w:highlight w:val="none"/>
                <w:u w:val="none"/>
                <w:vertAlign w:val="baseline"/>
                <w:lang w:eastAsia="zh-CN"/>
              </w:rPr>
              <w:t>、铅及其化合物</w:t>
            </w:r>
            <w:r>
              <w:rPr>
                <w:rFonts w:hint="default" w:ascii="Times New Roman" w:hAnsi="Times New Roman" w:cs="Times New Roman"/>
                <w:b w:val="0"/>
                <w:bCs w:val="0"/>
                <w:color w:val="auto"/>
                <w:sz w:val="24"/>
                <w:szCs w:val="24"/>
                <w:highlight w:val="none"/>
                <w:u w:val="none"/>
              </w:rPr>
              <w:t>≤</w:t>
            </w:r>
            <w:r>
              <w:rPr>
                <w:rFonts w:hint="default" w:ascii="Times New Roman" w:hAnsi="Times New Roman" w:cs="Times New Roman"/>
                <w:b w:val="0"/>
                <w:bCs w:val="0"/>
                <w:color w:val="auto"/>
                <w:sz w:val="24"/>
                <w:szCs w:val="24"/>
                <w:highlight w:val="none"/>
                <w:u w:val="none"/>
                <w:lang w:val="en-US" w:eastAsia="zh-CN"/>
              </w:rPr>
              <w:t>0.7</w:t>
            </w:r>
            <w:r>
              <w:rPr>
                <w:rFonts w:hint="default" w:ascii="Times New Roman" w:hAnsi="Times New Roman" w:cs="Times New Roman"/>
                <w:b w:val="0"/>
                <w:bCs w:val="0"/>
                <w:color w:val="auto"/>
                <w:sz w:val="24"/>
                <w:szCs w:val="24"/>
                <w:highlight w:val="none"/>
                <w:u w:val="none"/>
              </w:rPr>
              <w:t>mg/m</w:t>
            </w:r>
            <w:r>
              <w:rPr>
                <w:rFonts w:hint="default" w:ascii="Times New Roman" w:hAnsi="Times New Roman" w:cs="Times New Roman"/>
                <w:b w:val="0"/>
                <w:bCs w:val="0"/>
                <w:color w:val="auto"/>
                <w:sz w:val="24"/>
                <w:szCs w:val="24"/>
                <w:highlight w:val="none"/>
                <w:u w:val="none"/>
                <w:vertAlign w:val="superscript"/>
              </w:rPr>
              <w:t>3</w:t>
            </w:r>
            <w:r>
              <w:rPr>
                <w:rFonts w:hint="default" w:ascii="Times New Roman" w:hAnsi="Times New Roman" w:cs="Times New Roman"/>
                <w:b w:val="0"/>
                <w:bCs w:val="0"/>
                <w:color w:val="auto"/>
                <w:sz w:val="24"/>
                <w:szCs w:val="24"/>
                <w:highlight w:val="none"/>
                <w:u w:val="none"/>
              </w:rPr>
              <w:t>）</w:t>
            </w:r>
            <w:r>
              <w:rPr>
                <w:rFonts w:hint="default" w:ascii="Times New Roman" w:hAnsi="Times New Roman" w:cs="Times New Roman"/>
                <w:b w:val="0"/>
                <w:bCs w:val="0"/>
                <w:color w:val="auto"/>
                <w:sz w:val="24"/>
                <w:szCs w:val="24"/>
                <w:u w:val="none"/>
                <w:lang w:eastAsia="zh-CN"/>
              </w:rPr>
              <w:t>同时满足</w:t>
            </w:r>
            <w:r>
              <w:rPr>
                <w:rFonts w:hint="default" w:ascii="Times New Roman" w:hAnsi="Times New Roman" w:cs="Times New Roman"/>
                <w:color w:val="auto"/>
                <w:sz w:val="24"/>
                <w:szCs w:val="24"/>
                <w:lang w:val="en-US" w:eastAsia="zh-CN"/>
              </w:rPr>
              <w:t>《重污染天气重点行业应急减排措施制定技术指南(2020年修订版》 第十四、有色金属压延行业A级标准限值</w:t>
            </w:r>
            <w:r>
              <w:rPr>
                <w:rFonts w:hint="default" w:ascii="Times New Roman" w:hAnsi="Times New Roman" w:cs="Times New Roman"/>
                <w:b w:val="0"/>
                <w:bCs w:val="0"/>
                <w:color w:val="auto"/>
                <w:sz w:val="24"/>
                <w:szCs w:val="24"/>
                <w:u w:val="none"/>
              </w:rPr>
              <w:t>（颗粒物≤</w:t>
            </w:r>
            <w:r>
              <w:rPr>
                <w:rFonts w:hint="default" w:ascii="Times New Roman" w:hAnsi="Times New Roman" w:cs="Times New Roman"/>
                <w:b w:val="0"/>
                <w:bCs w:val="0"/>
                <w:color w:val="auto"/>
                <w:sz w:val="24"/>
                <w:szCs w:val="24"/>
                <w:u w:val="none"/>
                <w:lang w:val="en-US" w:eastAsia="zh-CN"/>
              </w:rPr>
              <w:t>1</w:t>
            </w:r>
            <w:r>
              <w:rPr>
                <w:rFonts w:hint="default" w:ascii="Times New Roman" w:hAnsi="Times New Roman" w:cs="Times New Roman"/>
                <w:b w:val="0"/>
                <w:bCs w:val="0"/>
                <w:color w:val="auto"/>
                <w:sz w:val="24"/>
                <w:szCs w:val="24"/>
                <w:u w:val="none"/>
              </w:rPr>
              <w:t>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、二氧化硫≤</w:t>
            </w:r>
            <w:r>
              <w:rPr>
                <w:rFonts w:hint="default" w:ascii="Times New Roman" w:hAnsi="Times New Roman" w:cs="Times New Roman"/>
                <w:b w:val="0"/>
                <w:bCs w:val="0"/>
                <w:color w:val="auto"/>
                <w:sz w:val="24"/>
                <w:szCs w:val="24"/>
                <w:u w:val="none"/>
                <w:lang w:val="en-US" w:eastAsia="zh-CN"/>
              </w:rPr>
              <w:t>5</w:t>
            </w:r>
            <w:r>
              <w:rPr>
                <w:rFonts w:hint="default" w:ascii="Times New Roman" w:hAnsi="Times New Roman" w:cs="Times New Roman"/>
                <w:b w:val="0"/>
                <w:bCs w:val="0"/>
                <w:color w:val="auto"/>
                <w:sz w:val="24"/>
                <w:szCs w:val="24"/>
                <w:u w:val="none"/>
              </w:rPr>
              <w:t>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、氮氧化物≤</w:t>
            </w:r>
            <w:r>
              <w:rPr>
                <w:rFonts w:hint="default" w:ascii="Times New Roman" w:hAnsi="Times New Roman" w:cs="Times New Roman"/>
                <w:b w:val="0"/>
                <w:bCs w:val="0"/>
                <w:color w:val="auto"/>
                <w:sz w:val="24"/>
                <w:szCs w:val="24"/>
                <w:u w:val="none"/>
                <w:lang w:val="en-US" w:eastAsia="zh-CN"/>
              </w:rPr>
              <w:t>5</w:t>
            </w:r>
            <w:r>
              <w:rPr>
                <w:rFonts w:hint="default" w:ascii="Times New Roman" w:hAnsi="Times New Roman" w:cs="Times New Roman"/>
                <w:b w:val="0"/>
                <w:bCs w:val="0"/>
                <w:color w:val="auto"/>
                <w:sz w:val="24"/>
                <w:szCs w:val="24"/>
                <w:u w:val="none"/>
              </w:rPr>
              <w:t>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09" w:type="dxa"/>
            <w:vMerge w:val="continue"/>
            <w:vAlign w:val="center"/>
          </w:tcPr>
          <w:p>
            <w:pPr>
              <w:spacing w:line="360" w:lineRule="exact"/>
              <w:jc w:val="center"/>
              <w:rPr>
                <w:rFonts w:ascii="Times New Roman" w:hAnsi="Times New Roman" w:cs="Times New Roman"/>
                <w:color w:val="auto"/>
                <w:kern w:val="21"/>
                <w:sz w:val="24"/>
                <w:szCs w:val="24"/>
              </w:rPr>
            </w:pPr>
          </w:p>
        </w:tc>
        <w:tc>
          <w:tcPr>
            <w:tcW w:w="1544" w:type="dxa"/>
            <w:vAlign w:val="center"/>
          </w:tcPr>
          <w:p>
            <w:pPr>
              <w:pStyle w:val="48"/>
              <w:adjustRightInd/>
              <w:snapToGrid/>
              <w:spacing w:line="240" w:lineRule="auto"/>
              <w:ind w:firstLine="0" w:firstLineChars="0"/>
              <w:jc w:val="center"/>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b w:val="0"/>
                <w:bCs/>
                <w:color w:val="auto"/>
                <w:sz w:val="24"/>
                <w:szCs w:val="24"/>
                <w:u w:val="none"/>
              </w:rPr>
              <w:t>箔轧油雾净化出口</w:t>
            </w:r>
          </w:p>
        </w:tc>
        <w:tc>
          <w:tcPr>
            <w:tcW w:w="994" w:type="dxa"/>
            <w:vAlign w:val="center"/>
          </w:tcPr>
          <w:p>
            <w:pPr>
              <w:jc w:val="center"/>
              <w:rPr>
                <w:rFonts w:hint="default" w:ascii="Times New Roman" w:hAnsi="Times New Roman" w:cs="Times New Roman"/>
                <w:b w:val="0"/>
                <w:bCs/>
                <w:color w:val="auto"/>
                <w:kern w:val="21"/>
                <w:sz w:val="24"/>
                <w:szCs w:val="24"/>
                <w:u w:val="none"/>
                <w:lang w:eastAsia="zh-CN"/>
              </w:rPr>
            </w:pPr>
            <w:r>
              <w:rPr>
                <w:rFonts w:hint="default" w:ascii="Times New Roman" w:hAnsi="Times New Roman" w:cs="Times New Roman"/>
                <w:b w:val="0"/>
                <w:bCs/>
                <w:color w:val="auto"/>
                <w:sz w:val="24"/>
                <w:szCs w:val="24"/>
                <w:u w:val="none"/>
                <w:lang w:eastAsia="zh-CN"/>
              </w:rPr>
              <w:t>非甲烷总烃</w:t>
            </w:r>
          </w:p>
        </w:tc>
        <w:tc>
          <w:tcPr>
            <w:tcW w:w="1336" w:type="dxa"/>
            <w:vAlign w:val="center"/>
          </w:tcPr>
          <w:p>
            <w:pPr>
              <w:jc w:val="center"/>
              <w:rPr>
                <w:rFonts w:hint="default" w:ascii="Times New Roman" w:hAnsi="Times New Roman" w:cs="Times New Roman"/>
                <w:b w:val="0"/>
                <w:bCs/>
                <w:color w:val="auto"/>
                <w:kern w:val="21"/>
                <w:sz w:val="24"/>
                <w:szCs w:val="24"/>
                <w:highlight w:val="none"/>
                <w:u w:val="none"/>
              </w:rPr>
            </w:pPr>
            <w:r>
              <w:rPr>
                <w:rFonts w:hint="default" w:ascii="Times New Roman" w:hAnsi="Times New Roman" w:cs="Times New Roman"/>
                <w:b w:val="0"/>
                <w:bCs/>
                <w:color w:val="auto"/>
                <w:sz w:val="24"/>
                <w:szCs w:val="24"/>
                <w:u w:val="none"/>
              </w:rPr>
              <w:t>油雾净化</w:t>
            </w:r>
            <w:r>
              <w:rPr>
                <w:rFonts w:hint="default" w:ascii="Times New Roman" w:hAnsi="Times New Roman" w:cs="Times New Roman"/>
                <w:b w:val="0"/>
                <w:bCs/>
                <w:color w:val="auto"/>
                <w:sz w:val="24"/>
                <w:szCs w:val="24"/>
                <w:u w:val="none"/>
                <w:lang w:eastAsia="zh-CN"/>
              </w:rPr>
              <w:t>装置</w:t>
            </w:r>
            <w:r>
              <w:rPr>
                <w:rFonts w:hint="default" w:ascii="Times New Roman" w:hAnsi="Times New Roman" w:cs="Times New Roman"/>
                <w:b w:val="0"/>
                <w:bCs/>
                <w:color w:val="auto"/>
                <w:sz w:val="24"/>
                <w:szCs w:val="24"/>
                <w:u w:val="none"/>
                <w:lang w:val="en-US" w:eastAsia="zh-CN"/>
              </w:rPr>
              <w:t>+20m高排气筒</w:t>
            </w:r>
          </w:p>
        </w:tc>
        <w:tc>
          <w:tcPr>
            <w:tcW w:w="3621" w:type="dxa"/>
            <w:vAlign w:val="center"/>
          </w:tcPr>
          <w:p>
            <w:pPr>
              <w:autoSpaceDE w:val="0"/>
              <w:jc w:val="center"/>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vertAlign w:val="baseline"/>
                <w:lang w:val="en-US" w:eastAsia="zh-CN"/>
              </w:rPr>
              <w:t>《大气污染物综合排放标准》（GB16297-1996）二级排放标准要求及《关于全省开展工业企业挥发性有机物专项治理工作中排放建议值的通知》（豫环攻坚函[2017]162号）要求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9"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地表水环境</w:t>
            </w:r>
          </w:p>
        </w:tc>
        <w:tc>
          <w:tcPr>
            <w:tcW w:w="7495" w:type="dxa"/>
            <w:gridSpan w:val="4"/>
            <w:vAlign w:val="center"/>
          </w:tcPr>
          <w:p>
            <w:pPr>
              <w:spacing w:line="360" w:lineRule="exact"/>
              <w:ind w:firstLine="480" w:firstLineChars="200"/>
              <w:jc w:val="left"/>
              <w:rPr>
                <w:rFonts w:hint="default" w:ascii="Times New Roman" w:hAnsi="Times New Roman" w:cs="Times New Roman"/>
                <w:color w:val="auto"/>
                <w:kern w:val="21"/>
                <w:sz w:val="24"/>
                <w:szCs w:val="24"/>
                <w:lang w:val="en-US"/>
              </w:rPr>
            </w:pPr>
            <w:r>
              <w:rPr>
                <w:rFonts w:hint="default" w:ascii="Times New Roman" w:hAnsi="Times New Roman" w:cs="Times New Roman"/>
                <w:color w:val="auto"/>
                <w:sz w:val="24"/>
                <w:szCs w:val="24"/>
                <w:highlight w:val="none"/>
              </w:rPr>
              <w:t>本次</w:t>
            </w:r>
            <w:r>
              <w:rPr>
                <w:rFonts w:hint="eastAsia" w:ascii="Times New Roman" w:hAnsi="Times New Roman" w:cs="Times New Roman"/>
                <w:color w:val="auto"/>
                <w:sz w:val="24"/>
                <w:szCs w:val="24"/>
                <w:highlight w:val="none"/>
                <w:lang w:val="en-US" w:eastAsia="zh-CN"/>
              </w:rPr>
              <w:t>改建</w:t>
            </w:r>
            <w:r>
              <w:rPr>
                <w:rFonts w:hint="default" w:ascii="Times New Roman" w:hAnsi="Times New Roman" w:cs="Times New Roman"/>
                <w:color w:val="auto"/>
                <w:sz w:val="24"/>
                <w:szCs w:val="24"/>
                <w:highlight w:val="none"/>
              </w:rPr>
              <w:t>项目</w:t>
            </w:r>
            <w:r>
              <w:rPr>
                <w:rFonts w:hint="eastAsia" w:ascii="Times New Roman" w:hAnsi="Times New Roman" w:cs="Times New Roman"/>
                <w:color w:val="auto"/>
                <w:sz w:val="24"/>
                <w:szCs w:val="24"/>
                <w:highlight w:val="none"/>
                <w:lang w:val="en-US" w:eastAsia="zh-CN"/>
              </w:rPr>
              <w:t>不新增污水。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09"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声环境</w:t>
            </w:r>
          </w:p>
        </w:tc>
        <w:tc>
          <w:tcPr>
            <w:tcW w:w="7495" w:type="dxa"/>
            <w:gridSpan w:val="4"/>
            <w:vAlign w:val="center"/>
          </w:tcPr>
          <w:p>
            <w:pPr>
              <w:spacing w:line="360" w:lineRule="exact"/>
              <w:jc w:val="left"/>
              <w:rPr>
                <w:rFonts w:ascii="Times New Roman" w:hAnsi="Times New Roman" w:cs="Times New Roman"/>
                <w:color w:val="auto"/>
                <w:kern w:val="21"/>
                <w:sz w:val="24"/>
                <w:szCs w:val="24"/>
              </w:rPr>
            </w:pPr>
            <w:r>
              <w:rPr>
                <w:rFonts w:ascii="Times New Roman" w:hAnsi="Times New Roman" w:cs="Times New Roman"/>
                <w:color w:val="auto"/>
                <w:kern w:val="21"/>
                <w:sz w:val="24"/>
                <w:szCs w:val="24"/>
              </w:rPr>
              <w:t>本项目主要噪声来源于生产设备的噪声，声源强度在</w:t>
            </w:r>
            <w:r>
              <w:rPr>
                <w:rFonts w:hint="default" w:ascii="Times New Roman" w:hAnsi="Times New Roman" w:cs="Times New Roman"/>
                <w:color w:val="auto"/>
                <w:kern w:val="21"/>
                <w:sz w:val="24"/>
                <w:szCs w:val="24"/>
                <w:lang w:val="en-US" w:eastAsia="zh-CN"/>
              </w:rPr>
              <w:t>70</w:t>
            </w:r>
            <w:r>
              <w:rPr>
                <w:rFonts w:ascii="Times New Roman" w:hAnsi="Times New Roman" w:cs="Times New Roman"/>
                <w:color w:val="auto"/>
                <w:kern w:val="21"/>
                <w:sz w:val="24"/>
                <w:szCs w:val="24"/>
              </w:rPr>
              <w:t>~</w:t>
            </w:r>
            <w:r>
              <w:rPr>
                <w:rFonts w:hint="default" w:ascii="Times New Roman" w:hAnsi="Times New Roman" w:cs="Times New Roman"/>
                <w:color w:val="auto"/>
                <w:kern w:val="21"/>
                <w:sz w:val="24"/>
                <w:szCs w:val="24"/>
                <w:lang w:val="en-US" w:eastAsia="zh-CN"/>
              </w:rPr>
              <w:t>8</w:t>
            </w:r>
            <w:r>
              <w:rPr>
                <w:rFonts w:ascii="Times New Roman" w:hAnsi="Times New Roman" w:cs="Times New Roman"/>
                <w:color w:val="auto"/>
                <w:kern w:val="21"/>
                <w:sz w:val="24"/>
                <w:szCs w:val="24"/>
              </w:rPr>
              <w:t>5dB(A)之间，通过设备减振、厂房隔声和距离衰减，本项目</w:t>
            </w:r>
            <w:r>
              <w:rPr>
                <w:rFonts w:hint="eastAsia" w:ascii="Times New Roman" w:hAnsi="Times New Roman" w:cs="Times New Roman"/>
                <w:color w:val="auto"/>
                <w:kern w:val="21"/>
                <w:sz w:val="24"/>
                <w:szCs w:val="24"/>
                <w:lang w:eastAsia="zh-CN"/>
              </w:rPr>
              <w:t>东、南、北</w:t>
            </w:r>
            <w:r>
              <w:rPr>
                <w:rFonts w:ascii="Times New Roman" w:hAnsi="Times New Roman" w:cs="Times New Roman"/>
                <w:color w:val="auto"/>
                <w:kern w:val="21"/>
                <w:sz w:val="24"/>
                <w:szCs w:val="24"/>
              </w:rPr>
              <w:t>厂界噪声值能够满足《工业企业厂界环境噪声排放标准》（GB12348</w:t>
            </w:r>
            <w:r>
              <w:rPr>
                <w:rFonts w:hint="default" w:ascii="Times New Roman" w:hAnsi="Times New Roman" w:cs="Times New Roman"/>
                <w:color w:val="auto"/>
                <w:kern w:val="21"/>
                <w:sz w:val="24"/>
                <w:szCs w:val="24"/>
                <w:lang w:val="en-US" w:eastAsia="zh-CN"/>
              </w:rPr>
              <w:t>-</w:t>
            </w:r>
            <w:r>
              <w:rPr>
                <w:rFonts w:ascii="Times New Roman" w:hAnsi="Times New Roman" w:cs="Times New Roman"/>
                <w:color w:val="auto"/>
                <w:kern w:val="21"/>
                <w:sz w:val="24"/>
                <w:szCs w:val="24"/>
              </w:rPr>
              <w:t>2008）3类标准要求</w:t>
            </w:r>
            <w:r>
              <w:rPr>
                <w:rFonts w:hint="eastAsia" w:ascii="Times New Roman" w:hAnsi="Times New Roman" w:cs="Times New Roman"/>
                <w:color w:val="auto"/>
                <w:kern w:val="21"/>
                <w:sz w:val="24"/>
                <w:szCs w:val="24"/>
                <w:lang w:eastAsia="zh-CN"/>
              </w:rPr>
              <w:t>，西厂界</w:t>
            </w:r>
            <w:r>
              <w:rPr>
                <w:rFonts w:ascii="Times New Roman" w:hAnsi="Times New Roman" w:cs="Times New Roman"/>
                <w:color w:val="auto"/>
                <w:kern w:val="21"/>
                <w:sz w:val="24"/>
                <w:szCs w:val="24"/>
              </w:rPr>
              <w:t>噪声值能够满足《工业企业厂界环境噪声排放标准》（GB12348</w:t>
            </w:r>
            <w:r>
              <w:rPr>
                <w:rFonts w:hint="default" w:ascii="Times New Roman" w:hAnsi="Times New Roman" w:cs="Times New Roman"/>
                <w:color w:val="auto"/>
                <w:kern w:val="21"/>
                <w:sz w:val="24"/>
                <w:szCs w:val="24"/>
                <w:lang w:val="en-US" w:eastAsia="zh-CN"/>
              </w:rPr>
              <w:t>-</w:t>
            </w:r>
            <w:r>
              <w:rPr>
                <w:rFonts w:ascii="Times New Roman" w:hAnsi="Times New Roman" w:cs="Times New Roman"/>
                <w:color w:val="auto"/>
                <w:kern w:val="21"/>
                <w:sz w:val="24"/>
                <w:szCs w:val="24"/>
              </w:rPr>
              <w:t>2008）</w:t>
            </w:r>
            <w:r>
              <w:rPr>
                <w:rFonts w:hint="eastAsia" w:ascii="Times New Roman" w:hAnsi="Times New Roman" w:cs="Times New Roman"/>
                <w:color w:val="auto"/>
                <w:kern w:val="21"/>
                <w:sz w:val="24"/>
                <w:szCs w:val="24"/>
                <w:lang w:val="en-US" w:eastAsia="zh-CN"/>
              </w:rPr>
              <w:t>4</w:t>
            </w:r>
            <w:r>
              <w:rPr>
                <w:rFonts w:ascii="Times New Roman" w:hAnsi="Times New Roman" w:cs="Times New Roman"/>
                <w:color w:val="auto"/>
                <w:kern w:val="21"/>
                <w:sz w:val="24"/>
                <w:szCs w:val="24"/>
              </w:rPr>
              <w:t>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9"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电磁辐射</w:t>
            </w:r>
          </w:p>
        </w:tc>
        <w:tc>
          <w:tcPr>
            <w:tcW w:w="7495" w:type="dxa"/>
            <w:gridSpan w:val="4"/>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9"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固体废物</w:t>
            </w:r>
          </w:p>
        </w:tc>
        <w:tc>
          <w:tcPr>
            <w:tcW w:w="7495" w:type="dxa"/>
            <w:gridSpan w:val="4"/>
            <w:vAlign w:val="center"/>
          </w:tcPr>
          <w:p>
            <w:pPr>
              <w:spacing w:line="360" w:lineRule="exact"/>
              <w:jc w:val="left"/>
              <w:rPr>
                <w:rFonts w:ascii="Times New Roman" w:hAnsi="Times New Roman" w:cs="Times New Roman"/>
                <w:color w:val="auto"/>
                <w:kern w:val="21"/>
                <w:sz w:val="24"/>
                <w:szCs w:val="24"/>
              </w:rPr>
            </w:pPr>
            <w:r>
              <w:rPr>
                <w:rFonts w:hint="default" w:ascii="Times New Roman" w:hAnsi="Times New Roman" w:cs="Times New Roman"/>
                <w:color w:val="auto"/>
                <w:kern w:val="21"/>
                <w:sz w:val="24"/>
                <w:szCs w:val="24"/>
                <w:lang w:eastAsia="zh-CN"/>
              </w:rPr>
              <w:t>固废主要为除尘器收尘、</w:t>
            </w:r>
            <w:r>
              <w:rPr>
                <w:rFonts w:hint="eastAsia" w:ascii="Times New Roman" w:hAnsi="Times New Roman" w:cs="Times New Roman"/>
                <w:color w:val="auto"/>
                <w:kern w:val="21"/>
                <w:sz w:val="24"/>
                <w:szCs w:val="24"/>
                <w:lang w:eastAsia="zh-CN"/>
              </w:rPr>
              <w:t>废轧制油及沾染物、废硅藻土、</w:t>
            </w:r>
            <w:r>
              <w:rPr>
                <w:rFonts w:hint="eastAsia" w:ascii="Times New Roman" w:hAnsi="Times New Roman" w:cs="Times New Roman"/>
                <w:color w:val="auto"/>
                <w:kern w:val="21"/>
                <w:sz w:val="24"/>
                <w:szCs w:val="24"/>
                <w:lang w:val="en-US" w:eastAsia="zh-CN"/>
              </w:rPr>
              <w:t>油雾净化器废油脂</w:t>
            </w:r>
            <w:r>
              <w:rPr>
                <w:rFonts w:hint="default" w:ascii="Times New Roman" w:hAnsi="Times New Roman" w:cs="Times New Roman"/>
                <w:color w:val="auto"/>
                <w:kern w:val="21"/>
                <w:sz w:val="24"/>
                <w:szCs w:val="24"/>
              </w:rPr>
              <w:t>。</w:t>
            </w:r>
            <w:r>
              <w:rPr>
                <w:rFonts w:hint="default" w:ascii="Times New Roman" w:hAnsi="Times New Roman" w:cs="Times New Roman"/>
                <w:color w:val="auto"/>
                <w:kern w:val="21"/>
                <w:sz w:val="24"/>
                <w:szCs w:val="24"/>
                <w:lang w:eastAsia="zh-CN"/>
              </w:rPr>
              <w:t>除尘器收尘、</w:t>
            </w:r>
            <w:r>
              <w:rPr>
                <w:rFonts w:hint="eastAsia" w:ascii="Times New Roman" w:hAnsi="Times New Roman" w:cs="Times New Roman"/>
                <w:color w:val="auto"/>
                <w:kern w:val="21"/>
                <w:sz w:val="24"/>
                <w:szCs w:val="24"/>
                <w:lang w:val="en-US" w:eastAsia="zh-CN"/>
              </w:rPr>
              <w:t>废</w:t>
            </w:r>
            <w:r>
              <w:rPr>
                <w:rFonts w:hint="default" w:ascii="Times New Roman" w:hAnsi="Times New Roman" w:cs="Times New Roman"/>
                <w:color w:val="auto"/>
                <w:kern w:val="21"/>
                <w:sz w:val="24"/>
                <w:szCs w:val="24"/>
                <w:lang w:eastAsia="zh-CN"/>
              </w:rPr>
              <w:t>硅藻土、废轧制油</w:t>
            </w:r>
            <w:r>
              <w:rPr>
                <w:rFonts w:hint="eastAsia" w:ascii="Times New Roman" w:hAnsi="Times New Roman" w:cs="Times New Roman"/>
                <w:color w:val="auto"/>
                <w:kern w:val="21"/>
                <w:sz w:val="24"/>
                <w:szCs w:val="24"/>
                <w:lang w:eastAsia="zh-CN"/>
              </w:rPr>
              <w:t>、油雾净化器产生的废油脂</w:t>
            </w:r>
            <w:r>
              <w:rPr>
                <w:rFonts w:hint="default" w:ascii="Times New Roman" w:hAnsi="Times New Roman" w:cs="Times New Roman"/>
                <w:color w:val="auto"/>
                <w:kern w:val="21"/>
                <w:sz w:val="24"/>
                <w:szCs w:val="24"/>
                <w:lang w:eastAsia="zh-CN"/>
              </w:rPr>
              <w:t>分别交由相应资质单位处理</w:t>
            </w:r>
            <w:r>
              <w:rPr>
                <w:rFonts w:hint="default" w:ascii="Times New Roman" w:hAnsi="Times New Roman" w:cs="Times New Roman"/>
                <w:color w:val="auto"/>
                <w:kern w:val="2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9"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土壤及地下水污染防治措施</w:t>
            </w:r>
          </w:p>
        </w:tc>
        <w:tc>
          <w:tcPr>
            <w:tcW w:w="7495" w:type="dxa"/>
            <w:gridSpan w:val="4"/>
            <w:vAlign w:val="center"/>
          </w:tcPr>
          <w:p>
            <w:pPr>
              <w:spacing w:line="360" w:lineRule="exact"/>
              <w:ind w:firstLine="480" w:firstLineChars="200"/>
              <w:jc w:val="left"/>
              <w:rPr>
                <w:rFonts w:ascii="Times New Roman" w:hAnsi="Times New Roman" w:cs="Times New Roman"/>
                <w:color w:val="auto"/>
                <w:kern w:val="21"/>
                <w:sz w:val="24"/>
                <w:szCs w:val="24"/>
              </w:rPr>
            </w:pPr>
            <w:r>
              <w:rPr>
                <w:rFonts w:hint="default" w:ascii="Times New Roman" w:hAnsi="Times New Roman" w:cs="Times New Roman"/>
                <w:color w:val="auto"/>
                <w:kern w:val="21"/>
                <w:sz w:val="24"/>
                <w:szCs w:val="24"/>
                <w:lang w:eastAsia="zh-CN"/>
              </w:rPr>
              <w:t>危废间、污水处理站</w:t>
            </w:r>
            <w:r>
              <w:rPr>
                <w:rFonts w:hint="default" w:ascii="Times New Roman" w:hAnsi="Times New Roman" w:cs="Times New Roman"/>
                <w:color w:val="auto"/>
                <w:kern w:val="21"/>
                <w:sz w:val="24"/>
                <w:szCs w:val="24"/>
              </w:rPr>
              <w:t>重点区域地面应进行防渗设计，防渗层为至少1m厚粘土层（渗透系数≤10</w:t>
            </w:r>
            <w:r>
              <w:rPr>
                <w:rFonts w:hint="default" w:ascii="Times New Roman" w:hAnsi="Times New Roman" w:cs="Times New Roman"/>
                <w:color w:val="auto"/>
                <w:kern w:val="21"/>
                <w:sz w:val="24"/>
                <w:szCs w:val="24"/>
                <w:vertAlign w:val="superscript"/>
              </w:rPr>
              <w:t>-7</w:t>
            </w:r>
            <w:r>
              <w:rPr>
                <w:rFonts w:hint="default" w:ascii="Times New Roman" w:hAnsi="Times New Roman" w:cs="Times New Roman"/>
                <w:color w:val="auto"/>
                <w:kern w:val="21"/>
                <w:sz w:val="24"/>
                <w:szCs w:val="24"/>
              </w:rPr>
              <w:t>cm/s），或2mm厚高密度聚乙烯，或至少2mm厚的其它人工材料（渗透系数≤10</w:t>
            </w:r>
            <w:r>
              <w:rPr>
                <w:rFonts w:hint="default" w:ascii="Times New Roman" w:hAnsi="Times New Roman" w:cs="Times New Roman"/>
                <w:color w:val="auto"/>
                <w:kern w:val="21"/>
                <w:sz w:val="24"/>
                <w:szCs w:val="24"/>
                <w:vertAlign w:val="superscript"/>
              </w:rPr>
              <w:t>-10</w:t>
            </w:r>
            <w:r>
              <w:rPr>
                <w:rFonts w:hint="default" w:ascii="Times New Roman" w:hAnsi="Times New Roman" w:cs="Times New Roman"/>
                <w:color w:val="auto"/>
                <w:kern w:val="21"/>
                <w:sz w:val="24"/>
                <w:szCs w:val="24"/>
              </w:rPr>
              <w:t>cm/s）。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9"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生态保护措施</w:t>
            </w:r>
          </w:p>
        </w:tc>
        <w:tc>
          <w:tcPr>
            <w:tcW w:w="7495" w:type="dxa"/>
            <w:gridSpan w:val="4"/>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9"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环境风险防范措施</w:t>
            </w:r>
          </w:p>
        </w:tc>
        <w:tc>
          <w:tcPr>
            <w:tcW w:w="7495" w:type="dxa"/>
            <w:gridSpan w:val="4"/>
            <w:vAlign w:val="center"/>
          </w:tcPr>
          <w:p>
            <w:pPr>
              <w:pStyle w:val="16"/>
              <w:spacing w:line="360" w:lineRule="auto"/>
              <w:outlineLvl w:val="9"/>
              <w:rPr>
                <w:rFonts w:hint="eastAsia" w:ascii="Times New Roman" w:hAnsi="Times New Roman" w:cs="Times New Roman"/>
                <w:b w:val="0"/>
                <w:bCs/>
                <w:color w:val="auto"/>
                <w:sz w:val="24"/>
                <w:highlight w:val="none"/>
                <w:u w:val="none" w:color="auto"/>
                <w:lang w:eastAsia="zh-CN"/>
              </w:rPr>
            </w:pPr>
            <w:r>
              <w:rPr>
                <w:rFonts w:hint="eastAsia" w:ascii="Times New Roman" w:hAnsi="Times New Roman" w:cs="Times New Roman"/>
                <w:b w:val="0"/>
                <w:bCs/>
                <w:color w:val="auto"/>
                <w:sz w:val="24"/>
                <w:highlight w:val="none"/>
                <w:u w:val="none" w:color="auto"/>
                <w:lang w:eastAsia="zh-CN"/>
              </w:rPr>
              <w:t>油类风险防范措施：泄露处理方法：1、准时跟换新的油桶、2、把地面上能铲起的油液铲起、3、翻开门使空气流通、4、用清水和洗衣粉清洗地面；油桶着火处理方法：1、准时封堵住桶口，使油液与空气隔离；2、小面积起火使用沙土、灭火器对火源进展扑救；3、严禁用水灭火；4、转移火源四周物品；5、通知其它员工帮助扑灭，启动车间消防应急预案并报告上级领导；6、火势难已把握时报警并紧急疏散撤离。</w:t>
            </w:r>
          </w:p>
          <w:p>
            <w:pPr>
              <w:pStyle w:val="16"/>
              <w:spacing w:line="360" w:lineRule="auto"/>
              <w:outlineLvl w:val="9"/>
              <w:rPr>
                <w:rFonts w:ascii="Times New Roman" w:hAnsi="Times New Roman" w:cs="Times New Roman"/>
                <w:color w:val="auto"/>
                <w:kern w:val="21"/>
                <w:sz w:val="24"/>
                <w:szCs w:val="24"/>
              </w:rPr>
            </w:pPr>
            <w:r>
              <w:rPr>
                <w:rFonts w:hint="eastAsia" w:ascii="Times New Roman" w:hAnsi="Times New Roman" w:cs="Times New Roman"/>
                <w:b w:val="0"/>
                <w:bCs/>
                <w:color w:val="auto"/>
                <w:sz w:val="24"/>
                <w:highlight w:val="none"/>
                <w:u w:val="none" w:color="auto"/>
                <w:lang w:val="en-US" w:eastAsia="zh-CN"/>
              </w:rPr>
              <w:t>天燃气管道泄漏风险防范措施：</w:t>
            </w:r>
            <w:r>
              <w:rPr>
                <w:rFonts w:hint="default" w:ascii="Times New Roman" w:hAnsi="Times New Roman" w:cs="Times New Roman"/>
                <w:b w:val="0"/>
                <w:bCs/>
                <w:color w:val="auto"/>
                <w:sz w:val="24"/>
                <w:highlight w:val="none"/>
                <w:u w:val="none" w:color="auto"/>
                <w:lang w:val="en-US" w:eastAsia="zh-CN"/>
              </w:rPr>
              <w:t>加强天然气管道的运行维护，定期检查阀门，加强安全管理，确保其安全运行。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9"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其他环境</w:t>
            </w:r>
          </w:p>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管理要求</w:t>
            </w:r>
          </w:p>
        </w:tc>
        <w:tc>
          <w:tcPr>
            <w:tcW w:w="7495" w:type="dxa"/>
            <w:gridSpan w:val="4"/>
            <w:vAlign w:val="center"/>
          </w:tcPr>
          <w:p>
            <w:pPr>
              <w:spacing w:line="360" w:lineRule="exact"/>
              <w:jc w:val="left"/>
              <w:rPr>
                <w:rFonts w:ascii="Times New Roman" w:hAnsi="Times New Roman" w:cs="Times New Roman"/>
                <w:color w:val="auto"/>
                <w:kern w:val="21"/>
                <w:sz w:val="24"/>
                <w:szCs w:val="24"/>
              </w:rPr>
            </w:pPr>
            <w:r>
              <w:rPr>
                <w:rFonts w:ascii="Times New Roman" w:hAnsi="Times New Roman" w:cs="Times New Roman"/>
                <w:color w:val="auto"/>
                <w:kern w:val="21"/>
                <w:sz w:val="24"/>
                <w:szCs w:val="24"/>
              </w:rPr>
              <w:t>①建立完善的环境管理制度，设立专门环境管理机构，建立完善的环境监测制度。</w:t>
            </w:r>
          </w:p>
          <w:p>
            <w:pPr>
              <w:spacing w:line="360" w:lineRule="exact"/>
              <w:jc w:val="left"/>
              <w:rPr>
                <w:rFonts w:ascii="Times New Roman" w:hAnsi="Times New Roman" w:cs="Times New Roman"/>
                <w:color w:val="auto"/>
                <w:kern w:val="21"/>
                <w:sz w:val="24"/>
                <w:szCs w:val="24"/>
              </w:rPr>
            </w:pPr>
            <w:r>
              <w:rPr>
                <w:rFonts w:ascii="Times New Roman" w:hAnsi="Times New Roman" w:cs="Times New Roman"/>
                <w:color w:val="auto"/>
                <w:kern w:val="21"/>
                <w:sz w:val="24"/>
                <w:szCs w:val="24"/>
              </w:rPr>
              <w:t>②按照环境监测计划对项目废气（排气筒及无组织）、厂界噪声等定期进行监测。</w:t>
            </w:r>
          </w:p>
          <w:p>
            <w:pPr>
              <w:spacing w:line="360" w:lineRule="exact"/>
              <w:jc w:val="left"/>
              <w:rPr>
                <w:rFonts w:ascii="Times New Roman" w:hAnsi="Times New Roman" w:cs="Times New Roman"/>
                <w:color w:val="auto"/>
                <w:kern w:val="21"/>
                <w:sz w:val="24"/>
                <w:szCs w:val="24"/>
              </w:rPr>
            </w:pPr>
            <w:r>
              <w:rPr>
                <w:rFonts w:ascii="Times New Roman" w:hAnsi="Times New Roman" w:cs="Times New Roman"/>
                <w:color w:val="auto"/>
                <w:kern w:val="21"/>
                <w:sz w:val="24"/>
                <w:szCs w:val="24"/>
              </w:rPr>
              <w:t>③废气排气筒预留监测口并设立相应标志牌。</w:t>
            </w:r>
          </w:p>
          <w:p>
            <w:pPr>
              <w:spacing w:line="360" w:lineRule="exact"/>
              <w:jc w:val="left"/>
              <w:rPr>
                <w:rFonts w:ascii="Times New Roman" w:hAnsi="Times New Roman" w:cs="Times New Roman"/>
                <w:color w:val="auto"/>
                <w:kern w:val="21"/>
                <w:sz w:val="24"/>
                <w:szCs w:val="24"/>
              </w:rPr>
            </w:pPr>
            <w:r>
              <w:rPr>
                <w:rFonts w:ascii="Times New Roman" w:hAnsi="Times New Roman" w:cs="Times New Roman"/>
                <w:color w:val="auto"/>
                <w:kern w:val="21"/>
                <w:sz w:val="24"/>
                <w:szCs w:val="24"/>
              </w:rPr>
              <w:t>④按照《固定源废气监测技术规范》（HJ/T397-2007）要求设置采样口。</w:t>
            </w:r>
          </w:p>
          <w:p>
            <w:pPr>
              <w:spacing w:line="360" w:lineRule="exact"/>
              <w:jc w:val="left"/>
              <w:rPr>
                <w:rFonts w:ascii="Times New Roman" w:hAnsi="Times New Roman" w:cs="Times New Roman"/>
                <w:color w:val="auto"/>
                <w:kern w:val="21"/>
                <w:sz w:val="24"/>
                <w:szCs w:val="24"/>
              </w:rPr>
            </w:pPr>
          </w:p>
          <w:p>
            <w:pPr>
              <w:spacing w:line="360" w:lineRule="exact"/>
              <w:jc w:val="left"/>
              <w:rPr>
                <w:rFonts w:ascii="Times New Roman" w:hAnsi="Times New Roman" w:cs="Times New Roman"/>
                <w:color w:val="auto"/>
                <w:kern w:val="21"/>
                <w:sz w:val="24"/>
                <w:szCs w:val="24"/>
              </w:rPr>
            </w:pPr>
          </w:p>
          <w:p>
            <w:pPr>
              <w:spacing w:line="360" w:lineRule="exact"/>
              <w:jc w:val="left"/>
              <w:rPr>
                <w:rFonts w:ascii="Times New Roman" w:hAnsi="Times New Roman" w:cs="Times New Roman"/>
                <w:color w:val="auto"/>
                <w:kern w:val="21"/>
                <w:sz w:val="24"/>
                <w:szCs w:val="24"/>
              </w:rPr>
            </w:pPr>
          </w:p>
          <w:p>
            <w:pPr>
              <w:spacing w:line="360" w:lineRule="exact"/>
              <w:jc w:val="left"/>
              <w:rPr>
                <w:rFonts w:ascii="Times New Roman" w:hAnsi="Times New Roman" w:cs="Times New Roman"/>
                <w:color w:val="auto"/>
                <w:kern w:val="21"/>
                <w:sz w:val="24"/>
                <w:szCs w:val="24"/>
              </w:rPr>
            </w:pPr>
          </w:p>
          <w:p>
            <w:pPr>
              <w:spacing w:line="360" w:lineRule="exact"/>
              <w:jc w:val="left"/>
              <w:rPr>
                <w:rFonts w:ascii="Times New Roman" w:hAnsi="Times New Roman" w:cs="Times New Roman"/>
                <w:color w:val="auto"/>
                <w:kern w:val="21"/>
                <w:sz w:val="24"/>
                <w:szCs w:val="24"/>
              </w:rPr>
            </w:pPr>
          </w:p>
          <w:p>
            <w:pPr>
              <w:spacing w:line="360" w:lineRule="exact"/>
              <w:jc w:val="left"/>
              <w:rPr>
                <w:rFonts w:ascii="Times New Roman" w:hAnsi="Times New Roman" w:cs="Times New Roman"/>
                <w:color w:val="auto"/>
                <w:kern w:val="21"/>
                <w:sz w:val="24"/>
                <w:szCs w:val="24"/>
              </w:rPr>
            </w:pPr>
          </w:p>
          <w:p>
            <w:pPr>
              <w:spacing w:line="360" w:lineRule="exact"/>
              <w:jc w:val="left"/>
              <w:rPr>
                <w:rFonts w:ascii="Times New Roman" w:hAnsi="Times New Roman" w:cs="Times New Roman"/>
                <w:color w:val="auto"/>
                <w:kern w:val="21"/>
                <w:sz w:val="24"/>
                <w:szCs w:val="24"/>
              </w:rPr>
            </w:pPr>
          </w:p>
          <w:p>
            <w:pPr>
              <w:spacing w:line="360" w:lineRule="exact"/>
              <w:jc w:val="left"/>
              <w:rPr>
                <w:rFonts w:ascii="Times New Roman" w:hAnsi="Times New Roman" w:cs="Times New Roman"/>
                <w:color w:val="auto"/>
                <w:kern w:val="21"/>
                <w:sz w:val="24"/>
                <w:szCs w:val="24"/>
              </w:rPr>
            </w:pPr>
          </w:p>
          <w:p>
            <w:pPr>
              <w:spacing w:line="360" w:lineRule="exact"/>
              <w:jc w:val="left"/>
              <w:rPr>
                <w:rFonts w:ascii="Times New Roman" w:hAnsi="Times New Roman" w:cs="Times New Roman"/>
                <w:color w:val="auto"/>
                <w:kern w:val="21"/>
                <w:sz w:val="24"/>
                <w:szCs w:val="24"/>
              </w:rPr>
            </w:pPr>
          </w:p>
          <w:p>
            <w:pPr>
              <w:spacing w:line="360" w:lineRule="exact"/>
              <w:jc w:val="left"/>
              <w:rPr>
                <w:rFonts w:ascii="Times New Roman" w:hAnsi="Times New Roman" w:cs="Times New Roman"/>
                <w:color w:val="auto"/>
                <w:kern w:val="21"/>
                <w:sz w:val="24"/>
                <w:szCs w:val="24"/>
              </w:rPr>
            </w:pPr>
          </w:p>
          <w:p>
            <w:pPr>
              <w:spacing w:line="360" w:lineRule="exact"/>
              <w:jc w:val="left"/>
              <w:rPr>
                <w:rFonts w:ascii="Times New Roman" w:hAnsi="Times New Roman" w:cs="Times New Roman"/>
                <w:color w:val="auto"/>
                <w:kern w:val="21"/>
                <w:sz w:val="24"/>
                <w:szCs w:val="24"/>
              </w:rPr>
            </w:pPr>
          </w:p>
          <w:p>
            <w:pPr>
              <w:spacing w:line="360" w:lineRule="exact"/>
              <w:jc w:val="left"/>
              <w:rPr>
                <w:rFonts w:ascii="Times New Roman" w:hAnsi="Times New Roman" w:cs="Times New Roman"/>
                <w:color w:val="auto"/>
                <w:kern w:val="21"/>
                <w:sz w:val="24"/>
                <w:szCs w:val="24"/>
              </w:rPr>
            </w:pPr>
          </w:p>
          <w:p>
            <w:pPr>
              <w:spacing w:line="360" w:lineRule="exact"/>
              <w:jc w:val="left"/>
              <w:rPr>
                <w:rFonts w:ascii="Times New Roman" w:hAnsi="Times New Roman" w:cs="Times New Roman"/>
                <w:color w:val="auto"/>
                <w:kern w:val="21"/>
                <w:sz w:val="24"/>
                <w:szCs w:val="24"/>
              </w:rPr>
            </w:pPr>
          </w:p>
          <w:p>
            <w:pPr>
              <w:spacing w:line="360" w:lineRule="exact"/>
              <w:jc w:val="left"/>
              <w:rPr>
                <w:rFonts w:ascii="Times New Roman" w:hAnsi="Times New Roman" w:cs="Times New Roman"/>
                <w:color w:val="auto"/>
                <w:kern w:val="21"/>
                <w:sz w:val="24"/>
                <w:szCs w:val="24"/>
              </w:rPr>
            </w:pPr>
          </w:p>
          <w:p>
            <w:pPr>
              <w:spacing w:line="360" w:lineRule="exact"/>
              <w:jc w:val="left"/>
              <w:rPr>
                <w:rFonts w:ascii="Times New Roman" w:hAnsi="Times New Roman" w:cs="Times New Roman"/>
                <w:color w:val="auto"/>
                <w:kern w:val="21"/>
                <w:sz w:val="24"/>
                <w:szCs w:val="24"/>
              </w:rPr>
            </w:pPr>
          </w:p>
          <w:p>
            <w:pPr>
              <w:spacing w:line="360" w:lineRule="exact"/>
              <w:jc w:val="left"/>
              <w:rPr>
                <w:rFonts w:hint="eastAsia" w:ascii="Times New Roman" w:hAnsi="Times New Roman" w:eastAsia="宋体" w:cs="Times New Roman"/>
                <w:color w:val="auto"/>
                <w:kern w:val="21"/>
                <w:sz w:val="24"/>
                <w:szCs w:val="24"/>
                <w:lang w:eastAsia="zh-CN"/>
              </w:rPr>
            </w:pPr>
          </w:p>
        </w:tc>
      </w:tr>
    </w:tbl>
    <w:p>
      <w:pPr>
        <w:jc w:val="center"/>
        <w:rPr>
          <w:rFonts w:hint="default" w:ascii="Times New Roman" w:hAnsi="Times New Roman" w:cs="Times New Roman"/>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cs="Times New Roman"/>
          <w:color w:val="auto"/>
          <w:lang w:val="en-US" w:eastAsia="zh-CN"/>
        </w:rPr>
      </w:pPr>
      <w:r>
        <w:rPr>
          <w:rFonts w:hint="default" w:ascii="Times New Roman" w:hAnsi="Times New Roman" w:eastAsia="黑体" w:cs="Times New Roman"/>
          <w:color w:val="auto"/>
          <w:sz w:val="28"/>
          <w:szCs w:val="36"/>
          <w:lang w:val="en-US" w:eastAsia="zh-CN"/>
        </w:rPr>
        <w:t>六、结论</w:t>
      </w:r>
    </w:p>
    <w:tbl>
      <w:tblPr>
        <w:tblStyle w:val="27"/>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26" w:hRule="atLeast"/>
          <w:jc w:val="center"/>
        </w:trPr>
        <w:tc>
          <w:tcPr>
            <w:tcW w:w="85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kern w:val="21"/>
                <w:sz w:val="24"/>
                <w:szCs w:val="24"/>
                <w:lang w:eastAsia="zh-CN"/>
              </w:rPr>
            </w:pPr>
            <w:r>
              <w:rPr>
                <w:rFonts w:hint="default" w:ascii="Times New Roman" w:hAnsi="Times New Roman" w:cs="Times New Roman"/>
                <w:color w:val="auto"/>
                <w:spacing w:val="0"/>
                <w:kern w:val="21"/>
                <w:sz w:val="24"/>
                <w:szCs w:val="24"/>
              </w:rPr>
              <w:t>综上所述，本项目选址、布局、规模符合相关产业政策、环境保护法律法规和相关法定规划要求；所在区域环境质量良好，区域环境治理措施能满足区域环境质量改善目标管理要求；采取的污染防治措施合理、有效，项目排放的各类污染物能达到国家和地方排放标准；污染物排放总量可在区域内平衡解决。故本项目在落实本报告表提出的各项环保措施要求，严格执行环保“三同时”的前提下，从环境保护角度，本项目是合理可行的。</w:t>
            </w:r>
          </w:p>
        </w:tc>
      </w:tr>
    </w:tbl>
    <w:p>
      <w:pPr>
        <w:pStyle w:val="26"/>
        <w:rPr>
          <w:rFonts w:hint="default" w:ascii="Times New Roman" w:hAnsi="Times New Roman" w:cs="Times New Roman"/>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hint="default" w:ascii="Times New Roman" w:hAnsi="Times New Roman" w:eastAsia="黑体" w:cs="Times New Roman"/>
          <w:snapToGrid w:val="0"/>
          <w:color w:val="auto"/>
          <w:spacing w:val="0"/>
          <w:kern w:val="21"/>
          <w:sz w:val="21"/>
          <w:szCs w:val="21"/>
          <w:lang w:eastAsia="zh-CN"/>
        </w:rPr>
      </w:pPr>
      <w:r>
        <w:rPr>
          <w:rFonts w:hint="default" w:ascii="Times New Roman" w:hAnsi="Times New Roman" w:eastAsia="黑体" w:cs="Times New Roman"/>
          <w:snapToGrid w:val="0"/>
          <w:color w:val="auto"/>
          <w:spacing w:val="0"/>
          <w:kern w:val="21"/>
          <w:sz w:val="32"/>
          <w:szCs w:val="32"/>
        </w:rPr>
        <w:t>附表</w:t>
      </w:r>
    </w:p>
    <w:p>
      <w:pPr>
        <w:pStyle w:val="24"/>
        <w:adjustRightInd w:val="0"/>
        <w:snapToGrid w:val="0"/>
        <w:spacing w:before="0" w:beforeAutospacing="0" w:after="0" w:afterAutospacing="0" w:line="240" w:lineRule="auto"/>
        <w:jc w:val="center"/>
        <w:outlineLvl w:val="0"/>
        <w:rPr>
          <w:rFonts w:hint="default" w:ascii="Times New Roman" w:hAnsi="Times New Roman" w:eastAsia="方正小标宋_GBK" w:cs="Times New Roman"/>
          <w:snapToGrid w:val="0"/>
          <w:color w:val="auto"/>
          <w:spacing w:val="0"/>
          <w:kern w:val="21"/>
          <w:sz w:val="38"/>
          <w:szCs w:val="38"/>
        </w:rPr>
      </w:pPr>
      <w:r>
        <w:rPr>
          <w:rFonts w:hint="default" w:ascii="Times New Roman" w:hAnsi="Times New Roman" w:eastAsia="方正小标宋_GBK" w:cs="Times New Roman"/>
          <w:snapToGrid w:val="0"/>
          <w:color w:val="auto"/>
          <w:spacing w:val="0"/>
          <w:kern w:val="21"/>
          <w:sz w:val="38"/>
          <w:szCs w:val="38"/>
        </w:rPr>
        <w:t>建设项目污染物排放量汇总表</w:t>
      </w:r>
    </w:p>
    <w:tbl>
      <w:tblPr>
        <w:tblStyle w:val="27"/>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67"/>
        <w:gridCol w:w="1439"/>
        <w:gridCol w:w="1276"/>
        <w:gridCol w:w="1701"/>
        <w:gridCol w:w="1559"/>
        <w:gridCol w:w="1761"/>
        <w:gridCol w:w="1355"/>
        <w:gridCol w:w="14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0" w:type="dxa"/>
            <w:tcBorders>
              <w:tl2br w:val="single" w:color="auto" w:sz="4" w:space="0"/>
            </w:tcBorders>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jc w:val="righ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项目</w:t>
            </w:r>
          </w:p>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分类</w:t>
            </w:r>
          </w:p>
        </w:tc>
        <w:tc>
          <w:tcPr>
            <w:tcW w:w="2367"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污染物名称</w:t>
            </w:r>
          </w:p>
        </w:tc>
        <w:tc>
          <w:tcPr>
            <w:tcW w:w="1439"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w:t>
            </w:r>
            <w:r>
              <w:rPr>
                <w:rFonts w:hint="eastAsia" w:ascii="Times New Roman" w:hAnsi="Times New Roman" w:cs="Times New Roman"/>
                <w:snapToGrid w:val="0"/>
                <w:color w:val="auto"/>
                <w:spacing w:val="0"/>
                <w:kern w:val="21"/>
                <w:sz w:val="21"/>
                <w:szCs w:val="21"/>
                <w:lang w:eastAsia="zh-CN"/>
              </w:rPr>
              <w:t>（</w:t>
            </w:r>
            <w:r>
              <w:rPr>
                <w:rFonts w:hint="eastAsia" w:ascii="Times New Roman" w:hAnsi="Times New Roman" w:cs="Times New Roman"/>
                <w:snapToGrid w:val="0"/>
                <w:color w:val="auto"/>
                <w:spacing w:val="0"/>
                <w:kern w:val="21"/>
                <w:sz w:val="21"/>
                <w:szCs w:val="21"/>
                <w:lang w:val="en-US" w:eastAsia="zh-CN"/>
              </w:rPr>
              <w:t>含拟建</w:t>
            </w:r>
            <w:r>
              <w:rPr>
                <w:rFonts w:hint="eastAsia" w:ascii="Times New Roman" w:hAnsi="Times New Roman" w:cs="Times New Roman"/>
                <w:snapToGrid w:val="0"/>
                <w:color w:val="auto"/>
                <w:spacing w:val="0"/>
                <w:kern w:val="21"/>
                <w:sz w:val="21"/>
                <w:szCs w:val="21"/>
                <w:lang w:eastAsia="zh-CN"/>
              </w:rPr>
              <w:t>）</w:t>
            </w:r>
            <w:r>
              <w:rPr>
                <w:rFonts w:hint="default" w:ascii="Times New Roman" w:hAnsi="Times New Roman" w:eastAsia="宋体" w:cs="Times New Roman"/>
                <w:snapToGrid w:val="0"/>
                <w:color w:val="auto"/>
                <w:spacing w:val="0"/>
                <w:kern w:val="21"/>
                <w:sz w:val="21"/>
                <w:szCs w:val="21"/>
              </w:rPr>
              <w:t>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1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①</w:t>
            </w:r>
            <w:r>
              <w:rPr>
                <w:rFonts w:hint="default" w:ascii="Times New Roman" w:hAnsi="Times New Roman" w:eastAsia="宋体" w:cs="Times New Roman"/>
                <w:snapToGrid w:val="0"/>
                <w:color w:val="auto"/>
                <w:spacing w:val="0"/>
                <w:kern w:val="21"/>
                <w:sz w:val="21"/>
                <w:szCs w:val="21"/>
              </w:rPr>
              <w:fldChar w:fldCharType="end"/>
            </w:r>
          </w:p>
        </w:tc>
        <w:tc>
          <w:tcPr>
            <w:tcW w:w="1276"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w:t>
            </w:r>
          </w:p>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许可排放量</w:t>
            </w:r>
          </w:p>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2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snapToGrid w:val="0"/>
                <w:color w:val="auto"/>
                <w:spacing w:val="0"/>
                <w:kern w:val="21"/>
                <w:sz w:val="21"/>
                <w:szCs w:val="21"/>
              </w:rPr>
              <w:t>②</w:t>
            </w:r>
            <w:r>
              <w:rPr>
                <w:rFonts w:hint="default" w:ascii="Times New Roman" w:hAnsi="Times New Roman" w:eastAsia="宋体" w:cs="Times New Roman"/>
                <w:snapToGrid w:val="0"/>
                <w:color w:val="auto"/>
                <w:spacing w:val="0"/>
                <w:kern w:val="21"/>
                <w:sz w:val="21"/>
                <w:szCs w:val="21"/>
              </w:rPr>
              <w:fldChar w:fldCharType="end"/>
            </w:r>
          </w:p>
        </w:tc>
        <w:tc>
          <w:tcPr>
            <w:tcW w:w="1701"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在建工程</w:t>
            </w:r>
          </w:p>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3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③</w:t>
            </w:r>
            <w:r>
              <w:rPr>
                <w:rFonts w:hint="default" w:ascii="Times New Roman" w:hAnsi="Times New Roman" w:eastAsia="宋体" w:cs="Times New Roman"/>
                <w:snapToGrid w:val="0"/>
                <w:color w:val="auto"/>
                <w:spacing w:val="0"/>
                <w:kern w:val="21"/>
                <w:sz w:val="21"/>
                <w:szCs w:val="21"/>
              </w:rPr>
              <w:fldChar w:fldCharType="end"/>
            </w:r>
          </w:p>
        </w:tc>
        <w:tc>
          <w:tcPr>
            <w:tcW w:w="1559"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w:t>
            </w:r>
          </w:p>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4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④</w:t>
            </w:r>
            <w:r>
              <w:rPr>
                <w:rFonts w:hint="default" w:ascii="Times New Roman" w:hAnsi="Times New Roman" w:eastAsia="宋体" w:cs="Times New Roman"/>
                <w:snapToGrid w:val="0"/>
                <w:color w:val="auto"/>
                <w:spacing w:val="0"/>
                <w:kern w:val="21"/>
                <w:sz w:val="21"/>
                <w:szCs w:val="21"/>
              </w:rPr>
              <w:fldChar w:fldCharType="end"/>
            </w:r>
          </w:p>
        </w:tc>
        <w:tc>
          <w:tcPr>
            <w:tcW w:w="1761"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以新带老削减量</w:t>
            </w:r>
          </w:p>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（新建项目不填）</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5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⑤</w:t>
            </w:r>
            <w:r>
              <w:rPr>
                <w:rFonts w:hint="default" w:ascii="Times New Roman" w:hAnsi="Times New Roman" w:eastAsia="宋体" w:cs="Times New Roman"/>
                <w:snapToGrid w:val="0"/>
                <w:color w:val="auto"/>
                <w:spacing w:val="0"/>
                <w:kern w:val="21"/>
                <w:sz w:val="21"/>
                <w:szCs w:val="21"/>
              </w:rPr>
              <w:fldChar w:fldCharType="end"/>
            </w:r>
          </w:p>
        </w:tc>
        <w:tc>
          <w:tcPr>
            <w:tcW w:w="1355"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本项目建成后</w:t>
            </w:r>
          </w:p>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全厂排放量（固体废物产生量）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6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⑥</w:t>
            </w:r>
            <w:r>
              <w:rPr>
                <w:rFonts w:hint="default" w:ascii="Times New Roman" w:hAnsi="Times New Roman" w:eastAsia="宋体" w:cs="Times New Roman"/>
                <w:snapToGrid w:val="0"/>
                <w:color w:val="auto"/>
                <w:spacing w:val="0"/>
                <w:kern w:val="21"/>
                <w:sz w:val="21"/>
                <w:szCs w:val="21"/>
              </w:rPr>
              <w:fldChar w:fldCharType="end"/>
            </w:r>
          </w:p>
        </w:tc>
        <w:tc>
          <w:tcPr>
            <w:tcW w:w="1430" w:type="dxa"/>
            <w:noWrap w:val="0"/>
            <w:tcMar>
              <w:left w:w="28" w:type="dxa"/>
              <w:right w:w="28" w:type="dxa"/>
            </w:tcMar>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变化量</w:t>
            </w:r>
          </w:p>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7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⑦</w:t>
            </w:r>
            <w:r>
              <w:rPr>
                <w:rFonts w:hint="default" w:ascii="Times New Roman" w:hAnsi="Times New Roman" w:eastAsia="宋体" w:cs="Times New Roman"/>
                <w:snapToGrid w:val="0"/>
                <w:color w:val="auto"/>
                <w:spacing w:val="0"/>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00" w:type="dxa"/>
            <w:vMerge w:val="restart"/>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废气</w:t>
            </w:r>
          </w:p>
        </w:tc>
        <w:tc>
          <w:tcPr>
            <w:tcW w:w="2367" w:type="dxa"/>
            <w:noWrap w:val="0"/>
            <w:vAlign w:val="center"/>
          </w:tcPr>
          <w:p>
            <w:pPr>
              <w:tabs>
                <w:tab w:val="left" w:pos="540"/>
              </w:tabs>
              <w:spacing w:line="360" w:lineRule="exact"/>
              <w:jc w:val="center"/>
              <w:rPr>
                <w:rFonts w:hint="default" w:ascii="Times New Roman" w:hAnsi="Times New Roman" w:eastAsia="宋体" w:cs="Times New Roman"/>
                <w:snapToGrid w:val="0"/>
                <w:color w:val="auto"/>
                <w:spacing w:val="0"/>
                <w:kern w:val="21"/>
                <w:sz w:val="21"/>
                <w:szCs w:val="21"/>
                <w:lang w:val="en-US"/>
              </w:rPr>
            </w:pPr>
            <w:r>
              <w:rPr>
                <w:rFonts w:hint="default" w:ascii="Times New Roman" w:hAnsi="Times New Roman" w:cs="Times New Roman"/>
                <w:b w:val="0"/>
                <w:bCs w:val="0"/>
                <w:color w:val="auto"/>
                <w:szCs w:val="21"/>
                <w:u w:val="none"/>
              </w:rPr>
              <w:t>颗粒物</w:t>
            </w:r>
          </w:p>
        </w:tc>
        <w:tc>
          <w:tcPr>
            <w:tcW w:w="143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b w:val="0"/>
                <w:bCs w:val="0"/>
                <w:szCs w:val="21"/>
                <w:u w:val="none"/>
                <w:lang w:val="en-US" w:eastAsia="zh-CN"/>
              </w:rPr>
            </w:pPr>
            <w:r>
              <w:rPr>
                <w:rFonts w:hint="eastAsia" w:ascii="Times New Roman" w:hAnsi="Times New Roman" w:cs="Times New Roman"/>
                <w:b w:val="0"/>
                <w:bCs w:val="0"/>
                <w:color w:val="auto"/>
                <w:sz w:val="21"/>
                <w:szCs w:val="21"/>
                <w:highlight w:val="none"/>
                <w:u w:val="none"/>
                <w:lang w:val="en-US" w:eastAsia="zh-CN"/>
              </w:rPr>
              <w:t>0.237</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5.0824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spacing w:line="360" w:lineRule="exact"/>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u w:val="none"/>
                <w:lang w:val="en-US" w:eastAsia="zh-CN"/>
              </w:rPr>
              <w:t>0.2012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0.4382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spacing w:line="360" w:lineRule="exact"/>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u w:val="none"/>
                <w:lang w:val="en-US" w:eastAsia="zh-CN"/>
              </w:rPr>
              <w:t>+0.2012</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00" w:type="dxa"/>
            <w:vMerge w:val="continue"/>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367" w:type="dxa"/>
            <w:noWrap w:val="0"/>
            <w:vAlign w:val="center"/>
          </w:tcPr>
          <w:p>
            <w:pPr>
              <w:tabs>
                <w:tab w:val="left" w:pos="540"/>
              </w:tabs>
              <w:spacing w:line="360" w:lineRule="exact"/>
              <w:jc w:val="center"/>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Cs w:val="21"/>
                <w:u w:val="none"/>
              </w:rPr>
              <w:t>SO</w:t>
            </w:r>
            <w:r>
              <w:rPr>
                <w:rFonts w:hint="default" w:ascii="Times New Roman" w:hAnsi="Times New Roman" w:cs="Times New Roman"/>
                <w:b w:val="0"/>
                <w:bCs w:val="0"/>
                <w:color w:val="auto"/>
                <w:szCs w:val="21"/>
                <w:u w:val="none"/>
                <w:vertAlign w:val="subscript"/>
              </w:rPr>
              <w:t>2</w:t>
            </w:r>
          </w:p>
        </w:tc>
        <w:tc>
          <w:tcPr>
            <w:tcW w:w="143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b w:val="0"/>
                <w:bCs w:val="0"/>
                <w:szCs w:val="21"/>
                <w:u w:val="none"/>
                <w:lang w:val="en-US" w:eastAsia="zh-CN"/>
              </w:rPr>
            </w:pPr>
            <w:r>
              <w:rPr>
                <w:rFonts w:hint="eastAsia" w:ascii="Times New Roman" w:hAnsi="Times New Roman" w:cs="Times New Roman"/>
                <w:b w:val="0"/>
                <w:bCs w:val="0"/>
                <w:color w:val="auto"/>
                <w:sz w:val="21"/>
                <w:szCs w:val="21"/>
                <w:highlight w:val="none"/>
                <w:u w:val="none"/>
                <w:lang w:val="en-US" w:eastAsia="zh-CN"/>
              </w:rPr>
              <w:t>0.2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1.122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spacing w:line="360" w:lineRule="exact"/>
              <w:jc w:val="center"/>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u w:val="none"/>
                <w:lang w:val="en-US" w:eastAsia="zh-CN"/>
              </w:rPr>
              <w:t>0.04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0.24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spacing w:line="360" w:lineRule="exact"/>
              <w:jc w:val="center"/>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u w:val="none"/>
                <w:lang w:val="en-US" w:eastAsia="zh-CN"/>
              </w:rPr>
              <w:t>+0.04</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900" w:type="dxa"/>
            <w:vMerge w:val="continue"/>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367" w:type="dxa"/>
            <w:noWrap w:val="0"/>
            <w:vAlign w:val="center"/>
          </w:tcPr>
          <w:p>
            <w:pPr>
              <w:tabs>
                <w:tab w:val="left" w:pos="540"/>
              </w:tabs>
              <w:spacing w:line="360" w:lineRule="exact"/>
              <w:jc w:val="center"/>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Cs w:val="21"/>
                <w:u w:val="none"/>
              </w:rPr>
              <w:t>NOx</w:t>
            </w:r>
          </w:p>
        </w:tc>
        <w:tc>
          <w:tcPr>
            <w:tcW w:w="1439"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eastAsia="宋体"/>
                <w:b w:val="0"/>
                <w:bCs w:val="0"/>
                <w:szCs w:val="21"/>
                <w:u w:val="none"/>
                <w:lang w:val="en-US" w:eastAsia="zh-CN"/>
              </w:rPr>
            </w:pPr>
            <w:r>
              <w:rPr>
                <w:rFonts w:hint="eastAsia" w:ascii="Times New Roman" w:hAnsi="Times New Roman" w:cs="Times New Roman"/>
                <w:b w:val="0"/>
                <w:bCs w:val="0"/>
                <w:color w:val="auto"/>
                <w:sz w:val="21"/>
                <w:szCs w:val="21"/>
                <w:highlight w:val="none"/>
                <w:u w:val="none"/>
                <w:lang w:val="en-US" w:eastAsia="zh-CN"/>
              </w:rPr>
              <w:t>0.626</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6.551</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spacing w:line="360" w:lineRule="exact"/>
              <w:jc w:val="center"/>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u w:val="none"/>
                <w:lang w:val="en-US" w:eastAsia="zh-CN"/>
              </w:rPr>
              <w:t>0.349</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0.975</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spacing w:line="360" w:lineRule="exact"/>
              <w:jc w:val="center"/>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u w:val="none"/>
                <w:lang w:val="en-US" w:eastAsia="zh-CN"/>
              </w:rPr>
              <w:t>+0.349</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00" w:type="dxa"/>
            <w:vMerge w:val="continue"/>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367" w:type="dxa"/>
            <w:noWrap w:val="0"/>
            <w:vAlign w:val="center"/>
          </w:tcPr>
          <w:p>
            <w:pPr>
              <w:tabs>
                <w:tab w:val="left" w:pos="540"/>
              </w:tabs>
              <w:spacing w:line="360" w:lineRule="exact"/>
              <w:jc w:val="center"/>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Cs w:val="21"/>
                <w:u w:val="none"/>
              </w:rPr>
              <w:t>非甲烷总烃</w:t>
            </w:r>
          </w:p>
        </w:tc>
        <w:tc>
          <w:tcPr>
            <w:tcW w:w="1439"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宋体"/>
                <w:b w:val="0"/>
                <w:bCs w:val="0"/>
                <w:szCs w:val="21"/>
                <w:u w:val="none"/>
                <w:lang w:val="en-US" w:eastAsia="zh-CN"/>
              </w:rPr>
            </w:pPr>
            <w:r>
              <w:rPr>
                <w:rFonts w:hint="eastAsia" w:ascii="Times New Roman" w:hAnsi="Times New Roman" w:cs="Times New Roman"/>
                <w:b w:val="0"/>
                <w:bCs w:val="0"/>
                <w:color w:val="auto"/>
                <w:sz w:val="21"/>
                <w:szCs w:val="21"/>
                <w:highlight w:val="none"/>
                <w:u w:val="none"/>
                <w:lang w:val="en-US" w:eastAsia="zh-CN"/>
              </w:rPr>
              <w:t>4.194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21.511</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spacing w:line="360" w:lineRule="exact"/>
              <w:jc w:val="center"/>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u w:val="none"/>
                <w:lang w:val="en-US" w:eastAsia="zh-CN"/>
              </w:rPr>
              <w:t>0.333</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4.527</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spacing w:line="360" w:lineRule="exact"/>
              <w:jc w:val="center"/>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u w:val="none"/>
                <w:lang w:val="en-US" w:eastAsia="zh-CN"/>
              </w:rPr>
              <w:t>+0.333</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900" w:type="dxa"/>
            <w:vMerge w:val="restart"/>
            <w:noWrap w:val="0"/>
            <w:vAlign w:val="center"/>
          </w:tcPr>
          <w:p>
            <w:pPr>
              <w:tabs>
                <w:tab w:val="left" w:pos="540"/>
              </w:tabs>
              <w:spacing w:line="360" w:lineRule="exact"/>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cs="Times New Roman"/>
                <w:b w:val="0"/>
                <w:bCs w:val="0"/>
                <w:color w:val="auto"/>
                <w:szCs w:val="21"/>
                <w:u w:val="none"/>
              </w:rPr>
              <w:t>废水</w:t>
            </w:r>
          </w:p>
        </w:tc>
        <w:tc>
          <w:tcPr>
            <w:tcW w:w="2367" w:type="dxa"/>
            <w:noWrap w:val="0"/>
            <w:vAlign w:val="center"/>
          </w:tcPr>
          <w:p>
            <w:pPr>
              <w:pStyle w:val="48"/>
              <w:adjustRightInd/>
              <w:snapToGrid/>
              <w:spacing w:line="360" w:lineRule="exact"/>
              <w:ind w:firstLine="0" w:firstLineChars="0"/>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 w:val="21"/>
                <w:szCs w:val="21"/>
                <w:u w:val="none"/>
              </w:rPr>
              <w:t>COD</w:t>
            </w:r>
          </w:p>
        </w:tc>
        <w:tc>
          <w:tcPr>
            <w:tcW w:w="1439"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宋体"/>
                <w:b w:val="0"/>
                <w:bCs w:val="0"/>
                <w:szCs w:val="21"/>
                <w:u w:val="none"/>
                <w:lang w:val="en-US" w:eastAsia="zh-CN"/>
              </w:rPr>
            </w:pPr>
            <w:r>
              <w:rPr>
                <w:rFonts w:hint="eastAsia" w:ascii="Times New Roman" w:hAnsi="Times New Roman" w:cs="Times New Roman"/>
                <w:b w:val="0"/>
                <w:bCs w:val="0"/>
                <w:color w:val="auto"/>
                <w:sz w:val="21"/>
                <w:szCs w:val="21"/>
                <w:highlight w:val="none"/>
                <w:u w:val="none"/>
                <w:lang w:val="en-US" w:eastAsia="zh-CN"/>
              </w:rPr>
              <w:t>8.74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9.9683</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tabs>
                <w:tab w:val="left" w:pos="540"/>
              </w:tabs>
              <w:spacing w:line="360" w:lineRule="exact"/>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u w:val="none"/>
                <w:lang w:val="en-US" w:eastAsia="zh-CN"/>
              </w:rPr>
              <w:t>0</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8.74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tabs>
                <w:tab w:val="left" w:pos="540"/>
              </w:tabs>
              <w:spacing w:line="360" w:lineRule="exact"/>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900" w:type="dxa"/>
            <w:vMerge w:val="continue"/>
            <w:noWrap w:val="0"/>
            <w:vAlign w:val="center"/>
          </w:tcPr>
          <w:p>
            <w:pPr>
              <w:tabs>
                <w:tab w:val="left" w:pos="540"/>
              </w:tabs>
              <w:spacing w:line="360" w:lineRule="exact"/>
              <w:jc w:val="center"/>
              <w:rPr>
                <w:rFonts w:hint="default" w:ascii="Times New Roman" w:hAnsi="Times New Roman" w:eastAsia="宋体" w:cs="Times New Roman"/>
                <w:snapToGrid w:val="0"/>
                <w:color w:val="auto"/>
                <w:spacing w:val="0"/>
                <w:kern w:val="21"/>
                <w:sz w:val="21"/>
                <w:szCs w:val="21"/>
              </w:rPr>
            </w:pPr>
          </w:p>
        </w:tc>
        <w:tc>
          <w:tcPr>
            <w:tcW w:w="2367" w:type="dxa"/>
            <w:noWrap w:val="0"/>
            <w:vAlign w:val="center"/>
          </w:tcPr>
          <w:p>
            <w:pPr>
              <w:pStyle w:val="48"/>
              <w:adjustRightInd/>
              <w:snapToGrid/>
              <w:spacing w:line="360" w:lineRule="exact"/>
              <w:ind w:firstLine="0" w:firstLineChars="0"/>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 w:val="21"/>
                <w:szCs w:val="21"/>
                <w:u w:val="none"/>
              </w:rPr>
              <w:t>氨氮</w:t>
            </w:r>
          </w:p>
        </w:tc>
        <w:tc>
          <w:tcPr>
            <w:tcW w:w="1439"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eastAsia="宋体"/>
                <w:b w:val="0"/>
                <w:bCs w:val="0"/>
                <w:szCs w:val="21"/>
                <w:u w:val="none"/>
                <w:lang w:val="en-US" w:eastAsia="zh-CN"/>
              </w:rPr>
            </w:pPr>
            <w:r>
              <w:rPr>
                <w:rFonts w:hint="eastAsia" w:ascii="Times New Roman" w:hAnsi="Times New Roman" w:cs="Times New Roman"/>
                <w:b w:val="0"/>
                <w:bCs w:val="0"/>
                <w:color w:val="auto"/>
                <w:sz w:val="21"/>
                <w:szCs w:val="21"/>
                <w:highlight w:val="none"/>
                <w:u w:val="none"/>
                <w:lang w:val="en-US" w:eastAsia="zh-CN"/>
              </w:rPr>
              <w:t>0.874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0.9968</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spacing w:line="360" w:lineRule="exact"/>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outlineLvl w:val="9"/>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0.874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tabs>
                <w:tab w:val="left" w:pos="540"/>
              </w:tabs>
              <w:spacing w:line="360" w:lineRule="exact"/>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00" w:type="dxa"/>
            <w:vMerge w:val="restart"/>
            <w:shd w:val="clear" w:color="auto" w:fill="auto"/>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一般工业固体废物</w:t>
            </w:r>
          </w:p>
        </w:tc>
        <w:tc>
          <w:tcPr>
            <w:tcW w:w="2367" w:type="dxa"/>
            <w:shd w:val="clear" w:color="auto" w:fill="auto"/>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u w:val="none"/>
              </w:rPr>
              <w:t>铝废料</w:t>
            </w:r>
          </w:p>
        </w:tc>
        <w:tc>
          <w:tcPr>
            <w:tcW w:w="1439" w:type="dxa"/>
            <w:shd w:val="clear" w:color="auto" w:fill="auto"/>
            <w:noWrap w:val="0"/>
            <w:vAlign w:val="center"/>
          </w:tcPr>
          <w:p>
            <w:pPr>
              <w:pStyle w:val="51"/>
              <w:spacing w:line="240" w:lineRule="auto"/>
              <w:ind w:firstLine="0" w:firstLineChars="0"/>
              <w:jc w:val="center"/>
              <w:rPr>
                <w:rFonts w:hint="default" w:ascii="Times New Roman" w:hAnsi="Times New Roman" w:eastAsia="宋体"/>
                <w:b w:val="0"/>
                <w:bCs w:val="0"/>
                <w:szCs w:val="21"/>
                <w:u w:val="none"/>
                <w:lang w:val="en-US" w:eastAsia="zh-CN"/>
              </w:rPr>
            </w:pPr>
            <w:r>
              <w:rPr>
                <w:rFonts w:hint="default" w:ascii="Times New Roman" w:hAnsi="Times New Roman" w:cs="Times New Roman"/>
                <w:b w:val="0"/>
                <w:bCs w:val="0"/>
                <w:color w:val="auto"/>
                <w:sz w:val="21"/>
                <w:szCs w:val="21"/>
                <w:u w:val="none"/>
              </w:rPr>
              <w:t>3150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shd w:val="clear" w:color="auto" w:fill="auto"/>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lang w:val="en-US" w:eastAsia="zh-CN"/>
              </w:rPr>
            </w:pPr>
            <w:r>
              <w:rPr>
                <w:rFonts w:hint="default" w:ascii="Times New Roman" w:hAnsi="Times New Roman" w:cs="Times New Roman"/>
                <w:b w:val="0"/>
                <w:bCs w:val="0"/>
                <w:color w:val="auto"/>
                <w:szCs w:val="21"/>
                <w:u w:val="none"/>
              </w:rPr>
              <w:t>/</w:t>
            </w:r>
          </w:p>
        </w:tc>
        <w:tc>
          <w:tcPr>
            <w:tcW w:w="1701" w:type="dxa"/>
            <w:shd w:val="clear" w:color="auto" w:fill="auto"/>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shd w:val="clear" w:color="auto" w:fill="auto"/>
            <w:noWrap w:val="0"/>
            <w:vAlign w:val="center"/>
          </w:tcPr>
          <w:p>
            <w:pPr>
              <w:spacing w:line="360" w:lineRule="exact"/>
              <w:ind w:firstLine="0" w:firstLineChars="0"/>
              <w:jc w:val="center"/>
              <w:rPr>
                <w:rFonts w:hint="default" w:ascii="Times New Roman" w:hAnsi="Times New Roman" w:eastAsia="宋体" w:cs="Times New Roman"/>
                <w:snapToGrid w:val="0"/>
                <w:color w:val="auto"/>
                <w:spacing w:val="0"/>
                <w:kern w:val="21"/>
                <w:sz w:val="21"/>
                <w:szCs w:val="21"/>
                <w:lang w:val="en-US" w:eastAsia="zh-CN"/>
              </w:rPr>
            </w:pP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shd w:val="clear" w:color="auto" w:fill="auto"/>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shd w:val="clear" w:color="auto" w:fill="auto"/>
            <w:noWrap w:val="0"/>
            <w:vAlign w:val="center"/>
          </w:tcPr>
          <w:p>
            <w:pPr>
              <w:pStyle w:val="51"/>
              <w:spacing w:line="240" w:lineRule="auto"/>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3150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shd w:val="clear" w:color="auto" w:fill="auto"/>
            <w:noWrap w:val="0"/>
            <w:vAlign w:val="center"/>
          </w:tcPr>
          <w:p>
            <w:pPr>
              <w:pStyle w:val="51"/>
              <w:spacing w:line="360" w:lineRule="exact"/>
              <w:ind w:firstLine="0" w:firstLineChars="0"/>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00" w:type="dxa"/>
            <w:vMerge w:val="continue"/>
            <w:shd w:val="clear" w:color="auto" w:fill="auto"/>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367" w:type="dxa"/>
            <w:shd w:val="clear" w:color="auto" w:fill="auto"/>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生活垃圾</w:t>
            </w:r>
          </w:p>
        </w:tc>
        <w:tc>
          <w:tcPr>
            <w:tcW w:w="1439" w:type="dxa"/>
            <w:shd w:val="clear" w:color="auto" w:fill="auto"/>
            <w:noWrap w:val="0"/>
            <w:vAlign w:val="center"/>
          </w:tcPr>
          <w:p>
            <w:pPr>
              <w:pStyle w:val="51"/>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73.5</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cs="Times New Roman"/>
                <w:b w:val="0"/>
                <w:bCs w:val="0"/>
                <w:color w:val="auto"/>
                <w:szCs w:val="21"/>
                <w:u w:val="none"/>
              </w:rPr>
              <w:t>/</w:t>
            </w:r>
          </w:p>
        </w:tc>
        <w:tc>
          <w:tcPr>
            <w:tcW w:w="1701" w:type="dxa"/>
            <w:shd w:val="clear" w:color="auto" w:fill="auto"/>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shd w:val="clear" w:color="auto" w:fill="auto"/>
            <w:noWrap w:val="0"/>
            <w:vAlign w:val="center"/>
          </w:tcPr>
          <w:p>
            <w:pPr>
              <w:pStyle w:val="51"/>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shd w:val="clear" w:color="auto" w:fill="auto"/>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shd w:val="clear" w:color="auto" w:fill="auto"/>
            <w:noWrap w:val="0"/>
            <w:vAlign w:val="center"/>
          </w:tcPr>
          <w:p>
            <w:pPr>
              <w:pStyle w:val="51"/>
              <w:spacing w:line="240" w:lineRule="auto"/>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color w:val="auto"/>
                <w:sz w:val="21"/>
                <w:szCs w:val="21"/>
                <w:highlight w:val="none"/>
                <w:lang w:val="en-US" w:eastAsia="zh-CN"/>
              </w:rPr>
              <w:t>73.5</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shd w:val="clear" w:color="auto" w:fill="auto"/>
            <w:noWrap w:val="0"/>
            <w:vAlign w:val="center"/>
          </w:tcPr>
          <w:p>
            <w:pPr>
              <w:pStyle w:val="51"/>
              <w:spacing w:line="360" w:lineRule="exact"/>
              <w:ind w:firstLine="0" w:firstLineChars="0"/>
              <w:jc w:val="center"/>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00" w:type="dxa"/>
            <w:vMerge w:val="continue"/>
            <w:shd w:val="clear" w:color="auto" w:fill="auto"/>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367" w:type="dxa"/>
            <w:tcBorders>
              <w:bottom w:val="single" w:color="000000" w:sz="4" w:space="0"/>
            </w:tcBorders>
            <w:shd w:val="clear" w:color="auto" w:fill="auto"/>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u w:val="none"/>
                <w:lang w:eastAsia="zh-CN"/>
              </w:rPr>
              <w:t>废反渗透膜</w:t>
            </w:r>
          </w:p>
        </w:tc>
        <w:tc>
          <w:tcPr>
            <w:tcW w:w="1439" w:type="dxa"/>
            <w:tcBorders>
              <w:bottom w:val="single" w:color="000000" w:sz="4" w:space="0"/>
            </w:tcBorders>
            <w:shd w:val="clear" w:color="auto" w:fill="auto"/>
            <w:noWrap w:val="0"/>
            <w:vAlign w:val="center"/>
          </w:tcPr>
          <w:p>
            <w:pPr>
              <w:pStyle w:val="51"/>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0.1</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tcBorders>
              <w:bottom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w:t>
            </w:r>
          </w:p>
        </w:tc>
        <w:tc>
          <w:tcPr>
            <w:tcW w:w="1701" w:type="dxa"/>
            <w:tcBorders>
              <w:bottom w:val="single" w:color="000000" w:sz="4" w:space="0"/>
            </w:tcBorders>
            <w:shd w:val="clear" w:color="auto" w:fill="auto"/>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tcBorders>
              <w:bottom w:val="single" w:color="000000" w:sz="4" w:space="0"/>
            </w:tcBorders>
            <w:shd w:val="clear" w:color="auto" w:fill="auto"/>
            <w:noWrap w:val="0"/>
            <w:vAlign w:val="center"/>
          </w:tcPr>
          <w:p>
            <w:pPr>
              <w:pStyle w:val="51"/>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tcBorders>
              <w:bottom w:val="single" w:color="000000" w:sz="4" w:space="0"/>
            </w:tcBorders>
            <w:shd w:val="clear" w:color="auto" w:fill="auto"/>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tcBorders>
              <w:bottom w:val="single" w:color="000000" w:sz="4" w:space="0"/>
            </w:tcBorders>
            <w:shd w:val="clear" w:color="auto" w:fill="auto"/>
            <w:noWrap w:val="0"/>
            <w:vAlign w:val="center"/>
          </w:tcPr>
          <w:p>
            <w:pPr>
              <w:pStyle w:val="51"/>
              <w:spacing w:line="240" w:lineRule="auto"/>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color w:val="auto"/>
                <w:sz w:val="21"/>
                <w:szCs w:val="21"/>
                <w:highlight w:val="none"/>
                <w:lang w:val="en-US" w:eastAsia="zh-CN"/>
              </w:rPr>
              <w:t>0.1</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tcBorders>
              <w:bottom w:val="single" w:color="000000" w:sz="4" w:space="0"/>
            </w:tcBorders>
            <w:shd w:val="clear" w:color="auto" w:fill="auto"/>
            <w:noWrap w:val="0"/>
            <w:vAlign w:val="center"/>
          </w:tcPr>
          <w:p>
            <w:pPr>
              <w:pStyle w:val="51"/>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900" w:type="dxa"/>
            <w:vMerge w:val="continue"/>
            <w:shd w:val="clear" w:color="auto" w:fill="auto"/>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367" w:type="dxa"/>
            <w:tcBorders>
              <w:top w:val="single" w:color="000000" w:sz="4" w:space="0"/>
              <w:bottom w:val="single" w:color="auto" w:sz="4" w:space="0"/>
            </w:tcBorders>
            <w:shd w:val="clear" w:color="auto" w:fill="auto"/>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污水处理站污泥</w:t>
            </w:r>
          </w:p>
        </w:tc>
        <w:tc>
          <w:tcPr>
            <w:tcW w:w="1439" w:type="dxa"/>
            <w:tcBorders>
              <w:top w:val="single" w:color="000000" w:sz="4" w:space="0"/>
              <w:bottom w:val="single" w:color="auto" w:sz="4" w:space="0"/>
            </w:tcBorders>
            <w:shd w:val="clear" w:color="auto" w:fill="auto"/>
            <w:noWrap w:val="0"/>
            <w:vAlign w:val="center"/>
          </w:tcPr>
          <w:p>
            <w:pPr>
              <w:pStyle w:val="51"/>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162.5</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tcBorders>
              <w:top w:val="single" w:color="000000" w:sz="4" w:space="0"/>
              <w:bottom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b w:val="0"/>
                <w:bCs w:val="0"/>
                <w:color w:val="auto"/>
                <w:szCs w:val="21"/>
                <w:u w:val="none"/>
              </w:rPr>
            </w:pPr>
          </w:p>
        </w:tc>
        <w:tc>
          <w:tcPr>
            <w:tcW w:w="1701" w:type="dxa"/>
            <w:tcBorders>
              <w:top w:val="single" w:color="000000" w:sz="4" w:space="0"/>
              <w:bottom w:val="single" w:color="auto" w:sz="4" w:space="0"/>
            </w:tcBorders>
            <w:shd w:val="clear" w:color="auto" w:fill="auto"/>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tcBorders>
              <w:top w:val="single" w:color="000000" w:sz="4" w:space="0"/>
              <w:bottom w:val="single" w:color="auto" w:sz="4" w:space="0"/>
            </w:tcBorders>
            <w:shd w:val="clear" w:color="auto" w:fill="auto"/>
            <w:noWrap w:val="0"/>
            <w:vAlign w:val="center"/>
          </w:tcPr>
          <w:p>
            <w:pPr>
              <w:pStyle w:val="51"/>
              <w:spacing w:line="360" w:lineRule="exact"/>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tcBorders>
              <w:top w:val="single" w:color="000000" w:sz="4" w:space="0"/>
              <w:bottom w:val="single" w:color="auto" w:sz="4" w:space="0"/>
            </w:tcBorders>
            <w:shd w:val="clear" w:color="auto" w:fill="auto"/>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tcBorders>
              <w:top w:val="single" w:color="000000" w:sz="4" w:space="0"/>
              <w:bottom w:val="single" w:color="auto" w:sz="4" w:space="0"/>
            </w:tcBorders>
            <w:shd w:val="clear" w:color="auto" w:fill="auto"/>
            <w:noWrap w:val="0"/>
            <w:vAlign w:val="center"/>
          </w:tcPr>
          <w:p>
            <w:pPr>
              <w:pStyle w:val="51"/>
              <w:spacing w:line="240" w:lineRule="auto"/>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color w:val="auto"/>
                <w:sz w:val="21"/>
                <w:szCs w:val="21"/>
                <w:highlight w:val="none"/>
                <w:lang w:val="en-US" w:eastAsia="zh-CN"/>
              </w:rPr>
              <w:t>162.5</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tcBorders>
              <w:top w:val="single" w:color="000000" w:sz="4" w:space="0"/>
              <w:bottom w:val="single" w:color="auto" w:sz="4" w:space="0"/>
            </w:tcBorders>
            <w:shd w:val="clear" w:color="auto" w:fill="auto"/>
            <w:noWrap w:val="0"/>
            <w:vAlign w:val="center"/>
          </w:tcPr>
          <w:p>
            <w:pPr>
              <w:pStyle w:val="51"/>
              <w:spacing w:line="360" w:lineRule="exact"/>
              <w:ind w:firstLine="0" w:firstLineChars="0"/>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00" w:type="dxa"/>
            <w:vMerge w:val="restart"/>
            <w:shd w:val="clear" w:color="auto" w:fill="auto"/>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lang w:eastAsia="zh-CN"/>
              </w:rPr>
            </w:pPr>
            <w:r>
              <w:rPr>
                <w:rFonts w:hint="default" w:ascii="Times New Roman" w:hAnsi="Times New Roman" w:cs="Times New Roman"/>
                <w:snapToGrid w:val="0"/>
                <w:color w:val="auto"/>
                <w:spacing w:val="0"/>
                <w:kern w:val="21"/>
                <w:sz w:val="21"/>
                <w:szCs w:val="21"/>
                <w:lang w:eastAsia="zh-CN"/>
              </w:rPr>
              <w:t>危险废物</w:t>
            </w:r>
          </w:p>
        </w:tc>
        <w:tc>
          <w:tcPr>
            <w:tcW w:w="2367" w:type="dxa"/>
            <w:shd w:val="clear" w:color="auto" w:fill="auto"/>
            <w:noWrap w:val="0"/>
            <w:vAlign w:val="center"/>
          </w:tcPr>
          <w:p>
            <w:pPr>
              <w:tabs>
                <w:tab w:val="left" w:pos="540"/>
              </w:tabs>
              <w:spacing w:line="240" w:lineRule="auto"/>
              <w:jc w:val="center"/>
              <w:rPr>
                <w:rFonts w:hint="eastAsia"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u w:val="none"/>
              </w:rPr>
              <w:t>废过滤介质</w:t>
            </w:r>
            <w:r>
              <w:rPr>
                <w:rFonts w:hint="eastAsia" w:ascii="Times New Roman" w:hAnsi="Times New Roman" w:cs="Times New Roman"/>
                <w:b w:val="0"/>
                <w:bCs w:val="0"/>
                <w:color w:val="auto"/>
                <w:sz w:val="21"/>
                <w:szCs w:val="21"/>
                <w:u w:val="none"/>
                <w:lang w:eastAsia="zh-CN"/>
              </w:rPr>
              <w:t>（硅藻土）</w:t>
            </w:r>
          </w:p>
        </w:tc>
        <w:tc>
          <w:tcPr>
            <w:tcW w:w="1439" w:type="dxa"/>
            <w:shd w:val="clear" w:color="auto" w:fill="auto"/>
            <w:noWrap w:val="0"/>
            <w:vAlign w:val="center"/>
          </w:tcPr>
          <w:p>
            <w:pPr>
              <w:tabs>
                <w:tab w:val="left" w:pos="540"/>
              </w:tabs>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sz w:val="21"/>
                <w:szCs w:val="21"/>
                <w:u w:val="none"/>
                <w:lang w:val="en-US" w:eastAsia="zh-CN"/>
              </w:rPr>
              <w:t>230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cs="Times New Roman"/>
                <w:b w:val="0"/>
                <w:bCs w:val="0"/>
                <w:color w:val="auto"/>
                <w:szCs w:val="21"/>
                <w:u w:val="none"/>
              </w:rPr>
              <w:t>/</w:t>
            </w:r>
          </w:p>
        </w:tc>
        <w:tc>
          <w:tcPr>
            <w:tcW w:w="1701" w:type="dxa"/>
            <w:shd w:val="clear" w:color="auto" w:fill="auto"/>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shd w:val="clear" w:color="auto" w:fill="auto"/>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0.1</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shd w:val="clear" w:color="auto" w:fill="auto"/>
            <w:noWrap w:val="0"/>
            <w:vAlign w:val="center"/>
          </w:tcPr>
          <w:p>
            <w:pPr>
              <w:spacing w:line="360" w:lineRule="exact"/>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230.1</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shd w:val="clear" w:color="auto" w:fill="auto"/>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0.1</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shd w:val="clear" w:color="auto" w:fill="auto"/>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cs="Times New Roman"/>
                <w:snapToGrid w:val="0"/>
                <w:color w:val="auto"/>
                <w:spacing w:val="0"/>
                <w:kern w:val="21"/>
                <w:sz w:val="21"/>
                <w:szCs w:val="21"/>
                <w:lang w:eastAsia="zh-CN"/>
              </w:rPr>
            </w:pPr>
          </w:p>
        </w:tc>
        <w:tc>
          <w:tcPr>
            <w:tcW w:w="2367" w:type="dxa"/>
            <w:shd w:val="clear" w:color="auto" w:fill="auto"/>
            <w:noWrap w:val="0"/>
            <w:vAlign w:val="center"/>
          </w:tcPr>
          <w:p>
            <w:pPr>
              <w:tabs>
                <w:tab w:val="left" w:pos="540"/>
              </w:tabs>
              <w:spacing w:line="240" w:lineRule="auto"/>
              <w:jc w:val="center"/>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u w:val="none"/>
              </w:rPr>
              <w:t>废</w:t>
            </w:r>
            <w:r>
              <w:rPr>
                <w:rFonts w:hint="default" w:ascii="Times New Roman" w:hAnsi="Times New Roman" w:cs="Times New Roman"/>
                <w:b w:val="0"/>
                <w:bCs w:val="0"/>
                <w:color w:val="auto"/>
                <w:sz w:val="21"/>
                <w:szCs w:val="21"/>
                <w:u w:val="none"/>
                <w:lang w:eastAsia="zh-CN"/>
              </w:rPr>
              <w:t>轧制油及沾染物</w:t>
            </w:r>
          </w:p>
        </w:tc>
        <w:tc>
          <w:tcPr>
            <w:tcW w:w="1439" w:type="dxa"/>
            <w:shd w:val="clear" w:color="auto" w:fill="auto"/>
            <w:noWrap w:val="0"/>
            <w:vAlign w:val="center"/>
          </w:tcPr>
          <w:p>
            <w:pPr>
              <w:tabs>
                <w:tab w:val="left" w:pos="540"/>
              </w:tabs>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sz w:val="21"/>
                <w:szCs w:val="21"/>
                <w:u w:val="none"/>
                <w:lang w:val="en-US" w:eastAsia="zh-CN"/>
              </w:rPr>
              <w:t>260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cs="Times New Roman"/>
                <w:b w:val="0"/>
                <w:bCs w:val="0"/>
                <w:color w:val="auto"/>
                <w:szCs w:val="21"/>
                <w:u w:val="none"/>
              </w:rPr>
              <w:t>/</w:t>
            </w:r>
          </w:p>
        </w:tc>
        <w:tc>
          <w:tcPr>
            <w:tcW w:w="1701" w:type="dxa"/>
            <w:shd w:val="clear" w:color="auto" w:fill="auto"/>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shd w:val="clear" w:color="auto" w:fill="auto"/>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0.5</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shd w:val="clear" w:color="auto" w:fill="auto"/>
            <w:noWrap w:val="0"/>
            <w:vAlign w:val="center"/>
          </w:tcPr>
          <w:p>
            <w:pPr>
              <w:spacing w:line="360" w:lineRule="exact"/>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260.5</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shd w:val="clear" w:color="auto" w:fill="auto"/>
            <w:noWrap w:val="0"/>
            <w:vAlign w:val="center"/>
          </w:tcPr>
          <w:p>
            <w:pPr>
              <w:spacing w:line="360" w:lineRule="exac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0.5</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0" w:type="dxa"/>
            <w:vMerge w:val="continue"/>
            <w:shd w:val="clear" w:color="auto" w:fill="auto"/>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cs="Times New Roman"/>
                <w:snapToGrid w:val="0"/>
                <w:color w:val="auto"/>
                <w:spacing w:val="0"/>
                <w:kern w:val="21"/>
                <w:sz w:val="21"/>
                <w:szCs w:val="21"/>
                <w:lang w:eastAsia="zh-CN"/>
              </w:rPr>
            </w:pPr>
          </w:p>
        </w:tc>
        <w:tc>
          <w:tcPr>
            <w:tcW w:w="2367" w:type="dxa"/>
            <w:shd w:val="clear" w:color="auto" w:fill="auto"/>
            <w:noWrap w:val="0"/>
            <w:vAlign w:val="center"/>
          </w:tcPr>
          <w:p>
            <w:pPr>
              <w:tabs>
                <w:tab w:val="left" w:pos="540"/>
              </w:tabs>
              <w:spacing w:line="240" w:lineRule="auto"/>
              <w:jc w:val="center"/>
              <w:rPr>
                <w:rFonts w:hint="default" w:ascii="Times New Roman" w:hAnsi="Times New Roman" w:cs="Times New Roman"/>
                <w:b w:val="0"/>
                <w:bCs w:val="0"/>
                <w:color w:val="auto"/>
                <w:szCs w:val="21"/>
                <w:u w:val="none"/>
                <w:lang w:eastAsia="zh-CN"/>
              </w:rPr>
            </w:pPr>
            <w:r>
              <w:rPr>
                <w:rFonts w:hint="default" w:ascii="Times New Roman" w:hAnsi="Times New Roman" w:cs="Times New Roman"/>
                <w:b w:val="0"/>
                <w:bCs w:val="0"/>
                <w:color w:val="auto"/>
                <w:sz w:val="21"/>
                <w:szCs w:val="21"/>
                <w:lang w:eastAsia="zh-CN"/>
              </w:rPr>
              <w:t>除尘器收集的粉尘</w:t>
            </w:r>
          </w:p>
        </w:tc>
        <w:tc>
          <w:tcPr>
            <w:tcW w:w="1439" w:type="dxa"/>
            <w:shd w:val="clear" w:color="auto" w:fill="auto"/>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color w:val="auto"/>
                <w:kern w:val="0"/>
                <w:sz w:val="21"/>
                <w:szCs w:val="21"/>
                <w:u w:val="none"/>
                <w:lang w:val="en-US" w:eastAsia="zh-CN"/>
              </w:rPr>
              <w:t>63.668</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w:t>
            </w:r>
          </w:p>
        </w:tc>
        <w:tc>
          <w:tcPr>
            <w:tcW w:w="1701" w:type="dxa"/>
            <w:shd w:val="clear" w:color="auto" w:fill="auto"/>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shd w:val="clear" w:color="auto" w:fill="auto"/>
            <w:noWrap w:val="0"/>
            <w:vAlign w:val="center"/>
          </w:tcPr>
          <w:p>
            <w:pPr>
              <w:widowControl/>
              <w:adjustRightInd w:val="0"/>
              <w:snapToGrid w:val="0"/>
              <w:spacing w:line="260" w:lineRule="exact"/>
              <w:jc w:val="center"/>
              <w:rPr>
                <w:rFonts w:hint="default" w:ascii="Times New Roman" w:hAnsi="Times New Roman" w:cs="Times New Roman"/>
                <w:b w:val="0"/>
                <w:bCs w:val="0"/>
                <w:color w:val="auto"/>
                <w:szCs w:val="21"/>
                <w:u w:val="none"/>
                <w:lang w:val="en-US" w:eastAsia="zh-CN"/>
              </w:rPr>
            </w:pPr>
            <w:r>
              <w:rPr>
                <w:rFonts w:hint="eastAsia" w:ascii="Times New Roman" w:hAnsi="Times New Roman" w:cs="Times New Roman"/>
                <w:b w:val="0"/>
                <w:bCs/>
                <w:color w:val="auto"/>
                <w:kern w:val="0"/>
                <w:sz w:val="21"/>
                <w:szCs w:val="21"/>
                <w:u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shd w:val="clear" w:color="auto" w:fill="auto"/>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shd w:val="clear" w:color="auto" w:fill="auto"/>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color w:val="auto"/>
                <w:kern w:val="0"/>
                <w:sz w:val="21"/>
                <w:szCs w:val="21"/>
                <w:u w:val="none"/>
                <w:lang w:val="en-US" w:eastAsia="zh-CN"/>
              </w:rPr>
              <w:t>63.668</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shd w:val="clear" w:color="auto" w:fill="auto"/>
            <w:noWrap w:val="0"/>
            <w:vAlign w:val="center"/>
          </w:tcPr>
          <w:p>
            <w:pPr>
              <w:widowControl/>
              <w:adjustRightInd w:val="0"/>
              <w:snapToGrid w:val="0"/>
              <w:spacing w:line="260" w:lineRule="exac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kern w:val="0"/>
                <w:sz w:val="21"/>
                <w:szCs w:val="21"/>
                <w:u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shd w:val="clear" w:color="auto" w:fill="auto"/>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cs="Times New Roman"/>
                <w:snapToGrid w:val="0"/>
                <w:color w:val="auto"/>
                <w:spacing w:val="0"/>
                <w:kern w:val="21"/>
                <w:sz w:val="21"/>
                <w:szCs w:val="21"/>
                <w:lang w:eastAsia="zh-CN"/>
              </w:rPr>
            </w:pPr>
          </w:p>
        </w:tc>
        <w:tc>
          <w:tcPr>
            <w:tcW w:w="2367" w:type="dxa"/>
            <w:shd w:val="clear" w:color="auto" w:fill="auto"/>
            <w:noWrap w:val="0"/>
            <w:vAlign w:val="center"/>
          </w:tcPr>
          <w:p>
            <w:pPr>
              <w:tabs>
                <w:tab w:val="left" w:pos="540"/>
              </w:tabs>
              <w:spacing w:line="240" w:lineRule="auto"/>
              <w:jc w:val="center"/>
              <w:rPr>
                <w:rFonts w:hint="default" w:ascii="Times New Roman" w:hAnsi="Times New Roman" w:cs="Times New Roman"/>
                <w:b w:val="0"/>
                <w:bCs w:val="0"/>
                <w:color w:val="auto"/>
                <w:szCs w:val="21"/>
                <w:u w:val="none"/>
                <w:lang w:eastAsia="zh-CN"/>
              </w:rPr>
            </w:pPr>
            <w:r>
              <w:rPr>
                <w:rFonts w:hint="default" w:ascii="Times New Roman" w:hAnsi="Times New Roman" w:cs="Times New Roman"/>
                <w:b w:val="0"/>
                <w:bCs w:val="0"/>
                <w:color w:val="auto"/>
                <w:sz w:val="21"/>
                <w:szCs w:val="21"/>
                <w:lang w:eastAsia="zh-CN"/>
              </w:rPr>
              <w:t>铝灰</w:t>
            </w:r>
            <w:r>
              <w:rPr>
                <w:rFonts w:hint="eastAsia" w:ascii="Times New Roman" w:hAnsi="Times New Roman" w:cs="Times New Roman"/>
                <w:b w:val="0"/>
                <w:bCs w:val="0"/>
                <w:color w:val="auto"/>
                <w:sz w:val="21"/>
                <w:szCs w:val="21"/>
                <w:lang w:eastAsia="zh-CN"/>
              </w:rPr>
              <w:t>渣处理收尘</w:t>
            </w:r>
          </w:p>
        </w:tc>
        <w:tc>
          <w:tcPr>
            <w:tcW w:w="1439" w:type="dxa"/>
            <w:shd w:val="clear" w:color="auto" w:fill="auto"/>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kern w:val="0"/>
                <w:sz w:val="21"/>
                <w:szCs w:val="21"/>
                <w:u w:val="none"/>
                <w:lang w:val="en-US" w:eastAsia="zh-CN"/>
              </w:rPr>
              <w:t>0.974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w:t>
            </w:r>
          </w:p>
        </w:tc>
        <w:tc>
          <w:tcPr>
            <w:tcW w:w="1701" w:type="dxa"/>
            <w:shd w:val="clear" w:color="auto" w:fill="auto"/>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shd w:val="clear" w:color="auto" w:fill="auto"/>
            <w:noWrap w:val="0"/>
            <w:vAlign w:val="center"/>
          </w:tcPr>
          <w:p>
            <w:pPr>
              <w:widowControl/>
              <w:adjustRightInd w:val="0"/>
              <w:snapToGrid w:val="0"/>
              <w:spacing w:line="260" w:lineRule="exact"/>
              <w:jc w:val="center"/>
              <w:rPr>
                <w:rFonts w:hint="default" w:ascii="Times New Roman" w:hAnsi="Times New Roman" w:cs="Times New Roman"/>
                <w:b w:val="0"/>
                <w:bCs w:val="0"/>
                <w:color w:val="auto"/>
                <w:szCs w:val="21"/>
                <w:u w:val="none"/>
                <w:lang w:val="en-US" w:eastAsia="zh-CN"/>
              </w:rPr>
            </w:pPr>
            <w:r>
              <w:rPr>
                <w:rFonts w:hint="eastAsia" w:ascii="Times New Roman" w:hAnsi="Times New Roman" w:cs="Times New Roman"/>
                <w:b w:val="0"/>
                <w:bCs/>
                <w:color w:val="auto"/>
                <w:kern w:val="0"/>
                <w:sz w:val="21"/>
                <w:szCs w:val="21"/>
                <w:u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shd w:val="clear" w:color="auto" w:fill="auto"/>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shd w:val="clear" w:color="auto" w:fill="auto"/>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0.974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shd w:val="clear" w:color="auto" w:fill="auto"/>
            <w:noWrap w:val="0"/>
            <w:vAlign w:val="center"/>
          </w:tcPr>
          <w:p>
            <w:pPr>
              <w:widowControl/>
              <w:adjustRightInd w:val="0"/>
              <w:snapToGrid w:val="0"/>
              <w:spacing w:line="260" w:lineRule="exact"/>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kern w:val="0"/>
                <w:sz w:val="21"/>
                <w:szCs w:val="21"/>
                <w:u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00" w:type="dxa"/>
            <w:vMerge w:val="continue"/>
            <w:shd w:val="clear" w:color="auto" w:fill="auto"/>
            <w:noWrap w:val="0"/>
            <w:vAlign w:val="center"/>
          </w:tcPr>
          <w:p>
            <w:pPr>
              <w:pStyle w:val="44"/>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cs="Times New Roman"/>
                <w:snapToGrid w:val="0"/>
                <w:color w:val="auto"/>
                <w:spacing w:val="0"/>
                <w:kern w:val="21"/>
                <w:sz w:val="21"/>
                <w:szCs w:val="21"/>
                <w:lang w:eastAsia="zh-CN"/>
              </w:rPr>
            </w:pPr>
          </w:p>
        </w:tc>
        <w:tc>
          <w:tcPr>
            <w:tcW w:w="2367" w:type="dxa"/>
            <w:shd w:val="clear" w:color="auto" w:fill="auto"/>
            <w:noWrap w:val="0"/>
            <w:vAlign w:val="center"/>
          </w:tcPr>
          <w:p>
            <w:pPr>
              <w:tabs>
                <w:tab w:val="left" w:pos="540"/>
              </w:tabs>
              <w:spacing w:line="240" w:lineRule="auto"/>
              <w:jc w:val="center"/>
              <w:rPr>
                <w:rFonts w:hint="default"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废油</w:t>
            </w:r>
          </w:p>
        </w:tc>
        <w:tc>
          <w:tcPr>
            <w:tcW w:w="1439" w:type="dxa"/>
            <w:shd w:val="clear" w:color="auto" w:fill="auto"/>
            <w:noWrap w:val="0"/>
            <w:vAlign w:val="center"/>
          </w:tcPr>
          <w:p>
            <w:pPr>
              <w:widowControl/>
              <w:adjustRightInd w:val="0"/>
              <w:snapToGrid w:val="0"/>
              <w:spacing w:line="240" w:lineRule="auto"/>
              <w:jc w:val="center"/>
              <w:rPr>
                <w:rFonts w:hint="default" w:ascii="Times New Roman" w:hAnsi="Times New Roman"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12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w:t>
            </w:r>
          </w:p>
        </w:tc>
        <w:tc>
          <w:tcPr>
            <w:tcW w:w="1701" w:type="dxa"/>
            <w:shd w:val="clear" w:color="auto" w:fill="auto"/>
            <w:noWrap w:val="0"/>
            <w:vAlign w:val="center"/>
          </w:tcPr>
          <w:p>
            <w:pPr>
              <w:pStyle w:val="26"/>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shd w:val="clear" w:color="auto" w:fill="auto"/>
            <w:noWrap w:val="0"/>
            <w:vAlign w:val="center"/>
          </w:tcPr>
          <w:p>
            <w:pPr>
              <w:widowControl/>
              <w:adjustRightInd w:val="0"/>
              <w:snapToGrid w:val="0"/>
              <w:spacing w:line="260" w:lineRule="exact"/>
              <w:jc w:val="center"/>
              <w:rPr>
                <w:rFonts w:hint="default" w:ascii="Times New Roman" w:hAnsi="Times New Roman"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shd w:val="clear" w:color="auto" w:fill="auto"/>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shd w:val="clear" w:color="auto" w:fill="auto"/>
            <w:noWrap w:val="0"/>
            <w:vAlign w:val="center"/>
          </w:tcPr>
          <w:p>
            <w:pPr>
              <w:widowControl/>
              <w:adjustRightInd w:val="0"/>
              <w:snapToGrid w:val="0"/>
              <w:spacing w:line="240" w:lineRule="auto"/>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12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shd w:val="clear" w:color="auto" w:fill="auto"/>
            <w:noWrap w:val="0"/>
            <w:vAlign w:val="center"/>
          </w:tcPr>
          <w:p>
            <w:pPr>
              <w:widowControl/>
              <w:adjustRightInd w:val="0"/>
              <w:snapToGrid w:val="0"/>
              <w:spacing w:line="260" w:lineRule="exact"/>
              <w:jc w:val="center"/>
              <w:rPr>
                <w:rFonts w:hint="default" w:ascii="Times New Roman" w:hAnsi="Times New Roman"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r>
    </w:tbl>
    <w:p>
      <w:pPr>
        <w:rPr>
          <w:rFonts w:hint="default" w:ascii="Times New Roman" w:hAnsi="Times New Roman" w:cs="Times New Roman"/>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cs="Times New Roman"/>
          <w:b/>
          <w:bCs/>
          <w:color w:val="auto"/>
          <w:lang w:val="en-US" w:eastAsia="zh-CN"/>
        </w:rPr>
      </w:pPr>
      <w:bookmarkStart w:id="3" w:name="_GoBack"/>
      <w:bookmarkEnd w:id="3"/>
      <w:r>
        <w:rPr>
          <w:rFonts w:hint="default" w:ascii="Times New Roman" w:hAnsi="Times New Roman" w:cs="Times New Roman"/>
          <w:color w:val="auto"/>
        </w:rPr>
        <w:drawing>
          <wp:anchor distT="0" distB="0" distL="114300" distR="114300" simplePos="0" relativeHeight="251662336" behindDoc="0" locked="0" layoutInCell="1" allowOverlap="1">
            <wp:simplePos x="0" y="0"/>
            <wp:positionH relativeFrom="column">
              <wp:posOffset>8338185</wp:posOffset>
            </wp:positionH>
            <wp:positionV relativeFrom="paragraph">
              <wp:posOffset>34290</wp:posOffset>
            </wp:positionV>
            <wp:extent cx="551180" cy="524510"/>
            <wp:effectExtent l="0" t="0" r="1270" b="8890"/>
            <wp:wrapNone/>
            <wp:docPr id="6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
                    <pic:cNvPicPr>
                      <a:picLocks noChangeAspect="1"/>
                    </pic:cNvPicPr>
                  </pic:nvPicPr>
                  <pic:blipFill>
                    <a:blip r:embed="rId16"/>
                    <a:stretch>
                      <a:fillRect/>
                    </a:stretch>
                  </pic:blipFill>
                  <pic:spPr>
                    <a:xfrm>
                      <a:off x="0" y="0"/>
                      <a:ext cx="551180" cy="524510"/>
                    </a:xfrm>
                    <a:prstGeom prst="rect">
                      <a:avLst/>
                    </a:prstGeom>
                    <a:noFill/>
                    <a:ln>
                      <a:noFill/>
                    </a:ln>
                  </pic:spPr>
                </pic:pic>
              </a:graphicData>
            </a:graphic>
          </wp:anchor>
        </w:drawing>
      </w:r>
      <w:r>
        <w:rPr>
          <w:rFonts w:hint="default" w:ascii="Times New Roman" w:hAnsi="Times New Roman" w:cs="Times New Roman"/>
          <w:color w:val="auto"/>
          <w:sz w:val="21"/>
        </w:rPr>
        <mc:AlternateContent>
          <mc:Choice Requires="wps">
            <w:drawing>
              <wp:anchor distT="0" distB="0" distL="114300" distR="114300" simplePos="0" relativeHeight="251660288" behindDoc="0" locked="0" layoutInCell="1" allowOverlap="1">
                <wp:simplePos x="0" y="0"/>
                <wp:positionH relativeFrom="column">
                  <wp:posOffset>7044690</wp:posOffset>
                </wp:positionH>
                <wp:positionV relativeFrom="paragraph">
                  <wp:posOffset>3630930</wp:posOffset>
                </wp:positionV>
                <wp:extent cx="1783080" cy="56261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783080" cy="562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0000"/>
                              </w:rPr>
                            </w:pPr>
                            <w:r>
                              <w:rPr>
                                <w:rFonts w:hint="eastAsia" w:ascii="Times New Roman" w:hAnsi="Times New Roman" w:cs="Times New Roman"/>
                                <w:b w:val="0"/>
                                <w:bCs w:val="0"/>
                                <w:color w:val="FF0000"/>
                                <w:sz w:val="24"/>
                                <w:highlight w:val="none"/>
                                <w:u w:val="none"/>
                                <w:lang w:val="en-US" w:eastAsia="zh-CN"/>
                              </w:rPr>
                              <w:t>永城市苗桥镇地下水井群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4.7pt;margin-top:285.9pt;height:44.3pt;width:140.4pt;z-index:251660288;mso-width-relative:page;mso-height-relative:page;" filled="f" stroked="f" coordsize="21600,21600" o:gfxdata="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8G3h3QAAAA0BAAAPAAAAAAAAAAEAIAAAACIA&#10;AABkcnMvZG93bnJldi54bWxQSwECFAAUAAAACACHTuJApzk/9z0CAABoBAAADgAAAAAAAAABACAA&#10;AAAsAQAAZHJzL2Uyb0RvYy54bWxQSwUGAAAAAAYABgBZAQAA2wUAAAAA&#10;">
                <v:fill on="f" focussize="0,0"/>
                <v:stroke on="f" weight="0.5pt"/>
                <v:imagedata o:title=""/>
                <o:lock v:ext="edit" aspectratio="f"/>
                <v:textbox>
                  <w:txbxContent>
                    <w:p>
                      <w:pPr>
                        <w:rPr>
                          <w:color w:val="FF0000"/>
                        </w:rPr>
                      </w:pPr>
                      <w:r>
                        <w:rPr>
                          <w:rFonts w:hint="eastAsia" w:ascii="Times New Roman" w:hAnsi="Times New Roman" w:cs="Times New Roman"/>
                          <w:b w:val="0"/>
                          <w:bCs w:val="0"/>
                          <w:color w:val="FF0000"/>
                          <w:sz w:val="24"/>
                          <w:highlight w:val="none"/>
                          <w:u w:val="none"/>
                          <w:lang w:val="en-US" w:eastAsia="zh-CN"/>
                        </w:rPr>
                        <w:t>永城市苗桥镇地下水井群</w:t>
                      </w:r>
                    </w:p>
                  </w:txbxContent>
                </v:textbox>
              </v:shape>
            </w:pict>
          </mc:Fallback>
        </mc:AlternateContent>
      </w:r>
      <w:r>
        <w:rPr>
          <w:rFonts w:hint="default" w:ascii="Times New Roman" w:hAnsi="Times New Roman" w:cs="Times New Roman"/>
          <w:color w:val="auto"/>
          <w:sz w:val="21"/>
        </w:rPr>
        <mc:AlternateContent>
          <mc:Choice Requires="wps">
            <w:drawing>
              <wp:anchor distT="0" distB="0" distL="114300" distR="114300" simplePos="0" relativeHeight="251661312" behindDoc="0" locked="0" layoutInCell="1" allowOverlap="1">
                <wp:simplePos x="0" y="0"/>
                <wp:positionH relativeFrom="column">
                  <wp:posOffset>6518910</wp:posOffset>
                </wp:positionH>
                <wp:positionV relativeFrom="paragraph">
                  <wp:posOffset>3399790</wp:posOffset>
                </wp:positionV>
                <wp:extent cx="546735" cy="32067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546735" cy="320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b/>
                                <w:bCs/>
                                <w:color w:val="FF0000"/>
                                <w:lang w:val="en-US" w:eastAsia="zh-CN"/>
                              </w:rPr>
                            </w:pPr>
                            <w:r>
                              <w:rPr>
                                <w:rFonts w:hint="eastAsia" w:ascii="Times New Roman" w:hAnsi="Times New Roman" w:cs="Times New Roman"/>
                                <w:b/>
                                <w:bCs/>
                                <w:color w:val="FF0000"/>
                                <w:lang w:val="en-US" w:eastAsia="zh-CN"/>
                              </w:rPr>
                              <w:t>6.7km</w:t>
                            </w:r>
                            <w:r>
                              <w:rPr>
                                <w:rFonts w:hint="default" w:ascii="Times New Roman" w:hAnsi="Times New Roman" w:eastAsia="宋体" w:cs="Times New Roman"/>
                                <w:color w:val="auto"/>
                                <w:lang w:eastAsia="zh-CN"/>
                              </w:rPr>
                              <w:drawing>
                                <wp:inline distT="0" distB="0" distL="114300" distR="114300">
                                  <wp:extent cx="600710" cy="422910"/>
                                  <wp:effectExtent l="0" t="0" r="8890" b="15240"/>
                                  <wp:docPr id="27" name="图片 1" descr="156708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1567082773"/>
                                          <pic:cNvPicPr>
                                            <a:picLocks noChangeAspect="1"/>
                                          </pic:cNvPicPr>
                                        </pic:nvPicPr>
                                        <pic:blipFill>
                                          <a:blip r:embed="rId17"/>
                                          <a:stretch>
                                            <a:fillRect/>
                                          </a:stretch>
                                        </pic:blipFill>
                                        <pic:spPr>
                                          <a:xfrm>
                                            <a:off x="0" y="0"/>
                                            <a:ext cx="600710" cy="422910"/>
                                          </a:xfrm>
                                          <a:prstGeom prst="rect">
                                            <a:avLst/>
                                          </a:prstGeom>
                                          <a:noFill/>
                                          <a:ln>
                                            <a:noFill/>
                                          </a:ln>
                                        </pic:spPr>
                                      </pic:pic>
                                    </a:graphicData>
                                  </a:graphic>
                                </wp:inline>
                              </w:drawing>
                            </w:r>
                            <w:r>
                              <w:rPr>
                                <w:rFonts w:hint="default" w:ascii="Times New Roman" w:hAnsi="Times New Roman" w:cs="Times New Roman"/>
                                <w:b/>
                                <w:bCs/>
                                <w:color w:val="FF0000"/>
                                <w:lang w:val="en-US" w:eastAsia="zh-CN"/>
                              </w:rPr>
                              <w:t>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3.3pt;margin-top:267.7pt;height:25.25pt;width:43.05pt;z-index:251661312;mso-width-relative:page;mso-height-relative:page;" filled="f" stroked="f" coordsize="21600,21600" o:gfxdata="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7hDO9wAAAANAQAADwAAAAAAAAABACAAAAAiAAAA&#10;ZHJzL2Rvd25yZXYueG1sUEsBAhQAFAAAAAgAh07iQE75NhM8AgAAZwQAAA4AAAAAAAAAAQAgAAAA&#10;KwEAAGRycy9lMm9Eb2MueG1sUEsFBgAAAAAGAAYAWQEAANkFAAAAAA==&#10;">
                <v:fill on="f" focussize="0,0"/>
                <v:stroke on="f" weight="0.5pt"/>
                <v:imagedata o:title=""/>
                <o:lock v:ext="edit" aspectratio="f"/>
                <v:textbox>
                  <w:txbxContent>
                    <w:p>
                      <w:pPr>
                        <w:rPr>
                          <w:rFonts w:hint="default" w:ascii="Times New Roman" w:hAnsi="Times New Roman" w:eastAsia="宋体" w:cs="Times New Roman"/>
                          <w:b/>
                          <w:bCs/>
                          <w:color w:val="FF0000"/>
                          <w:lang w:val="en-US" w:eastAsia="zh-CN"/>
                        </w:rPr>
                      </w:pPr>
                      <w:r>
                        <w:rPr>
                          <w:rFonts w:hint="eastAsia" w:ascii="Times New Roman" w:hAnsi="Times New Roman" w:cs="Times New Roman"/>
                          <w:b/>
                          <w:bCs/>
                          <w:color w:val="FF0000"/>
                          <w:lang w:val="en-US" w:eastAsia="zh-CN"/>
                        </w:rPr>
                        <w:t>6.7km</w:t>
                      </w:r>
                      <w:r>
                        <w:rPr>
                          <w:rFonts w:hint="default" w:ascii="Times New Roman" w:hAnsi="Times New Roman" w:eastAsia="宋体" w:cs="Times New Roman"/>
                          <w:color w:val="auto"/>
                          <w:lang w:eastAsia="zh-CN"/>
                        </w:rPr>
                        <w:drawing>
                          <wp:inline distT="0" distB="0" distL="114300" distR="114300">
                            <wp:extent cx="600710" cy="422910"/>
                            <wp:effectExtent l="0" t="0" r="8890" b="15240"/>
                            <wp:docPr id="27" name="图片 1" descr="156708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1567082773"/>
                                    <pic:cNvPicPr>
                                      <a:picLocks noChangeAspect="1"/>
                                    </pic:cNvPicPr>
                                  </pic:nvPicPr>
                                  <pic:blipFill>
                                    <a:blip r:embed="rId17"/>
                                    <a:stretch>
                                      <a:fillRect/>
                                    </a:stretch>
                                  </pic:blipFill>
                                  <pic:spPr>
                                    <a:xfrm>
                                      <a:off x="0" y="0"/>
                                      <a:ext cx="600710" cy="422910"/>
                                    </a:xfrm>
                                    <a:prstGeom prst="rect">
                                      <a:avLst/>
                                    </a:prstGeom>
                                    <a:noFill/>
                                    <a:ln>
                                      <a:noFill/>
                                    </a:ln>
                                  </pic:spPr>
                                </pic:pic>
                              </a:graphicData>
                            </a:graphic>
                          </wp:inline>
                        </w:drawing>
                      </w:r>
                      <w:r>
                        <w:rPr>
                          <w:rFonts w:hint="default" w:ascii="Times New Roman" w:hAnsi="Times New Roman" w:cs="Times New Roman"/>
                          <w:b/>
                          <w:bCs/>
                          <w:color w:val="FF0000"/>
                          <w:lang w:val="en-US" w:eastAsia="zh-CN"/>
                        </w:rPr>
                        <w:t>m</w:t>
                      </w:r>
                    </w:p>
                  </w:txbxContent>
                </v:textbox>
              </v:shape>
            </w:pict>
          </mc:Fallback>
        </mc:AlternateConten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2"/>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全真楷書">
    <w:altName w:val="楷体_GB2312"/>
    <w:panose1 w:val="00000000000000000000"/>
    <w:charset w:val="88"/>
    <w:family w:val="modern"/>
    <w:pitch w:val="default"/>
    <w:sig w:usb0="00000000" w:usb1="00000000" w:usb2="00000010" w:usb3="00000000" w:csb0="001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4ReMoBAACa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V1eU+K4xYmff/44//pz/v2d&#10;vM3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4ReMoBAACaAwAADgAAAAAAAAABACAAAAAeAQAAZHJzL2Uyb0Rv&#10;Yy54bWxQSwUGAAAAAAYABgBZAQAAWgUAAAAA&#10;">
              <v:fill on="f" focussize="0,0"/>
              <v:stroke on="f"/>
              <v:imagedata o:title=""/>
              <o:lock v:ext="edit" aspectratio="f"/>
              <v:textbox inset="0mm,0mm,0mm,0mm" style="mso-fit-shape-to-text:t;">
                <w:txbxContent>
                  <w:p>
                    <w:pPr>
                      <w:pStyle w:val="2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83A053"/>
    <w:multiLevelType w:val="singleLevel"/>
    <w:tmpl w:val="DB83A053"/>
    <w:lvl w:ilvl="0" w:tentative="0">
      <w:start w:val="1"/>
      <w:numFmt w:val="decimal"/>
      <w:suff w:val="nothing"/>
      <w:lvlText w:val="%1、"/>
      <w:lvlJc w:val="left"/>
    </w:lvl>
  </w:abstractNum>
  <w:abstractNum w:abstractNumId="1">
    <w:nsid w:val="ED5DE6B7"/>
    <w:multiLevelType w:val="singleLevel"/>
    <w:tmpl w:val="ED5DE6B7"/>
    <w:lvl w:ilvl="0" w:tentative="0">
      <w:start w:val="2"/>
      <w:numFmt w:val="decimal"/>
      <w:suff w:val="nothing"/>
      <w:lvlText w:val="%1、"/>
      <w:lvlJc w:val="left"/>
    </w:lvl>
  </w:abstractNum>
  <w:abstractNum w:abstractNumId="2">
    <w:nsid w:val="5382A7B1"/>
    <w:multiLevelType w:val="multilevel"/>
    <w:tmpl w:val="5382A7B1"/>
    <w:lvl w:ilvl="0" w:tentative="0">
      <w:start w:val="1"/>
      <w:numFmt w:val="decimal"/>
      <w:pStyle w:val="2"/>
      <w:suff w:val="nothing"/>
      <w:lvlText w:val="表%1"/>
      <w:lvlJc w:val="left"/>
      <w:pPr>
        <w:tabs>
          <w:tab w:val="left" w:pos="420"/>
        </w:tabs>
        <w:ind w:left="432" w:hanging="432"/>
      </w:pPr>
      <w:rPr>
        <w:rFonts w:hint="default" w:ascii="Times New Roman" w:hAnsi="Times New Roman" w:eastAsia="宋体" w:cs="Times New Roman"/>
        <w:sz w:val="24"/>
        <w:szCs w:val="24"/>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1140" w:hanging="720"/>
      </w:pPr>
      <w:rPr>
        <w:rFonts w:hint="eastAsia"/>
      </w:rPr>
    </w:lvl>
    <w:lvl w:ilvl="3" w:tentative="0">
      <w:start w:val="1"/>
      <w:numFmt w:val="decimal"/>
      <w:pStyle w:val="5"/>
      <w:isLgl/>
      <w:lvlText w:val="%1.%2.%3.%4."/>
      <w:lvlJc w:val="left"/>
      <w:pPr>
        <w:ind w:left="864" w:hanging="864"/>
      </w:pPr>
      <w:rPr>
        <w:rFonts w:hint="default" w:ascii="Times New Roman" w:hAnsi="Times New Roman" w:cs="Times New Roman"/>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NGM0MjI2ZTg3MmY0YTgyNjdjMmI0YmM1ZDg0ODkifQ=="/>
  </w:docVars>
  <w:rsids>
    <w:rsidRoot w:val="00172A27"/>
    <w:rsid w:val="001D0D4F"/>
    <w:rsid w:val="001D62CF"/>
    <w:rsid w:val="003D21B2"/>
    <w:rsid w:val="00416146"/>
    <w:rsid w:val="00537C28"/>
    <w:rsid w:val="007756C4"/>
    <w:rsid w:val="007C1CA0"/>
    <w:rsid w:val="00847DE1"/>
    <w:rsid w:val="00913906"/>
    <w:rsid w:val="00A01455"/>
    <w:rsid w:val="00CC7723"/>
    <w:rsid w:val="00CD57A9"/>
    <w:rsid w:val="00D12BE9"/>
    <w:rsid w:val="00E63FB1"/>
    <w:rsid w:val="0109567D"/>
    <w:rsid w:val="010F35DF"/>
    <w:rsid w:val="011B42D8"/>
    <w:rsid w:val="012A6E8A"/>
    <w:rsid w:val="01303AC5"/>
    <w:rsid w:val="01513D2C"/>
    <w:rsid w:val="015A30D7"/>
    <w:rsid w:val="0168529C"/>
    <w:rsid w:val="016C055C"/>
    <w:rsid w:val="01716F98"/>
    <w:rsid w:val="0178286F"/>
    <w:rsid w:val="017C2BBF"/>
    <w:rsid w:val="01931F48"/>
    <w:rsid w:val="01936E29"/>
    <w:rsid w:val="01981D96"/>
    <w:rsid w:val="01B45801"/>
    <w:rsid w:val="01B71BAA"/>
    <w:rsid w:val="01D35E86"/>
    <w:rsid w:val="01D84CCA"/>
    <w:rsid w:val="01E44CD0"/>
    <w:rsid w:val="01FA46B9"/>
    <w:rsid w:val="020016E9"/>
    <w:rsid w:val="02027EF8"/>
    <w:rsid w:val="02130326"/>
    <w:rsid w:val="021E71A1"/>
    <w:rsid w:val="022649AF"/>
    <w:rsid w:val="022C073E"/>
    <w:rsid w:val="024E4B4B"/>
    <w:rsid w:val="02545BFD"/>
    <w:rsid w:val="025D4D8E"/>
    <w:rsid w:val="026825AB"/>
    <w:rsid w:val="0273250B"/>
    <w:rsid w:val="027B0C51"/>
    <w:rsid w:val="027B3DB5"/>
    <w:rsid w:val="029610CB"/>
    <w:rsid w:val="02986227"/>
    <w:rsid w:val="02B64977"/>
    <w:rsid w:val="02B709C7"/>
    <w:rsid w:val="02DC5CB3"/>
    <w:rsid w:val="02E32D09"/>
    <w:rsid w:val="030E03D9"/>
    <w:rsid w:val="03242B56"/>
    <w:rsid w:val="032F2F9A"/>
    <w:rsid w:val="03376AFA"/>
    <w:rsid w:val="03536DCA"/>
    <w:rsid w:val="035E18C5"/>
    <w:rsid w:val="039728E7"/>
    <w:rsid w:val="03A7370A"/>
    <w:rsid w:val="03EC461B"/>
    <w:rsid w:val="03F4527E"/>
    <w:rsid w:val="04071455"/>
    <w:rsid w:val="0427666F"/>
    <w:rsid w:val="043D74C3"/>
    <w:rsid w:val="04471DFE"/>
    <w:rsid w:val="04651CD8"/>
    <w:rsid w:val="047F4A5F"/>
    <w:rsid w:val="04A04076"/>
    <w:rsid w:val="04A9142B"/>
    <w:rsid w:val="04C72631"/>
    <w:rsid w:val="04E543EF"/>
    <w:rsid w:val="050168F0"/>
    <w:rsid w:val="05141F75"/>
    <w:rsid w:val="0519242A"/>
    <w:rsid w:val="054C0424"/>
    <w:rsid w:val="05875800"/>
    <w:rsid w:val="059451CF"/>
    <w:rsid w:val="05AF1493"/>
    <w:rsid w:val="05B41169"/>
    <w:rsid w:val="05BB557A"/>
    <w:rsid w:val="05DF62C8"/>
    <w:rsid w:val="05F872A7"/>
    <w:rsid w:val="05F91A40"/>
    <w:rsid w:val="06077C8E"/>
    <w:rsid w:val="062A31D9"/>
    <w:rsid w:val="062E02DF"/>
    <w:rsid w:val="063434FA"/>
    <w:rsid w:val="063D2196"/>
    <w:rsid w:val="065808A6"/>
    <w:rsid w:val="06635526"/>
    <w:rsid w:val="067803E8"/>
    <w:rsid w:val="06802178"/>
    <w:rsid w:val="069A71DA"/>
    <w:rsid w:val="06A50676"/>
    <w:rsid w:val="06E06C9B"/>
    <w:rsid w:val="06E070B1"/>
    <w:rsid w:val="06F07F7E"/>
    <w:rsid w:val="06F75D79"/>
    <w:rsid w:val="06F87659"/>
    <w:rsid w:val="070B78EF"/>
    <w:rsid w:val="07114994"/>
    <w:rsid w:val="071A46A8"/>
    <w:rsid w:val="071B31C5"/>
    <w:rsid w:val="07666493"/>
    <w:rsid w:val="07826B17"/>
    <w:rsid w:val="07B7444B"/>
    <w:rsid w:val="07D928EF"/>
    <w:rsid w:val="07E56C59"/>
    <w:rsid w:val="0807458D"/>
    <w:rsid w:val="080C52E3"/>
    <w:rsid w:val="080D6FD4"/>
    <w:rsid w:val="082C4FE6"/>
    <w:rsid w:val="08327B35"/>
    <w:rsid w:val="084405CF"/>
    <w:rsid w:val="08564759"/>
    <w:rsid w:val="08A52E38"/>
    <w:rsid w:val="08CA60DE"/>
    <w:rsid w:val="08D6580C"/>
    <w:rsid w:val="08E55D4F"/>
    <w:rsid w:val="08E70DB8"/>
    <w:rsid w:val="090761B6"/>
    <w:rsid w:val="09185481"/>
    <w:rsid w:val="09224E76"/>
    <w:rsid w:val="092F07AF"/>
    <w:rsid w:val="095B375B"/>
    <w:rsid w:val="09627C23"/>
    <w:rsid w:val="097B34EB"/>
    <w:rsid w:val="098609DA"/>
    <w:rsid w:val="099C619C"/>
    <w:rsid w:val="099D1E03"/>
    <w:rsid w:val="099D49DC"/>
    <w:rsid w:val="09A60B60"/>
    <w:rsid w:val="09BF273F"/>
    <w:rsid w:val="09CE5F08"/>
    <w:rsid w:val="09E813E1"/>
    <w:rsid w:val="09F3183F"/>
    <w:rsid w:val="09FB32D3"/>
    <w:rsid w:val="09FD689E"/>
    <w:rsid w:val="0A0E0358"/>
    <w:rsid w:val="0A0F1265"/>
    <w:rsid w:val="0A2228D3"/>
    <w:rsid w:val="0A5706A0"/>
    <w:rsid w:val="0A9E6504"/>
    <w:rsid w:val="0A9E7363"/>
    <w:rsid w:val="0AA23D5D"/>
    <w:rsid w:val="0AB0784A"/>
    <w:rsid w:val="0AD51729"/>
    <w:rsid w:val="0ADB3A98"/>
    <w:rsid w:val="0AE7756C"/>
    <w:rsid w:val="0AE9345B"/>
    <w:rsid w:val="0B116715"/>
    <w:rsid w:val="0B4959D5"/>
    <w:rsid w:val="0B556B8C"/>
    <w:rsid w:val="0B595728"/>
    <w:rsid w:val="0B6A4C63"/>
    <w:rsid w:val="0B846E13"/>
    <w:rsid w:val="0BC15738"/>
    <w:rsid w:val="0BCE0CEE"/>
    <w:rsid w:val="0BD620BD"/>
    <w:rsid w:val="0BF636EE"/>
    <w:rsid w:val="0BF7616F"/>
    <w:rsid w:val="0BFB189F"/>
    <w:rsid w:val="0C0369A6"/>
    <w:rsid w:val="0C106FE1"/>
    <w:rsid w:val="0C130CA6"/>
    <w:rsid w:val="0C24432C"/>
    <w:rsid w:val="0C2C773C"/>
    <w:rsid w:val="0C32260D"/>
    <w:rsid w:val="0C402010"/>
    <w:rsid w:val="0C986931"/>
    <w:rsid w:val="0CBB2A92"/>
    <w:rsid w:val="0CC2383E"/>
    <w:rsid w:val="0CCA4010"/>
    <w:rsid w:val="0CD76290"/>
    <w:rsid w:val="0CF45F78"/>
    <w:rsid w:val="0CF54541"/>
    <w:rsid w:val="0CF97F90"/>
    <w:rsid w:val="0CFB1E2B"/>
    <w:rsid w:val="0D1C6963"/>
    <w:rsid w:val="0D27282F"/>
    <w:rsid w:val="0D306C48"/>
    <w:rsid w:val="0D3966BB"/>
    <w:rsid w:val="0D405202"/>
    <w:rsid w:val="0D4167BB"/>
    <w:rsid w:val="0D535D40"/>
    <w:rsid w:val="0D651C6D"/>
    <w:rsid w:val="0D662D48"/>
    <w:rsid w:val="0D860D77"/>
    <w:rsid w:val="0D935D3E"/>
    <w:rsid w:val="0DB72648"/>
    <w:rsid w:val="0DD26630"/>
    <w:rsid w:val="0E066246"/>
    <w:rsid w:val="0E114C33"/>
    <w:rsid w:val="0E1166AC"/>
    <w:rsid w:val="0E1413B3"/>
    <w:rsid w:val="0E154415"/>
    <w:rsid w:val="0E4B56FE"/>
    <w:rsid w:val="0E6E3596"/>
    <w:rsid w:val="0E862F81"/>
    <w:rsid w:val="0E897EDF"/>
    <w:rsid w:val="0E8A0CB9"/>
    <w:rsid w:val="0E8D51BD"/>
    <w:rsid w:val="0EAC0C2F"/>
    <w:rsid w:val="0EAE6E25"/>
    <w:rsid w:val="0EE8316C"/>
    <w:rsid w:val="0EEA2C23"/>
    <w:rsid w:val="0EEB49F4"/>
    <w:rsid w:val="0EF34243"/>
    <w:rsid w:val="0EF362AE"/>
    <w:rsid w:val="0F123A11"/>
    <w:rsid w:val="0F3C4D66"/>
    <w:rsid w:val="0F441D8F"/>
    <w:rsid w:val="0F48266B"/>
    <w:rsid w:val="0F4A0A0C"/>
    <w:rsid w:val="0F4E40AA"/>
    <w:rsid w:val="0F5124BC"/>
    <w:rsid w:val="0F5341AC"/>
    <w:rsid w:val="0F65408C"/>
    <w:rsid w:val="0FB7730F"/>
    <w:rsid w:val="0FC24CF5"/>
    <w:rsid w:val="0FC73060"/>
    <w:rsid w:val="0FC81FC1"/>
    <w:rsid w:val="0FC9029D"/>
    <w:rsid w:val="0FF306AB"/>
    <w:rsid w:val="0FF359D7"/>
    <w:rsid w:val="100107CC"/>
    <w:rsid w:val="102173FB"/>
    <w:rsid w:val="1026713C"/>
    <w:rsid w:val="104061FB"/>
    <w:rsid w:val="105B0B5E"/>
    <w:rsid w:val="108D69C8"/>
    <w:rsid w:val="10A033F9"/>
    <w:rsid w:val="10AD0C8E"/>
    <w:rsid w:val="10BF061E"/>
    <w:rsid w:val="10C13953"/>
    <w:rsid w:val="10F13271"/>
    <w:rsid w:val="111451B1"/>
    <w:rsid w:val="11382C4E"/>
    <w:rsid w:val="113A3C6A"/>
    <w:rsid w:val="115517D2"/>
    <w:rsid w:val="11602D5A"/>
    <w:rsid w:val="116F6C85"/>
    <w:rsid w:val="11780981"/>
    <w:rsid w:val="117C31BA"/>
    <w:rsid w:val="11A61603"/>
    <w:rsid w:val="11C50EB0"/>
    <w:rsid w:val="11E43D00"/>
    <w:rsid w:val="11ED1C8A"/>
    <w:rsid w:val="12521ADD"/>
    <w:rsid w:val="12552A24"/>
    <w:rsid w:val="125F53C0"/>
    <w:rsid w:val="128E786C"/>
    <w:rsid w:val="12A52565"/>
    <w:rsid w:val="12A85BB1"/>
    <w:rsid w:val="12B65A77"/>
    <w:rsid w:val="12CA622D"/>
    <w:rsid w:val="13034801"/>
    <w:rsid w:val="13327BCF"/>
    <w:rsid w:val="13385187"/>
    <w:rsid w:val="1347068B"/>
    <w:rsid w:val="136000D8"/>
    <w:rsid w:val="136F3FAF"/>
    <w:rsid w:val="13AE0697"/>
    <w:rsid w:val="13C36764"/>
    <w:rsid w:val="13D44784"/>
    <w:rsid w:val="13DF0C4E"/>
    <w:rsid w:val="13E23345"/>
    <w:rsid w:val="13F54834"/>
    <w:rsid w:val="1407341B"/>
    <w:rsid w:val="140D30E4"/>
    <w:rsid w:val="141A0EEC"/>
    <w:rsid w:val="142631A0"/>
    <w:rsid w:val="1439760C"/>
    <w:rsid w:val="143A10DD"/>
    <w:rsid w:val="1455605B"/>
    <w:rsid w:val="14773A8D"/>
    <w:rsid w:val="147F49DD"/>
    <w:rsid w:val="14890E23"/>
    <w:rsid w:val="148A1802"/>
    <w:rsid w:val="148C370F"/>
    <w:rsid w:val="14A975E6"/>
    <w:rsid w:val="14C91E0F"/>
    <w:rsid w:val="14F23BA2"/>
    <w:rsid w:val="15163CC0"/>
    <w:rsid w:val="15307872"/>
    <w:rsid w:val="153F4517"/>
    <w:rsid w:val="156009C5"/>
    <w:rsid w:val="156F5366"/>
    <w:rsid w:val="159C6E2F"/>
    <w:rsid w:val="15A20FDE"/>
    <w:rsid w:val="15A4774D"/>
    <w:rsid w:val="15BD3FF6"/>
    <w:rsid w:val="15BF59CD"/>
    <w:rsid w:val="15CC365E"/>
    <w:rsid w:val="15D27C89"/>
    <w:rsid w:val="15ED488F"/>
    <w:rsid w:val="15FA1DEB"/>
    <w:rsid w:val="160F2206"/>
    <w:rsid w:val="161C5847"/>
    <w:rsid w:val="16232935"/>
    <w:rsid w:val="163E198F"/>
    <w:rsid w:val="16400CC1"/>
    <w:rsid w:val="16401365"/>
    <w:rsid w:val="164E2A10"/>
    <w:rsid w:val="16513C2D"/>
    <w:rsid w:val="16B836ED"/>
    <w:rsid w:val="16FB7BE0"/>
    <w:rsid w:val="17090456"/>
    <w:rsid w:val="170C14AA"/>
    <w:rsid w:val="175D719D"/>
    <w:rsid w:val="176A1324"/>
    <w:rsid w:val="1784295A"/>
    <w:rsid w:val="179447DC"/>
    <w:rsid w:val="17AA19E9"/>
    <w:rsid w:val="17D86F39"/>
    <w:rsid w:val="17E66DA7"/>
    <w:rsid w:val="17EF64FB"/>
    <w:rsid w:val="180955CD"/>
    <w:rsid w:val="18267CA4"/>
    <w:rsid w:val="184F0509"/>
    <w:rsid w:val="185F343A"/>
    <w:rsid w:val="1869193F"/>
    <w:rsid w:val="189564E7"/>
    <w:rsid w:val="189D4FA6"/>
    <w:rsid w:val="189E7349"/>
    <w:rsid w:val="18A63FD4"/>
    <w:rsid w:val="18B04343"/>
    <w:rsid w:val="18B161D9"/>
    <w:rsid w:val="18CB5C1D"/>
    <w:rsid w:val="18D17A0D"/>
    <w:rsid w:val="18DE1D14"/>
    <w:rsid w:val="18E13B03"/>
    <w:rsid w:val="18EB252E"/>
    <w:rsid w:val="19063631"/>
    <w:rsid w:val="190862E8"/>
    <w:rsid w:val="190D5C7E"/>
    <w:rsid w:val="19202945"/>
    <w:rsid w:val="192D6183"/>
    <w:rsid w:val="19313638"/>
    <w:rsid w:val="193145E7"/>
    <w:rsid w:val="19333C3D"/>
    <w:rsid w:val="193D716E"/>
    <w:rsid w:val="195E4AA8"/>
    <w:rsid w:val="19616ABA"/>
    <w:rsid w:val="19860E9C"/>
    <w:rsid w:val="198D28A8"/>
    <w:rsid w:val="19946FEC"/>
    <w:rsid w:val="19992728"/>
    <w:rsid w:val="19A22CB6"/>
    <w:rsid w:val="19A62676"/>
    <w:rsid w:val="19B337B9"/>
    <w:rsid w:val="1A01726E"/>
    <w:rsid w:val="1A032EBC"/>
    <w:rsid w:val="1A0D7BC8"/>
    <w:rsid w:val="1A0F7EA4"/>
    <w:rsid w:val="1A1106B5"/>
    <w:rsid w:val="1A162936"/>
    <w:rsid w:val="1A3F6DFB"/>
    <w:rsid w:val="1A4F6219"/>
    <w:rsid w:val="1A52490A"/>
    <w:rsid w:val="1A5B35B6"/>
    <w:rsid w:val="1A6A6998"/>
    <w:rsid w:val="1A98098E"/>
    <w:rsid w:val="1AA2382E"/>
    <w:rsid w:val="1AA50062"/>
    <w:rsid w:val="1AB74ED3"/>
    <w:rsid w:val="1ACF1EB6"/>
    <w:rsid w:val="1AD02149"/>
    <w:rsid w:val="1AE1108A"/>
    <w:rsid w:val="1AE6641C"/>
    <w:rsid w:val="1AF4187E"/>
    <w:rsid w:val="1AF65BF0"/>
    <w:rsid w:val="1B065332"/>
    <w:rsid w:val="1B19090E"/>
    <w:rsid w:val="1B1C538E"/>
    <w:rsid w:val="1B4D757D"/>
    <w:rsid w:val="1B505ABD"/>
    <w:rsid w:val="1B5468D6"/>
    <w:rsid w:val="1B5547BD"/>
    <w:rsid w:val="1B6377BC"/>
    <w:rsid w:val="1B74722B"/>
    <w:rsid w:val="1B9510AD"/>
    <w:rsid w:val="1B985052"/>
    <w:rsid w:val="1BAD248A"/>
    <w:rsid w:val="1BAF3F22"/>
    <w:rsid w:val="1BBB4BA7"/>
    <w:rsid w:val="1BC81FF8"/>
    <w:rsid w:val="1BE6441C"/>
    <w:rsid w:val="1BF41F5A"/>
    <w:rsid w:val="1C0277C3"/>
    <w:rsid w:val="1C035342"/>
    <w:rsid w:val="1C131008"/>
    <w:rsid w:val="1C152523"/>
    <w:rsid w:val="1C250273"/>
    <w:rsid w:val="1C2C049D"/>
    <w:rsid w:val="1C4E435B"/>
    <w:rsid w:val="1C62222F"/>
    <w:rsid w:val="1C677EF0"/>
    <w:rsid w:val="1C83177C"/>
    <w:rsid w:val="1C9B36EC"/>
    <w:rsid w:val="1CB127B7"/>
    <w:rsid w:val="1CB50A20"/>
    <w:rsid w:val="1CC86AD8"/>
    <w:rsid w:val="1CDB3119"/>
    <w:rsid w:val="1CF26136"/>
    <w:rsid w:val="1D054796"/>
    <w:rsid w:val="1D103C63"/>
    <w:rsid w:val="1D124E09"/>
    <w:rsid w:val="1D150738"/>
    <w:rsid w:val="1D194685"/>
    <w:rsid w:val="1D1C79FF"/>
    <w:rsid w:val="1D295EB8"/>
    <w:rsid w:val="1D320FEB"/>
    <w:rsid w:val="1D3B2760"/>
    <w:rsid w:val="1D6F5F70"/>
    <w:rsid w:val="1D8021AF"/>
    <w:rsid w:val="1D8D5C09"/>
    <w:rsid w:val="1DB564F2"/>
    <w:rsid w:val="1DC05DDB"/>
    <w:rsid w:val="1DD70B68"/>
    <w:rsid w:val="1DE859FC"/>
    <w:rsid w:val="1DEC2CAE"/>
    <w:rsid w:val="1E226679"/>
    <w:rsid w:val="1E3119C8"/>
    <w:rsid w:val="1E393785"/>
    <w:rsid w:val="1E454DA8"/>
    <w:rsid w:val="1E480063"/>
    <w:rsid w:val="1E52007A"/>
    <w:rsid w:val="1E676920"/>
    <w:rsid w:val="1E6F5EC0"/>
    <w:rsid w:val="1E8F1E8C"/>
    <w:rsid w:val="1EC6195B"/>
    <w:rsid w:val="1ED4612B"/>
    <w:rsid w:val="1EE934BD"/>
    <w:rsid w:val="1EF132E3"/>
    <w:rsid w:val="1F0964E8"/>
    <w:rsid w:val="1F2075FC"/>
    <w:rsid w:val="1F2914CD"/>
    <w:rsid w:val="1F2F1AB0"/>
    <w:rsid w:val="1F3A0014"/>
    <w:rsid w:val="1F3A2E6A"/>
    <w:rsid w:val="1F407595"/>
    <w:rsid w:val="1F501E22"/>
    <w:rsid w:val="1F535841"/>
    <w:rsid w:val="1F557448"/>
    <w:rsid w:val="1F6A52B0"/>
    <w:rsid w:val="1F867679"/>
    <w:rsid w:val="1F910CA8"/>
    <w:rsid w:val="1F974FE3"/>
    <w:rsid w:val="1F99742A"/>
    <w:rsid w:val="1F9D6D7F"/>
    <w:rsid w:val="1FC81641"/>
    <w:rsid w:val="1FD16090"/>
    <w:rsid w:val="1FEF57D7"/>
    <w:rsid w:val="201E7D74"/>
    <w:rsid w:val="204C45EF"/>
    <w:rsid w:val="204D64F5"/>
    <w:rsid w:val="20592BE1"/>
    <w:rsid w:val="207900AE"/>
    <w:rsid w:val="208539D6"/>
    <w:rsid w:val="20941F97"/>
    <w:rsid w:val="20A42F64"/>
    <w:rsid w:val="20BF1BBF"/>
    <w:rsid w:val="20C06D5C"/>
    <w:rsid w:val="20D065B4"/>
    <w:rsid w:val="20D52644"/>
    <w:rsid w:val="20E1229E"/>
    <w:rsid w:val="20EA1D39"/>
    <w:rsid w:val="210E4668"/>
    <w:rsid w:val="21260D15"/>
    <w:rsid w:val="212779DE"/>
    <w:rsid w:val="213974E4"/>
    <w:rsid w:val="213C26B8"/>
    <w:rsid w:val="215E6E7B"/>
    <w:rsid w:val="21A13BD2"/>
    <w:rsid w:val="21C53DE9"/>
    <w:rsid w:val="21ED4F0B"/>
    <w:rsid w:val="21F91C53"/>
    <w:rsid w:val="21FB0435"/>
    <w:rsid w:val="220A3960"/>
    <w:rsid w:val="221920BE"/>
    <w:rsid w:val="223C190B"/>
    <w:rsid w:val="223E1A2C"/>
    <w:rsid w:val="223F6FEE"/>
    <w:rsid w:val="22401BCB"/>
    <w:rsid w:val="224105B7"/>
    <w:rsid w:val="22460F43"/>
    <w:rsid w:val="225476A0"/>
    <w:rsid w:val="22947F00"/>
    <w:rsid w:val="22A36129"/>
    <w:rsid w:val="22B41C50"/>
    <w:rsid w:val="22B72D6F"/>
    <w:rsid w:val="22C456E8"/>
    <w:rsid w:val="22CB55F2"/>
    <w:rsid w:val="22FA46BB"/>
    <w:rsid w:val="23056236"/>
    <w:rsid w:val="231329C3"/>
    <w:rsid w:val="231C3180"/>
    <w:rsid w:val="232E0A37"/>
    <w:rsid w:val="233C2AA8"/>
    <w:rsid w:val="23690166"/>
    <w:rsid w:val="23805906"/>
    <w:rsid w:val="2392040E"/>
    <w:rsid w:val="23AA24C5"/>
    <w:rsid w:val="23AE29E0"/>
    <w:rsid w:val="23B06A0D"/>
    <w:rsid w:val="23B17181"/>
    <w:rsid w:val="23CA198C"/>
    <w:rsid w:val="23F72934"/>
    <w:rsid w:val="23F85D54"/>
    <w:rsid w:val="23FB3508"/>
    <w:rsid w:val="2427199A"/>
    <w:rsid w:val="24445D31"/>
    <w:rsid w:val="245530AB"/>
    <w:rsid w:val="24575689"/>
    <w:rsid w:val="24706FDE"/>
    <w:rsid w:val="2471674B"/>
    <w:rsid w:val="24947236"/>
    <w:rsid w:val="24C6361B"/>
    <w:rsid w:val="24D01FD5"/>
    <w:rsid w:val="24F7465B"/>
    <w:rsid w:val="251A70CA"/>
    <w:rsid w:val="25535D24"/>
    <w:rsid w:val="255F7DC3"/>
    <w:rsid w:val="256E3030"/>
    <w:rsid w:val="2576528F"/>
    <w:rsid w:val="257D6919"/>
    <w:rsid w:val="257F27A2"/>
    <w:rsid w:val="25827C82"/>
    <w:rsid w:val="258422E5"/>
    <w:rsid w:val="25853F86"/>
    <w:rsid w:val="2587375A"/>
    <w:rsid w:val="259908EF"/>
    <w:rsid w:val="25A03530"/>
    <w:rsid w:val="25AE3087"/>
    <w:rsid w:val="25B00E12"/>
    <w:rsid w:val="25BA2A67"/>
    <w:rsid w:val="25D96AD4"/>
    <w:rsid w:val="25E0435A"/>
    <w:rsid w:val="25E16B06"/>
    <w:rsid w:val="25E71903"/>
    <w:rsid w:val="25F87A5B"/>
    <w:rsid w:val="2601765A"/>
    <w:rsid w:val="26071F00"/>
    <w:rsid w:val="26183672"/>
    <w:rsid w:val="26185916"/>
    <w:rsid w:val="262349F0"/>
    <w:rsid w:val="26385B7B"/>
    <w:rsid w:val="263B5639"/>
    <w:rsid w:val="26584055"/>
    <w:rsid w:val="26632D28"/>
    <w:rsid w:val="266754E1"/>
    <w:rsid w:val="267B25A9"/>
    <w:rsid w:val="268404ED"/>
    <w:rsid w:val="269645DA"/>
    <w:rsid w:val="26A57905"/>
    <w:rsid w:val="26AF05DB"/>
    <w:rsid w:val="26B4073C"/>
    <w:rsid w:val="26D1641A"/>
    <w:rsid w:val="26EC0FAA"/>
    <w:rsid w:val="26EF7151"/>
    <w:rsid w:val="26F14496"/>
    <w:rsid w:val="26FB3E91"/>
    <w:rsid w:val="270E1FAA"/>
    <w:rsid w:val="270E793C"/>
    <w:rsid w:val="27124D82"/>
    <w:rsid w:val="2730304F"/>
    <w:rsid w:val="27546DF6"/>
    <w:rsid w:val="27552C41"/>
    <w:rsid w:val="27563F73"/>
    <w:rsid w:val="2782692E"/>
    <w:rsid w:val="27870709"/>
    <w:rsid w:val="27B563DF"/>
    <w:rsid w:val="27C666B8"/>
    <w:rsid w:val="27D91A27"/>
    <w:rsid w:val="27E02F41"/>
    <w:rsid w:val="2801390B"/>
    <w:rsid w:val="28036C62"/>
    <w:rsid w:val="28285372"/>
    <w:rsid w:val="28341D7A"/>
    <w:rsid w:val="28693C32"/>
    <w:rsid w:val="288257A9"/>
    <w:rsid w:val="288D7C6A"/>
    <w:rsid w:val="2892036F"/>
    <w:rsid w:val="28AB6513"/>
    <w:rsid w:val="28C2168B"/>
    <w:rsid w:val="28E44C30"/>
    <w:rsid w:val="290343AE"/>
    <w:rsid w:val="29084E9F"/>
    <w:rsid w:val="292C49EE"/>
    <w:rsid w:val="292D4C60"/>
    <w:rsid w:val="29347323"/>
    <w:rsid w:val="293607E6"/>
    <w:rsid w:val="295773C3"/>
    <w:rsid w:val="296D5306"/>
    <w:rsid w:val="29795C48"/>
    <w:rsid w:val="2990521F"/>
    <w:rsid w:val="299D6642"/>
    <w:rsid w:val="29A533F1"/>
    <w:rsid w:val="29B17478"/>
    <w:rsid w:val="29CA5DD4"/>
    <w:rsid w:val="29D37560"/>
    <w:rsid w:val="2A1F1BD6"/>
    <w:rsid w:val="2A366B50"/>
    <w:rsid w:val="2A375D41"/>
    <w:rsid w:val="2A395CBF"/>
    <w:rsid w:val="2A3D15E0"/>
    <w:rsid w:val="2A477274"/>
    <w:rsid w:val="2A5078E5"/>
    <w:rsid w:val="2A574BB1"/>
    <w:rsid w:val="2A5A37DD"/>
    <w:rsid w:val="2A731694"/>
    <w:rsid w:val="2A862824"/>
    <w:rsid w:val="2A8A20AC"/>
    <w:rsid w:val="2ABF3308"/>
    <w:rsid w:val="2AC30FDA"/>
    <w:rsid w:val="2ACB6489"/>
    <w:rsid w:val="2AF338DE"/>
    <w:rsid w:val="2AF94710"/>
    <w:rsid w:val="2B140434"/>
    <w:rsid w:val="2B2617E7"/>
    <w:rsid w:val="2B2D0EF2"/>
    <w:rsid w:val="2B4045EC"/>
    <w:rsid w:val="2B412624"/>
    <w:rsid w:val="2B493434"/>
    <w:rsid w:val="2B497119"/>
    <w:rsid w:val="2B5451AE"/>
    <w:rsid w:val="2B646892"/>
    <w:rsid w:val="2B681FC0"/>
    <w:rsid w:val="2B844752"/>
    <w:rsid w:val="2B967E92"/>
    <w:rsid w:val="2B99754B"/>
    <w:rsid w:val="2BA51A24"/>
    <w:rsid w:val="2BA875D1"/>
    <w:rsid w:val="2BBC409C"/>
    <w:rsid w:val="2BCA5C14"/>
    <w:rsid w:val="2BEB1C6C"/>
    <w:rsid w:val="2C0534BA"/>
    <w:rsid w:val="2C07445C"/>
    <w:rsid w:val="2C1F4CDE"/>
    <w:rsid w:val="2C360683"/>
    <w:rsid w:val="2C3C462B"/>
    <w:rsid w:val="2C506C46"/>
    <w:rsid w:val="2C583894"/>
    <w:rsid w:val="2C7C2AFF"/>
    <w:rsid w:val="2C7E31FB"/>
    <w:rsid w:val="2C9247DF"/>
    <w:rsid w:val="2CA74A1D"/>
    <w:rsid w:val="2CA9797E"/>
    <w:rsid w:val="2CB02845"/>
    <w:rsid w:val="2CBB4503"/>
    <w:rsid w:val="2CBC3AA3"/>
    <w:rsid w:val="2CC75C55"/>
    <w:rsid w:val="2CCF3D35"/>
    <w:rsid w:val="2CDA041C"/>
    <w:rsid w:val="2CDF0814"/>
    <w:rsid w:val="2CF86188"/>
    <w:rsid w:val="2D0C0B10"/>
    <w:rsid w:val="2D105055"/>
    <w:rsid w:val="2D220EFC"/>
    <w:rsid w:val="2D231865"/>
    <w:rsid w:val="2D3431B5"/>
    <w:rsid w:val="2D435C6F"/>
    <w:rsid w:val="2D72779F"/>
    <w:rsid w:val="2D9A6805"/>
    <w:rsid w:val="2DC0320A"/>
    <w:rsid w:val="2DE13323"/>
    <w:rsid w:val="2DFA0A4B"/>
    <w:rsid w:val="2E301C2F"/>
    <w:rsid w:val="2E55770F"/>
    <w:rsid w:val="2E5B34D4"/>
    <w:rsid w:val="2E647B54"/>
    <w:rsid w:val="2E870020"/>
    <w:rsid w:val="2EA37E62"/>
    <w:rsid w:val="2EB02440"/>
    <w:rsid w:val="2ED25149"/>
    <w:rsid w:val="2EDE5BAA"/>
    <w:rsid w:val="2EDF2B00"/>
    <w:rsid w:val="2EF835C5"/>
    <w:rsid w:val="2F31468B"/>
    <w:rsid w:val="2F3C0777"/>
    <w:rsid w:val="2F3F2992"/>
    <w:rsid w:val="2F420405"/>
    <w:rsid w:val="2F4416F6"/>
    <w:rsid w:val="2F477B81"/>
    <w:rsid w:val="2F5665A0"/>
    <w:rsid w:val="2F5F21BE"/>
    <w:rsid w:val="2F647DDB"/>
    <w:rsid w:val="2F784715"/>
    <w:rsid w:val="2F974B8C"/>
    <w:rsid w:val="2F9A7705"/>
    <w:rsid w:val="2F9E5B52"/>
    <w:rsid w:val="2FA15A0A"/>
    <w:rsid w:val="2FD4612C"/>
    <w:rsid w:val="3000275E"/>
    <w:rsid w:val="302836E6"/>
    <w:rsid w:val="30320FF0"/>
    <w:rsid w:val="303B7968"/>
    <w:rsid w:val="30527E28"/>
    <w:rsid w:val="30542A7D"/>
    <w:rsid w:val="305E66F7"/>
    <w:rsid w:val="30B73555"/>
    <w:rsid w:val="30C5329D"/>
    <w:rsid w:val="30D76E0C"/>
    <w:rsid w:val="30F10A90"/>
    <w:rsid w:val="31006FFC"/>
    <w:rsid w:val="31037D5F"/>
    <w:rsid w:val="31140B8A"/>
    <w:rsid w:val="31167171"/>
    <w:rsid w:val="311B7876"/>
    <w:rsid w:val="31236394"/>
    <w:rsid w:val="31267B24"/>
    <w:rsid w:val="312B4864"/>
    <w:rsid w:val="3135329F"/>
    <w:rsid w:val="314909AF"/>
    <w:rsid w:val="315C608D"/>
    <w:rsid w:val="316E7045"/>
    <w:rsid w:val="317A3435"/>
    <w:rsid w:val="318001D5"/>
    <w:rsid w:val="319B39B5"/>
    <w:rsid w:val="31A17F44"/>
    <w:rsid w:val="31AC0D84"/>
    <w:rsid w:val="31C227DC"/>
    <w:rsid w:val="31C44053"/>
    <w:rsid w:val="31C86C61"/>
    <w:rsid w:val="31DA258F"/>
    <w:rsid w:val="31DE34CE"/>
    <w:rsid w:val="31FB70D9"/>
    <w:rsid w:val="31FE5B24"/>
    <w:rsid w:val="32113CAC"/>
    <w:rsid w:val="32123E0C"/>
    <w:rsid w:val="321C3BD0"/>
    <w:rsid w:val="32203510"/>
    <w:rsid w:val="3220355E"/>
    <w:rsid w:val="32314A42"/>
    <w:rsid w:val="32540FE5"/>
    <w:rsid w:val="326115A9"/>
    <w:rsid w:val="326B5ED8"/>
    <w:rsid w:val="326E6078"/>
    <w:rsid w:val="32813E74"/>
    <w:rsid w:val="328B681F"/>
    <w:rsid w:val="329E5241"/>
    <w:rsid w:val="32A17AF1"/>
    <w:rsid w:val="32A270ED"/>
    <w:rsid w:val="32D0456D"/>
    <w:rsid w:val="32D22500"/>
    <w:rsid w:val="32E4633A"/>
    <w:rsid w:val="32E87316"/>
    <w:rsid w:val="32F142FB"/>
    <w:rsid w:val="32F27FA6"/>
    <w:rsid w:val="33403780"/>
    <w:rsid w:val="3353526D"/>
    <w:rsid w:val="33605193"/>
    <w:rsid w:val="339C6C14"/>
    <w:rsid w:val="339D6BE7"/>
    <w:rsid w:val="33B74A82"/>
    <w:rsid w:val="33B91A10"/>
    <w:rsid w:val="33D068BE"/>
    <w:rsid w:val="33E74334"/>
    <w:rsid w:val="34072A33"/>
    <w:rsid w:val="34072F4B"/>
    <w:rsid w:val="340A4A64"/>
    <w:rsid w:val="340C53B5"/>
    <w:rsid w:val="340E15C9"/>
    <w:rsid w:val="3432391C"/>
    <w:rsid w:val="34562AEE"/>
    <w:rsid w:val="345E575E"/>
    <w:rsid w:val="346378E4"/>
    <w:rsid w:val="346B3592"/>
    <w:rsid w:val="34994ECB"/>
    <w:rsid w:val="34AA6624"/>
    <w:rsid w:val="34BE4C95"/>
    <w:rsid w:val="34C870A7"/>
    <w:rsid w:val="34F31743"/>
    <w:rsid w:val="351141D2"/>
    <w:rsid w:val="35174A4B"/>
    <w:rsid w:val="352C75CA"/>
    <w:rsid w:val="3547627C"/>
    <w:rsid w:val="354931FE"/>
    <w:rsid w:val="355E4FE4"/>
    <w:rsid w:val="35771331"/>
    <w:rsid w:val="357C4F4F"/>
    <w:rsid w:val="357E3A95"/>
    <w:rsid w:val="358631C5"/>
    <w:rsid w:val="35A33896"/>
    <w:rsid w:val="35A83BD2"/>
    <w:rsid w:val="35C33FE4"/>
    <w:rsid w:val="35D428E5"/>
    <w:rsid w:val="35DD18A8"/>
    <w:rsid w:val="35E60DD4"/>
    <w:rsid w:val="35FF4747"/>
    <w:rsid w:val="36200124"/>
    <w:rsid w:val="36210A10"/>
    <w:rsid w:val="362D0D3E"/>
    <w:rsid w:val="363301AF"/>
    <w:rsid w:val="363E09B9"/>
    <w:rsid w:val="363F6787"/>
    <w:rsid w:val="364025EB"/>
    <w:rsid w:val="365E5169"/>
    <w:rsid w:val="366D695F"/>
    <w:rsid w:val="366F1648"/>
    <w:rsid w:val="36703254"/>
    <w:rsid w:val="368C7344"/>
    <w:rsid w:val="36902583"/>
    <w:rsid w:val="36A36628"/>
    <w:rsid w:val="36B63A60"/>
    <w:rsid w:val="36BB6A41"/>
    <w:rsid w:val="36CE3EDB"/>
    <w:rsid w:val="36D44FE4"/>
    <w:rsid w:val="36DC584E"/>
    <w:rsid w:val="36DD3259"/>
    <w:rsid w:val="36EE5B8C"/>
    <w:rsid w:val="36FE6E8E"/>
    <w:rsid w:val="3703231C"/>
    <w:rsid w:val="37274FCF"/>
    <w:rsid w:val="372F7862"/>
    <w:rsid w:val="37307B8E"/>
    <w:rsid w:val="37356E6D"/>
    <w:rsid w:val="373A192F"/>
    <w:rsid w:val="37444FA5"/>
    <w:rsid w:val="374719FE"/>
    <w:rsid w:val="374A619C"/>
    <w:rsid w:val="375B4462"/>
    <w:rsid w:val="376A426E"/>
    <w:rsid w:val="37AA4A5F"/>
    <w:rsid w:val="37B53330"/>
    <w:rsid w:val="37B62A06"/>
    <w:rsid w:val="37CE2706"/>
    <w:rsid w:val="37E00B84"/>
    <w:rsid w:val="37E6684E"/>
    <w:rsid w:val="37E816E8"/>
    <w:rsid w:val="38061942"/>
    <w:rsid w:val="380F34C1"/>
    <w:rsid w:val="381A45AC"/>
    <w:rsid w:val="384A0187"/>
    <w:rsid w:val="384B3620"/>
    <w:rsid w:val="386E11B1"/>
    <w:rsid w:val="387168C2"/>
    <w:rsid w:val="38774379"/>
    <w:rsid w:val="388008E9"/>
    <w:rsid w:val="38804D57"/>
    <w:rsid w:val="38C449D5"/>
    <w:rsid w:val="38C75EED"/>
    <w:rsid w:val="38CE495F"/>
    <w:rsid w:val="38EC5F48"/>
    <w:rsid w:val="38EE7264"/>
    <w:rsid w:val="38FC2F77"/>
    <w:rsid w:val="390042CA"/>
    <w:rsid w:val="39177729"/>
    <w:rsid w:val="391E5B25"/>
    <w:rsid w:val="39372F70"/>
    <w:rsid w:val="39444E45"/>
    <w:rsid w:val="396054F7"/>
    <w:rsid w:val="39653C7D"/>
    <w:rsid w:val="39700D2A"/>
    <w:rsid w:val="39741DD8"/>
    <w:rsid w:val="397B33B1"/>
    <w:rsid w:val="398C45B5"/>
    <w:rsid w:val="39AD1648"/>
    <w:rsid w:val="39BB2424"/>
    <w:rsid w:val="39C63DEC"/>
    <w:rsid w:val="39F4030C"/>
    <w:rsid w:val="3A1169BA"/>
    <w:rsid w:val="3A136CE7"/>
    <w:rsid w:val="3A161EE9"/>
    <w:rsid w:val="3A1B493E"/>
    <w:rsid w:val="3A3000B7"/>
    <w:rsid w:val="3A4060A3"/>
    <w:rsid w:val="3A420D2F"/>
    <w:rsid w:val="3A540410"/>
    <w:rsid w:val="3A672846"/>
    <w:rsid w:val="3A8F3B7E"/>
    <w:rsid w:val="3AA44E1B"/>
    <w:rsid w:val="3AB466E0"/>
    <w:rsid w:val="3AEF1D20"/>
    <w:rsid w:val="3AF030E7"/>
    <w:rsid w:val="3B0C0187"/>
    <w:rsid w:val="3B141786"/>
    <w:rsid w:val="3B1F4A73"/>
    <w:rsid w:val="3B564B9B"/>
    <w:rsid w:val="3B7B25D0"/>
    <w:rsid w:val="3BA2717A"/>
    <w:rsid w:val="3BAF0FED"/>
    <w:rsid w:val="3BC00AA4"/>
    <w:rsid w:val="3BCE4F85"/>
    <w:rsid w:val="3BDD1F6C"/>
    <w:rsid w:val="3BF01660"/>
    <w:rsid w:val="3BF77287"/>
    <w:rsid w:val="3BFC7ABB"/>
    <w:rsid w:val="3C240A0A"/>
    <w:rsid w:val="3C46639A"/>
    <w:rsid w:val="3C473825"/>
    <w:rsid w:val="3C611042"/>
    <w:rsid w:val="3C656155"/>
    <w:rsid w:val="3C7A1ABD"/>
    <w:rsid w:val="3CA92A92"/>
    <w:rsid w:val="3CD92E8E"/>
    <w:rsid w:val="3CD95ADB"/>
    <w:rsid w:val="3CE63393"/>
    <w:rsid w:val="3CE6701E"/>
    <w:rsid w:val="3CFA5C4B"/>
    <w:rsid w:val="3D197A98"/>
    <w:rsid w:val="3D22713B"/>
    <w:rsid w:val="3D257C7B"/>
    <w:rsid w:val="3D2911AB"/>
    <w:rsid w:val="3D2A60C8"/>
    <w:rsid w:val="3D3219AF"/>
    <w:rsid w:val="3D367398"/>
    <w:rsid w:val="3D424494"/>
    <w:rsid w:val="3D4A148F"/>
    <w:rsid w:val="3D4E5423"/>
    <w:rsid w:val="3D4F27B7"/>
    <w:rsid w:val="3D591B11"/>
    <w:rsid w:val="3D692218"/>
    <w:rsid w:val="3D70539A"/>
    <w:rsid w:val="3D7664D2"/>
    <w:rsid w:val="3D7C4B69"/>
    <w:rsid w:val="3D895B03"/>
    <w:rsid w:val="3DA738E9"/>
    <w:rsid w:val="3DAD603C"/>
    <w:rsid w:val="3DC56972"/>
    <w:rsid w:val="3DCC4C9C"/>
    <w:rsid w:val="3DEA72A8"/>
    <w:rsid w:val="3DED7480"/>
    <w:rsid w:val="3DEF2242"/>
    <w:rsid w:val="3DF93B18"/>
    <w:rsid w:val="3DFB6750"/>
    <w:rsid w:val="3DFD001E"/>
    <w:rsid w:val="3E0907D1"/>
    <w:rsid w:val="3E175815"/>
    <w:rsid w:val="3E207AC6"/>
    <w:rsid w:val="3E2168D4"/>
    <w:rsid w:val="3E2E1C13"/>
    <w:rsid w:val="3E33130D"/>
    <w:rsid w:val="3E410580"/>
    <w:rsid w:val="3E5864BF"/>
    <w:rsid w:val="3E7942CB"/>
    <w:rsid w:val="3E7D4E79"/>
    <w:rsid w:val="3E815385"/>
    <w:rsid w:val="3E985F7B"/>
    <w:rsid w:val="3E9E2778"/>
    <w:rsid w:val="3EBE20ED"/>
    <w:rsid w:val="3EC949CD"/>
    <w:rsid w:val="3EF00457"/>
    <w:rsid w:val="3EFE4C27"/>
    <w:rsid w:val="3EFE4E28"/>
    <w:rsid w:val="3F016A58"/>
    <w:rsid w:val="3F275AF6"/>
    <w:rsid w:val="3F3C79D1"/>
    <w:rsid w:val="3F516B2F"/>
    <w:rsid w:val="3F6362FB"/>
    <w:rsid w:val="3F7441F2"/>
    <w:rsid w:val="3F883A4B"/>
    <w:rsid w:val="3F91028B"/>
    <w:rsid w:val="3FAF1A7E"/>
    <w:rsid w:val="3FF409A5"/>
    <w:rsid w:val="400E58E6"/>
    <w:rsid w:val="401B0A14"/>
    <w:rsid w:val="401B4ABA"/>
    <w:rsid w:val="4024391C"/>
    <w:rsid w:val="40302AB8"/>
    <w:rsid w:val="404A7A4B"/>
    <w:rsid w:val="404B79F8"/>
    <w:rsid w:val="40823189"/>
    <w:rsid w:val="40863CF0"/>
    <w:rsid w:val="408D679E"/>
    <w:rsid w:val="409238BC"/>
    <w:rsid w:val="4095474E"/>
    <w:rsid w:val="40C36CC0"/>
    <w:rsid w:val="40D55E38"/>
    <w:rsid w:val="40D915C1"/>
    <w:rsid w:val="40F07085"/>
    <w:rsid w:val="40F22B9E"/>
    <w:rsid w:val="40FE0276"/>
    <w:rsid w:val="411C12DB"/>
    <w:rsid w:val="4136208F"/>
    <w:rsid w:val="41476687"/>
    <w:rsid w:val="41484302"/>
    <w:rsid w:val="416A5A6E"/>
    <w:rsid w:val="41BF661B"/>
    <w:rsid w:val="41C8750A"/>
    <w:rsid w:val="41CE19DD"/>
    <w:rsid w:val="41DE62A6"/>
    <w:rsid w:val="41E90D89"/>
    <w:rsid w:val="42074A06"/>
    <w:rsid w:val="420E186D"/>
    <w:rsid w:val="420F4A55"/>
    <w:rsid w:val="42150157"/>
    <w:rsid w:val="423429F3"/>
    <w:rsid w:val="423B7AB3"/>
    <w:rsid w:val="423D0684"/>
    <w:rsid w:val="424A00A2"/>
    <w:rsid w:val="427352FE"/>
    <w:rsid w:val="42750D5C"/>
    <w:rsid w:val="42946EC6"/>
    <w:rsid w:val="42D17C21"/>
    <w:rsid w:val="42D760AB"/>
    <w:rsid w:val="42E04BF3"/>
    <w:rsid w:val="43077549"/>
    <w:rsid w:val="4316273A"/>
    <w:rsid w:val="43181356"/>
    <w:rsid w:val="432506A6"/>
    <w:rsid w:val="43387572"/>
    <w:rsid w:val="433F136A"/>
    <w:rsid w:val="434B12A1"/>
    <w:rsid w:val="43866BBC"/>
    <w:rsid w:val="43930C31"/>
    <w:rsid w:val="439C50AA"/>
    <w:rsid w:val="43AD7ADA"/>
    <w:rsid w:val="43C365C9"/>
    <w:rsid w:val="43E77646"/>
    <w:rsid w:val="43F90B4F"/>
    <w:rsid w:val="43F9612E"/>
    <w:rsid w:val="440D50F1"/>
    <w:rsid w:val="442D3A13"/>
    <w:rsid w:val="443274E2"/>
    <w:rsid w:val="44341856"/>
    <w:rsid w:val="444924A1"/>
    <w:rsid w:val="445C3EE7"/>
    <w:rsid w:val="44611C59"/>
    <w:rsid w:val="44732257"/>
    <w:rsid w:val="448058FE"/>
    <w:rsid w:val="449C66C4"/>
    <w:rsid w:val="44A15456"/>
    <w:rsid w:val="44B77282"/>
    <w:rsid w:val="44C37C62"/>
    <w:rsid w:val="44DD0997"/>
    <w:rsid w:val="44DF0398"/>
    <w:rsid w:val="44F81541"/>
    <w:rsid w:val="45020075"/>
    <w:rsid w:val="450831BE"/>
    <w:rsid w:val="450B7A60"/>
    <w:rsid w:val="455A31C8"/>
    <w:rsid w:val="456638F4"/>
    <w:rsid w:val="45CA238E"/>
    <w:rsid w:val="45CF234E"/>
    <w:rsid w:val="45F65549"/>
    <w:rsid w:val="45FD1795"/>
    <w:rsid w:val="45FF69F7"/>
    <w:rsid w:val="46125C89"/>
    <w:rsid w:val="46156F61"/>
    <w:rsid w:val="46515EA5"/>
    <w:rsid w:val="46546B83"/>
    <w:rsid w:val="46684DC5"/>
    <w:rsid w:val="466A3D31"/>
    <w:rsid w:val="466D731D"/>
    <w:rsid w:val="46727E59"/>
    <w:rsid w:val="467E6147"/>
    <w:rsid w:val="46844D9D"/>
    <w:rsid w:val="469D2F78"/>
    <w:rsid w:val="46A53327"/>
    <w:rsid w:val="46AB6058"/>
    <w:rsid w:val="46C71DA3"/>
    <w:rsid w:val="46CD7799"/>
    <w:rsid w:val="46ED1809"/>
    <w:rsid w:val="46F0384D"/>
    <w:rsid w:val="46FE6632"/>
    <w:rsid w:val="47195E2A"/>
    <w:rsid w:val="474E3EA7"/>
    <w:rsid w:val="479474DB"/>
    <w:rsid w:val="479E693C"/>
    <w:rsid w:val="47B803E7"/>
    <w:rsid w:val="47C841F6"/>
    <w:rsid w:val="47F266D9"/>
    <w:rsid w:val="4811166D"/>
    <w:rsid w:val="481B049E"/>
    <w:rsid w:val="483A5964"/>
    <w:rsid w:val="48531B40"/>
    <w:rsid w:val="485E53D6"/>
    <w:rsid w:val="48625F27"/>
    <w:rsid w:val="48715FBC"/>
    <w:rsid w:val="487B1097"/>
    <w:rsid w:val="487F7E32"/>
    <w:rsid w:val="489B0BB5"/>
    <w:rsid w:val="489F15DE"/>
    <w:rsid w:val="48B3725E"/>
    <w:rsid w:val="48CC544E"/>
    <w:rsid w:val="48E04AA1"/>
    <w:rsid w:val="49003E49"/>
    <w:rsid w:val="490E670B"/>
    <w:rsid w:val="491A571D"/>
    <w:rsid w:val="492C24F1"/>
    <w:rsid w:val="49406409"/>
    <w:rsid w:val="494554C3"/>
    <w:rsid w:val="49512FBE"/>
    <w:rsid w:val="495A3FD8"/>
    <w:rsid w:val="495A5459"/>
    <w:rsid w:val="495B0785"/>
    <w:rsid w:val="496F6553"/>
    <w:rsid w:val="497A40B6"/>
    <w:rsid w:val="497C50C6"/>
    <w:rsid w:val="4981053C"/>
    <w:rsid w:val="49A33231"/>
    <w:rsid w:val="49A3658B"/>
    <w:rsid w:val="49B02628"/>
    <w:rsid w:val="49B85C5B"/>
    <w:rsid w:val="49C4716D"/>
    <w:rsid w:val="49D359C9"/>
    <w:rsid w:val="49D763B6"/>
    <w:rsid w:val="49DC7913"/>
    <w:rsid w:val="49E06748"/>
    <w:rsid w:val="4A0C4A3C"/>
    <w:rsid w:val="4A1B73C5"/>
    <w:rsid w:val="4A312B08"/>
    <w:rsid w:val="4A396288"/>
    <w:rsid w:val="4A8C7B31"/>
    <w:rsid w:val="4AB92D9B"/>
    <w:rsid w:val="4AC36586"/>
    <w:rsid w:val="4AC76815"/>
    <w:rsid w:val="4ADA20A4"/>
    <w:rsid w:val="4AE50A49"/>
    <w:rsid w:val="4AEA3EEE"/>
    <w:rsid w:val="4B080071"/>
    <w:rsid w:val="4B3774F7"/>
    <w:rsid w:val="4B382761"/>
    <w:rsid w:val="4B41364F"/>
    <w:rsid w:val="4B414105"/>
    <w:rsid w:val="4B712E66"/>
    <w:rsid w:val="4B763B4B"/>
    <w:rsid w:val="4B9B6D29"/>
    <w:rsid w:val="4BBA3C84"/>
    <w:rsid w:val="4BC37515"/>
    <w:rsid w:val="4BC71AD5"/>
    <w:rsid w:val="4BD04D79"/>
    <w:rsid w:val="4BD261F5"/>
    <w:rsid w:val="4BDC6B42"/>
    <w:rsid w:val="4BEC5C8E"/>
    <w:rsid w:val="4BFE4B66"/>
    <w:rsid w:val="4C010635"/>
    <w:rsid w:val="4C0A6342"/>
    <w:rsid w:val="4C0A788D"/>
    <w:rsid w:val="4C10299D"/>
    <w:rsid w:val="4C2B38A5"/>
    <w:rsid w:val="4C4F0260"/>
    <w:rsid w:val="4C532FED"/>
    <w:rsid w:val="4C631D40"/>
    <w:rsid w:val="4C8A5C61"/>
    <w:rsid w:val="4C8F3363"/>
    <w:rsid w:val="4C951AAA"/>
    <w:rsid w:val="4CAC4544"/>
    <w:rsid w:val="4CDC0BC6"/>
    <w:rsid w:val="4CDC1FB7"/>
    <w:rsid w:val="4CDF05C8"/>
    <w:rsid w:val="4CDF37AF"/>
    <w:rsid w:val="4D13540A"/>
    <w:rsid w:val="4D275F2C"/>
    <w:rsid w:val="4D441705"/>
    <w:rsid w:val="4D517619"/>
    <w:rsid w:val="4D6D38D0"/>
    <w:rsid w:val="4D7E57C3"/>
    <w:rsid w:val="4D8615DB"/>
    <w:rsid w:val="4DA70FD8"/>
    <w:rsid w:val="4DAF2415"/>
    <w:rsid w:val="4DBA51C4"/>
    <w:rsid w:val="4DC351ED"/>
    <w:rsid w:val="4DD86643"/>
    <w:rsid w:val="4DDD0FCC"/>
    <w:rsid w:val="4E1D6532"/>
    <w:rsid w:val="4E276AC2"/>
    <w:rsid w:val="4E7445BE"/>
    <w:rsid w:val="4E791B9F"/>
    <w:rsid w:val="4E930ECE"/>
    <w:rsid w:val="4E9B7D9D"/>
    <w:rsid w:val="4E9C613C"/>
    <w:rsid w:val="4E9F0C87"/>
    <w:rsid w:val="4ED51402"/>
    <w:rsid w:val="4EDC26A9"/>
    <w:rsid w:val="4EDD4DD9"/>
    <w:rsid w:val="4EDE5C76"/>
    <w:rsid w:val="4EE41A95"/>
    <w:rsid w:val="4EED7C9D"/>
    <w:rsid w:val="4EF767DA"/>
    <w:rsid w:val="4EF825E9"/>
    <w:rsid w:val="4F1E452A"/>
    <w:rsid w:val="4F4C2BD1"/>
    <w:rsid w:val="4F4C5DA7"/>
    <w:rsid w:val="4F5F05D0"/>
    <w:rsid w:val="4F752828"/>
    <w:rsid w:val="4F7A6815"/>
    <w:rsid w:val="4F8130C7"/>
    <w:rsid w:val="4FA341DF"/>
    <w:rsid w:val="4FB45A4F"/>
    <w:rsid w:val="4FC70816"/>
    <w:rsid w:val="4FC76F02"/>
    <w:rsid w:val="4FCD5C74"/>
    <w:rsid w:val="4FEB5B10"/>
    <w:rsid w:val="500A642F"/>
    <w:rsid w:val="500D49E0"/>
    <w:rsid w:val="50325018"/>
    <w:rsid w:val="504E3B20"/>
    <w:rsid w:val="505A760F"/>
    <w:rsid w:val="5069760E"/>
    <w:rsid w:val="50864C3E"/>
    <w:rsid w:val="508C317C"/>
    <w:rsid w:val="50AB07D5"/>
    <w:rsid w:val="50D41344"/>
    <w:rsid w:val="50E7376D"/>
    <w:rsid w:val="50E76514"/>
    <w:rsid w:val="510E209C"/>
    <w:rsid w:val="51243F8E"/>
    <w:rsid w:val="5136758D"/>
    <w:rsid w:val="513D15DF"/>
    <w:rsid w:val="51594614"/>
    <w:rsid w:val="516C7918"/>
    <w:rsid w:val="51827FB7"/>
    <w:rsid w:val="51952BD1"/>
    <w:rsid w:val="51A46C51"/>
    <w:rsid w:val="51C47726"/>
    <w:rsid w:val="51C646D0"/>
    <w:rsid w:val="51E659EF"/>
    <w:rsid w:val="52014570"/>
    <w:rsid w:val="520C0E4A"/>
    <w:rsid w:val="52146170"/>
    <w:rsid w:val="522600E9"/>
    <w:rsid w:val="523A4E64"/>
    <w:rsid w:val="52706396"/>
    <w:rsid w:val="527919AC"/>
    <w:rsid w:val="52A261AB"/>
    <w:rsid w:val="52C45ED4"/>
    <w:rsid w:val="52C64358"/>
    <w:rsid w:val="52CB130A"/>
    <w:rsid w:val="52CB3F02"/>
    <w:rsid w:val="52CC0E87"/>
    <w:rsid w:val="52D471F5"/>
    <w:rsid w:val="52D71258"/>
    <w:rsid w:val="52D90C7C"/>
    <w:rsid w:val="52D94008"/>
    <w:rsid w:val="52E50E66"/>
    <w:rsid w:val="52FB5CEB"/>
    <w:rsid w:val="53081779"/>
    <w:rsid w:val="532A1B80"/>
    <w:rsid w:val="532D0D5F"/>
    <w:rsid w:val="53402B2D"/>
    <w:rsid w:val="535D3A74"/>
    <w:rsid w:val="53614193"/>
    <w:rsid w:val="53691BC2"/>
    <w:rsid w:val="536C5C52"/>
    <w:rsid w:val="53884592"/>
    <w:rsid w:val="538A602B"/>
    <w:rsid w:val="53B549C9"/>
    <w:rsid w:val="53C349ED"/>
    <w:rsid w:val="53C40E4E"/>
    <w:rsid w:val="53D0460C"/>
    <w:rsid w:val="53D7242A"/>
    <w:rsid w:val="54034D99"/>
    <w:rsid w:val="540710BD"/>
    <w:rsid w:val="541F302B"/>
    <w:rsid w:val="54290784"/>
    <w:rsid w:val="543071D9"/>
    <w:rsid w:val="5442451D"/>
    <w:rsid w:val="544726FC"/>
    <w:rsid w:val="544B5DDB"/>
    <w:rsid w:val="54505DE1"/>
    <w:rsid w:val="545F04D6"/>
    <w:rsid w:val="547D02A0"/>
    <w:rsid w:val="549C4471"/>
    <w:rsid w:val="54A91BA0"/>
    <w:rsid w:val="54AF61F9"/>
    <w:rsid w:val="54B543DD"/>
    <w:rsid w:val="54CF7B4C"/>
    <w:rsid w:val="54D86127"/>
    <w:rsid w:val="54DC10C5"/>
    <w:rsid w:val="54E37175"/>
    <w:rsid w:val="54EE6896"/>
    <w:rsid w:val="550237F0"/>
    <w:rsid w:val="55363231"/>
    <w:rsid w:val="55415045"/>
    <w:rsid w:val="554A6FF5"/>
    <w:rsid w:val="55713673"/>
    <w:rsid w:val="557269C8"/>
    <w:rsid w:val="55844AF4"/>
    <w:rsid w:val="558E06E1"/>
    <w:rsid w:val="55B42D66"/>
    <w:rsid w:val="55BE25C3"/>
    <w:rsid w:val="55C67DF5"/>
    <w:rsid w:val="55D03CD2"/>
    <w:rsid w:val="55E766A8"/>
    <w:rsid w:val="560E7E41"/>
    <w:rsid w:val="56187B5D"/>
    <w:rsid w:val="56382375"/>
    <w:rsid w:val="564305B1"/>
    <w:rsid w:val="56525D66"/>
    <w:rsid w:val="566B7FB0"/>
    <w:rsid w:val="567E3C54"/>
    <w:rsid w:val="568F27BB"/>
    <w:rsid w:val="56967761"/>
    <w:rsid w:val="569A3030"/>
    <w:rsid w:val="56C41E5B"/>
    <w:rsid w:val="56C84AC4"/>
    <w:rsid w:val="56CC59D0"/>
    <w:rsid w:val="56DE116E"/>
    <w:rsid w:val="56EB5639"/>
    <w:rsid w:val="570B2BA8"/>
    <w:rsid w:val="57403575"/>
    <w:rsid w:val="5749516E"/>
    <w:rsid w:val="578F5E74"/>
    <w:rsid w:val="5797462B"/>
    <w:rsid w:val="579932E7"/>
    <w:rsid w:val="57C84EB9"/>
    <w:rsid w:val="57D83E10"/>
    <w:rsid w:val="57F95B34"/>
    <w:rsid w:val="582D056C"/>
    <w:rsid w:val="583F5FAA"/>
    <w:rsid w:val="584263B5"/>
    <w:rsid w:val="58486FF1"/>
    <w:rsid w:val="58503433"/>
    <w:rsid w:val="586F2EBB"/>
    <w:rsid w:val="58784F05"/>
    <w:rsid w:val="58B31FD7"/>
    <w:rsid w:val="58C50DD4"/>
    <w:rsid w:val="58D80E6C"/>
    <w:rsid w:val="58E212A5"/>
    <w:rsid w:val="58E96E26"/>
    <w:rsid w:val="58EA213A"/>
    <w:rsid w:val="591B6B45"/>
    <w:rsid w:val="591C5289"/>
    <w:rsid w:val="59372D2B"/>
    <w:rsid w:val="593F51ED"/>
    <w:rsid w:val="594174C3"/>
    <w:rsid w:val="59460979"/>
    <w:rsid w:val="594635CE"/>
    <w:rsid w:val="5951678A"/>
    <w:rsid w:val="59543C0B"/>
    <w:rsid w:val="596414EE"/>
    <w:rsid w:val="59786ECE"/>
    <w:rsid w:val="598667CC"/>
    <w:rsid w:val="59AA7279"/>
    <w:rsid w:val="59B77A55"/>
    <w:rsid w:val="5A173862"/>
    <w:rsid w:val="5A293ACC"/>
    <w:rsid w:val="5A55028F"/>
    <w:rsid w:val="5A5B151D"/>
    <w:rsid w:val="5A5C0765"/>
    <w:rsid w:val="5A5C574C"/>
    <w:rsid w:val="5A5D684E"/>
    <w:rsid w:val="5A7274BD"/>
    <w:rsid w:val="5AB01F99"/>
    <w:rsid w:val="5ABA5A4E"/>
    <w:rsid w:val="5AC31271"/>
    <w:rsid w:val="5AC510E7"/>
    <w:rsid w:val="5AE520CC"/>
    <w:rsid w:val="5AEB377B"/>
    <w:rsid w:val="5B04248C"/>
    <w:rsid w:val="5B100A2B"/>
    <w:rsid w:val="5B12588A"/>
    <w:rsid w:val="5B28129B"/>
    <w:rsid w:val="5B6F7DE4"/>
    <w:rsid w:val="5B7925EC"/>
    <w:rsid w:val="5B9B4FF1"/>
    <w:rsid w:val="5B9C7202"/>
    <w:rsid w:val="5BA01706"/>
    <w:rsid w:val="5BA115BA"/>
    <w:rsid w:val="5BA436D1"/>
    <w:rsid w:val="5BB15875"/>
    <w:rsid w:val="5BD223E4"/>
    <w:rsid w:val="5BD73A6B"/>
    <w:rsid w:val="5BDC4D31"/>
    <w:rsid w:val="5BDD3212"/>
    <w:rsid w:val="5BF8682E"/>
    <w:rsid w:val="5BFF6822"/>
    <w:rsid w:val="5C377A8F"/>
    <w:rsid w:val="5C45779F"/>
    <w:rsid w:val="5C483E5E"/>
    <w:rsid w:val="5C4C26D6"/>
    <w:rsid w:val="5C904CB9"/>
    <w:rsid w:val="5C9A7DAE"/>
    <w:rsid w:val="5C9E2764"/>
    <w:rsid w:val="5C9F20C6"/>
    <w:rsid w:val="5CB45ED9"/>
    <w:rsid w:val="5CBC342D"/>
    <w:rsid w:val="5CBC6999"/>
    <w:rsid w:val="5CF20D12"/>
    <w:rsid w:val="5D231BD7"/>
    <w:rsid w:val="5D3A109D"/>
    <w:rsid w:val="5D6E286A"/>
    <w:rsid w:val="5D7A37FB"/>
    <w:rsid w:val="5D8E4FFD"/>
    <w:rsid w:val="5D9D2069"/>
    <w:rsid w:val="5DB85565"/>
    <w:rsid w:val="5DBC6352"/>
    <w:rsid w:val="5DCD5725"/>
    <w:rsid w:val="5DDF07E0"/>
    <w:rsid w:val="5DE8704B"/>
    <w:rsid w:val="5DEC23C3"/>
    <w:rsid w:val="5DED1B96"/>
    <w:rsid w:val="5DEF3FEB"/>
    <w:rsid w:val="5E4A18D2"/>
    <w:rsid w:val="5E7242FC"/>
    <w:rsid w:val="5E7E787F"/>
    <w:rsid w:val="5E8C397C"/>
    <w:rsid w:val="5E9C20B7"/>
    <w:rsid w:val="5EA47EC3"/>
    <w:rsid w:val="5EAE70B4"/>
    <w:rsid w:val="5EBD5246"/>
    <w:rsid w:val="5EBE3B2C"/>
    <w:rsid w:val="5EDA66BF"/>
    <w:rsid w:val="5EE50BC0"/>
    <w:rsid w:val="5F062F36"/>
    <w:rsid w:val="5F092881"/>
    <w:rsid w:val="5F2E4B49"/>
    <w:rsid w:val="5F5757CF"/>
    <w:rsid w:val="5F5D4BFA"/>
    <w:rsid w:val="5F761664"/>
    <w:rsid w:val="5F793613"/>
    <w:rsid w:val="5F7C75B8"/>
    <w:rsid w:val="5F9D5688"/>
    <w:rsid w:val="5FAA3AEF"/>
    <w:rsid w:val="5FC526DE"/>
    <w:rsid w:val="5FC56D0D"/>
    <w:rsid w:val="5FC919C6"/>
    <w:rsid w:val="5FCA53AF"/>
    <w:rsid w:val="5FF13CC0"/>
    <w:rsid w:val="5FF1653F"/>
    <w:rsid w:val="600B4235"/>
    <w:rsid w:val="60155233"/>
    <w:rsid w:val="60426654"/>
    <w:rsid w:val="60431B09"/>
    <w:rsid w:val="604B30E6"/>
    <w:rsid w:val="607947A5"/>
    <w:rsid w:val="607C0A8D"/>
    <w:rsid w:val="609E4F0D"/>
    <w:rsid w:val="60B4188F"/>
    <w:rsid w:val="60B7356C"/>
    <w:rsid w:val="60DD2487"/>
    <w:rsid w:val="60E80B76"/>
    <w:rsid w:val="60EA6962"/>
    <w:rsid w:val="60FC0630"/>
    <w:rsid w:val="611A0600"/>
    <w:rsid w:val="612C76EB"/>
    <w:rsid w:val="614E425B"/>
    <w:rsid w:val="6152516E"/>
    <w:rsid w:val="615C75AB"/>
    <w:rsid w:val="61630B06"/>
    <w:rsid w:val="617F2EE1"/>
    <w:rsid w:val="618C6CD7"/>
    <w:rsid w:val="6191375C"/>
    <w:rsid w:val="61A63EF1"/>
    <w:rsid w:val="61BA6334"/>
    <w:rsid w:val="61D36977"/>
    <w:rsid w:val="61D72ED1"/>
    <w:rsid w:val="61DB407B"/>
    <w:rsid w:val="61DF2FCF"/>
    <w:rsid w:val="61EF2EED"/>
    <w:rsid w:val="61FC7448"/>
    <w:rsid w:val="621D6257"/>
    <w:rsid w:val="623945C7"/>
    <w:rsid w:val="623A7DF0"/>
    <w:rsid w:val="623C4F63"/>
    <w:rsid w:val="623F6839"/>
    <w:rsid w:val="624110E0"/>
    <w:rsid w:val="62463054"/>
    <w:rsid w:val="62465162"/>
    <w:rsid w:val="624C53EC"/>
    <w:rsid w:val="626D24DE"/>
    <w:rsid w:val="626D5596"/>
    <w:rsid w:val="62707A9D"/>
    <w:rsid w:val="627C6376"/>
    <w:rsid w:val="628F4DA8"/>
    <w:rsid w:val="629C6F4E"/>
    <w:rsid w:val="62AD29BB"/>
    <w:rsid w:val="62D66480"/>
    <w:rsid w:val="62E32B18"/>
    <w:rsid w:val="62EE44E7"/>
    <w:rsid w:val="62F64193"/>
    <w:rsid w:val="62FA14E9"/>
    <w:rsid w:val="62FF748E"/>
    <w:rsid w:val="632334FE"/>
    <w:rsid w:val="633B5B03"/>
    <w:rsid w:val="633F2F95"/>
    <w:rsid w:val="63441727"/>
    <w:rsid w:val="634D7025"/>
    <w:rsid w:val="634E142A"/>
    <w:rsid w:val="634F0333"/>
    <w:rsid w:val="6367235B"/>
    <w:rsid w:val="636A72F5"/>
    <w:rsid w:val="63770B75"/>
    <w:rsid w:val="63975A4F"/>
    <w:rsid w:val="63A257B4"/>
    <w:rsid w:val="63B1353D"/>
    <w:rsid w:val="63CD5B28"/>
    <w:rsid w:val="63E4299F"/>
    <w:rsid w:val="63E77FA7"/>
    <w:rsid w:val="63EE0517"/>
    <w:rsid w:val="63F80C35"/>
    <w:rsid w:val="64173AB0"/>
    <w:rsid w:val="642360E7"/>
    <w:rsid w:val="643E324C"/>
    <w:rsid w:val="64433DBB"/>
    <w:rsid w:val="645B366A"/>
    <w:rsid w:val="64766E5F"/>
    <w:rsid w:val="647F2C1F"/>
    <w:rsid w:val="64842A4E"/>
    <w:rsid w:val="64853726"/>
    <w:rsid w:val="64872E45"/>
    <w:rsid w:val="649445D1"/>
    <w:rsid w:val="64AB3B14"/>
    <w:rsid w:val="64D724A4"/>
    <w:rsid w:val="64F94FD9"/>
    <w:rsid w:val="650D2AFF"/>
    <w:rsid w:val="651B562B"/>
    <w:rsid w:val="65420B1A"/>
    <w:rsid w:val="65582360"/>
    <w:rsid w:val="65736F26"/>
    <w:rsid w:val="65855276"/>
    <w:rsid w:val="658904F7"/>
    <w:rsid w:val="659D3FA3"/>
    <w:rsid w:val="65A333D8"/>
    <w:rsid w:val="65C72AE1"/>
    <w:rsid w:val="65D961A6"/>
    <w:rsid w:val="65DF74FC"/>
    <w:rsid w:val="65E676F8"/>
    <w:rsid w:val="65EA5EDE"/>
    <w:rsid w:val="65ED5A6E"/>
    <w:rsid w:val="66033E5C"/>
    <w:rsid w:val="66090BBC"/>
    <w:rsid w:val="66293FCD"/>
    <w:rsid w:val="66295A01"/>
    <w:rsid w:val="662B5A52"/>
    <w:rsid w:val="663A52EF"/>
    <w:rsid w:val="66674314"/>
    <w:rsid w:val="666D55B0"/>
    <w:rsid w:val="669070E8"/>
    <w:rsid w:val="66DE3128"/>
    <w:rsid w:val="66E5613C"/>
    <w:rsid w:val="66FE6113"/>
    <w:rsid w:val="67374A51"/>
    <w:rsid w:val="673A6664"/>
    <w:rsid w:val="67906B36"/>
    <w:rsid w:val="679E0476"/>
    <w:rsid w:val="67A41618"/>
    <w:rsid w:val="67AF7FBD"/>
    <w:rsid w:val="67CD5013"/>
    <w:rsid w:val="67CE2C08"/>
    <w:rsid w:val="67E843C2"/>
    <w:rsid w:val="67EB5499"/>
    <w:rsid w:val="67F500C6"/>
    <w:rsid w:val="67FA645C"/>
    <w:rsid w:val="68042B23"/>
    <w:rsid w:val="682A683B"/>
    <w:rsid w:val="68570D81"/>
    <w:rsid w:val="685D720A"/>
    <w:rsid w:val="68662D72"/>
    <w:rsid w:val="686D1B30"/>
    <w:rsid w:val="68831AC3"/>
    <w:rsid w:val="688D7BF4"/>
    <w:rsid w:val="68A30E99"/>
    <w:rsid w:val="68B14697"/>
    <w:rsid w:val="68BB24E9"/>
    <w:rsid w:val="68BC0BE4"/>
    <w:rsid w:val="68CF07BD"/>
    <w:rsid w:val="68D14000"/>
    <w:rsid w:val="68F94FF5"/>
    <w:rsid w:val="69173DDB"/>
    <w:rsid w:val="69337392"/>
    <w:rsid w:val="69487980"/>
    <w:rsid w:val="694A706A"/>
    <w:rsid w:val="694C5701"/>
    <w:rsid w:val="69533807"/>
    <w:rsid w:val="69594684"/>
    <w:rsid w:val="69621A84"/>
    <w:rsid w:val="69627D0D"/>
    <w:rsid w:val="69660FBE"/>
    <w:rsid w:val="6985638C"/>
    <w:rsid w:val="698C3C21"/>
    <w:rsid w:val="6991547C"/>
    <w:rsid w:val="69974859"/>
    <w:rsid w:val="699A7177"/>
    <w:rsid w:val="69A07238"/>
    <w:rsid w:val="69DA5CA7"/>
    <w:rsid w:val="69DB7CEC"/>
    <w:rsid w:val="69EA7977"/>
    <w:rsid w:val="6A054B8C"/>
    <w:rsid w:val="6A0E52C3"/>
    <w:rsid w:val="6A0F6E0E"/>
    <w:rsid w:val="6A130728"/>
    <w:rsid w:val="6A160008"/>
    <w:rsid w:val="6A1C2F74"/>
    <w:rsid w:val="6A1E6601"/>
    <w:rsid w:val="6A1F2E67"/>
    <w:rsid w:val="6A202305"/>
    <w:rsid w:val="6A266C5C"/>
    <w:rsid w:val="6A3071F7"/>
    <w:rsid w:val="6A6C3277"/>
    <w:rsid w:val="6A8F4A18"/>
    <w:rsid w:val="6AB2749B"/>
    <w:rsid w:val="6AC11249"/>
    <w:rsid w:val="6AD870E3"/>
    <w:rsid w:val="6AD87734"/>
    <w:rsid w:val="6ADF1B3B"/>
    <w:rsid w:val="6AE34B4E"/>
    <w:rsid w:val="6AEA6B9E"/>
    <w:rsid w:val="6AEE4B6C"/>
    <w:rsid w:val="6AF649D1"/>
    <w:rsid w:val="6B0C5E52"/>
    <w:rsid w:val="6B120F9F"/>
    <w:rsid w:val="6B1639C3"/>
    <w:rsid w:val="6B1E43C3"/>
    <w:rsid w:val="6B293E7B"/>
    <w:rsid w:val="6B2F5ED1"/>
    <w:rsid w:val="6B30636C"/>
    <w:rsid w:val="6B543B00"/>
    <w:rsid w:val="6B7B3C0C"/>
    <w:rsid w:val="6BD65084"/>
    <w:rsid w:val="6BF0170F"/>
    <w:rsid w:val="6C10463F"/>
    <w:rsid w:val="6C5A499B"/>
    <w:rsid w:val="6C6F509B"/>
    <w:rsid w:val="6C7A409C"/>
    <w:rsid w:val="6C8E2897"/>
    <w:rsid w:val="6C965FDD"/>
    <w:rsid w:val="6CA43E69"/>
    <w:rsid w:val="6CA53DBA"/>
    <w:rsid w:val="6CBD28D1"/>
    <w:rsid w:val="6CC26AE7"/>
    <w:rsid w:val="6CD433B2"/>
    <w:rsid w:val="6CFE115D"/>
    <w:rsid w:val="6D1160C5"/>
    <w:rsid w:val="6D176D30"/>
    <w:rsid w:val="6D2B1BD1"/>
    <w:rsid w:val="6D4B5B17"/>
    <w:rsid w:val="6D510B3D"/>
    <w:rsid w:val="6D57537F"/>
    <w:rsid w:val="6D5B6EF4"/>
    <w:rsid w:val="6D7B71AB"/>
    <w:rsid w:val="6D8F653E"/>
    <w:rsid w:val="6DC27C5B"/>
    <w:rsid w:val="6DD733CF"/>
    <w:rsid w:val="6DE354C4"/>
    <w:rsid w:val="6DE83341"/>
    <w:rsid w:val="6DF04E6B"/>
    <w:rsid w:val="6DF3142C"/>
    <w:rsid w:val="6E031240"/>
    <w:rsid w:val="6E1E1DED"/>
    <w:rsid w:val="6E22440D"/>
    <w:rsid w:val="6E363E4B"/>
    <w:rsid w:val="6E5B7857"/>
    <w:rsid w:val="6E6F2C1C"/>
    <w:rsid w:val="6E763D92"/>
    <w:rsid w:val="6E823B20"/>
    <w:rsid w:val="6E8324ED"/>
    <w:rsid w:val="6E890626"/>
    <w:rsid w:val="6E944E12"/>
    <w:rsid w:val="6E9E6BF0"/>
    <w:rsid w:val="6EC072CC"/>
    <w:rsid w:val="6ECE33D4"/>
    <w:rsid w:val="6ED22F0F"/>
    <w:rsid w:val="6EE42AE6"/>
    <w:rsid w:val="6EE705A0"/>
    <w:rsid w:val="6EEA05F0"/>
    <w:rsid w:val="6EEB61C9"/>
    <w:rsid w:val="6EF018C7"/>
    <w:rsid w:val="6F0E50B8"/>
    <w:rsid w:val="6F52057E"/>
    <w:rsid w:val="6F5F5795"/>
    <w:rsid w:val="6F735497"/>
    <w:rsid w:val="6F806E0F"/>
    <w:rsid w:val="6F846E05"/>
    <w:rsid w:val="6F86241B"/>
    <w:rsid w:val="6FA33433"/>
    <w:rsid w:val="6FB9134C"/>
    <w:rsid w:val="6FC53FCE"/>
    <w:rsid w:val="6FD05826"/>
    <w:rsid w:val="6FDB399B"/>
    <w:rsid w:val="6FE253D4"/>
    <w:rsid w:val="6FF66162"/>
    <w:rsid w:val="6FFE17AA"/>
    <w:rsid w:val="700F1F41"/>
    <w:rsid w:val="701B5771"/>
    <w:rsid w:val="70276B55"/>
    <w:rsid w:val="70305F34"/>
    <w:rsid w:val="70421E4E"/>
    <w:rsid w:val="70457711"/>
    <w:rsid w:val="704C10B3"/>
    <w:rsid w:val="705A4B1D"/>
    <w:rsid w:val="70713A5C"/>
    <w:rsid w:val="70743E48"/>
    <w:rsid w:val="7096434C"/>
    <w:rsid w:val="70BA6F4B"/>
    <w:rsid w:val="70BB4018"/>
    <w:rsid w:val="70BF3D1E"/>
    <w:rsid w:val="70CA7578"/>
    <w:rsid w:val="70E816F1"/>
    <w:rsid w:val="70F33A52"/>
    <w:rsid w:val="7105149F"/>
    <w:rsid w:val="71184E25"/>
    <w:rsid w:val="7134404F"/>
    <w:rsid w:val="713856AA"/>
    <w:rsid w:val="713B6167"/>
    <w:rsid w:val="7164706C"/>
    <w:rsid w:val="71651954"/>
    <w:rsid w:val="71724159"/>
    <w:rsid w:val="71760D92"/>
    <w:rsid w:val="71821E0C"/>
    <w:rsid w:val="719C3C04"/>
    <w:rsid w:val="719E12BD"/>
    <w:rsid w:val="71A62431"/>
    <w:rsid w:val="71C53820"/>
    <w:rsid w:val="71D62D16"/>
    <w:rsid w:val="71D66163"/>
    <w:rsid w:val="71F8276B"/>
    <w:rsid w:val="720B4964"/>
    <w:rsid w:val="721C7923"/>
    <w:rsid w:val="722A7E8F"/>
    <w:rsid w:val="722D43DF"/>
    <w:rsid w:val="722F6EC9"/>
    <w:rsid w:val="723A6475"/>
    <w:rsid w:val="723E7D21"/>
    <w:rsid w:val="724C7629"/>
    <w:rsid w:val="725632CF"/>
    <w:rsid w:val="725F130A"/>
    <w:rsid w:val="726357A8"/>
    <w:rsid w:val="726F4F19"/>
    <w:rsid w:val="72804CD0"/>
    <w:rsid w:val="729D1F36"/>
    <w:rsid w:val="72A37FCD"/>
    <w:rsid w:val="72A440E6"/>
    <w:rsid w:val="72A74E1D"/>
    <w:rsid w:val="72A80457"/>
    <w:rsid w:val="72AB0D31"/>
    <w:rsid w:val="72B270C8"/>
    <w:rsid w:val="72B94FED"/>
    <w:rsid w:val="72C9287B"/>
    <w:rsid w:val="73070CA5"/>
    <w:rsid w:val="73223108"/>
    <w:rsid w:val="732A140B"/>
    <w:rsid w:val="73334E28"/>
    <w:rsid w:val="734939BC"/>
    <w:rsid w:val="735966D2"/>
    <w:rsid w:val="7361650A"/>
    <w:rsid w:val="737100FF"/>
    <w:rsid w:val="738727A8"/>
    <w:rsid w:val="738855F8"/>
    <w:rsid w:val="7395275D"/>
    <w:rsid w:val="73B057E9"/>
    <w:rsid w:val="73B86482"/>
    <w:rsid w:val="73E50A4C"/>
    <w:rsid w:val="73F768CD"/>
    <w:rsid w:val="74277E3A"/>
    <w:rsid w:val="74314174"/>
    <w:rsid w:val="743D5682"/>
    <w:rsid w:val="748870DE"/>
    <w:rsid w:val="74A31DDC"/>
    <w:rsid w:val="74D62956"/>
    <w:rsid w:val="74DD716B"/>
    <w:rsid w:val="74E20230"/>
    <w:rsid w:val="74F825FC"/>
    <w:rsid w:val="74FF49FB"/>
    <w:rsid w:val="74FF4FA5"/>
    <w:rsid w:val="75003331"/>
    <w:rsid w:val="750A6F8A"/>
    <w:rsid w:val="750F197E"/>
    <w:rsid w:val="751A01AD"/>
    <w:rsid w:val="754820C3"/>
    <w:rsid w:val="756710B7"/>
    <w:rsid w:val="756A4739"/>
    <w:rsid w:val="757820BF"/>
    <w:rsid w:val="75784DA3"/>
    <w:rsid w:val="75891774"/>
    <w:rsid w:val="759533F2"/>
    <w:rsid w:val="75B02D4C"/>
    <w:rsid w:val="75C06028"/>
    <w:rsid w:val="75F05733"/>
    <w:rsid w:val="75F72090"/>
    <w:rsid w:val="761432A5"/>
    <w:rsid w:val="761B33ED"/>
    <w:rsid w:val="76214E0D"/>
    <w:rsid w:val="76246360"/>
    <w:rsid w:val="763A05A3"/>
    <w:rsid w:val="764271A0"/>
    <w:rsid w:val="766702BA"/>
    <w:rsid w:val="766D3522"/>
    <w:rsid w:val="76796366"/>
    <w:rsid w:val="767E572A"/>
    <w:rsid w:val="76A278D1"/>
    <w:rsid w:val="76B81A3A"/>
    <w:rsid w:val="76CA2259"/>
    <w:rsid w:val="76DD33C0"/>
    <w:rsid w:val="76DD68F5"/>
    <w:rsid w:val="76E21755"/>
    <w:rsid w:val="77060BD4"/>
    <w:rsid w:val="771A2D08"/>
    <w:rsid w:val="775B2EC5"/>
    <w:rsid w:val="777803CC"/>
    <w:rsid w:val="77872355"/>
    <w:rsid w:val="779829CE"/>
    <w:rsid w:val="7799168F"/>
    <w:rsid w:val="779D6084"/>
    <w:rsid w:val="77BB738F"/>
    <w:rsid w:val="77C22DBC"/>
    <w:rsid w:val="77D20B85"/>
    <w:rsid w:val="77D40C37"/>
    <w:rsid w:val="77DF4689"/>
    <w:rsid w:val="77E17274"/>
    <w:rsid w:val="77E31EFD"/>
    <w:rsid w:val="77F056E2"/>
    <w:rsid w:val="77FC2A07"/>
    <w:rsid w:val="78066960"/>
    <w:rsid w:val="780B1F70"/>
    <w:rsid w:val="780C5F04"/>
    <w:rsid w:val="78316434"/>
    <w:rsid w:val="783C58B8"/>
    <w:rsid w:val="787C778E"/>
    <w:rsid w:val="78B473CA"/>
    <w:rsid w:val="78B92217"/>
    <w:rsid w:val="78D31B15"/>
    <w:rsid w:val="79333B69"/>
    <w:rsid w:val="79513575"/>
    <w:rsid w:val="7973343E"/>
    <w:rsid w:val="79757C70"/>
    <w:rsid w:val="79892D62"/>
    <w:rsid w:val="798D00C4"/>
    <w:rsid w:val="79906765"/>
    <w:rsid w:val="79A923D6"/>
    <w:rsid w:val="79B719D0"/>
    <w:rsid w:val="79B757FB"/>
    <w:rsid w:val="79BE2D47"/>
    <w:rsid w:val="79D815F5"/>
    <w:rsid w:val="79DC4BE0"/>
    <w:rsid w:val="79ED4C65"/>
    <w:rsid w:val="79F56613"/>
    <w:rsid w:val="79F76832"/>
    <w:rsid w:val="79FB7128"/>
    <w:rsid w:val="7A037691"/>
    <w:rsid w:val="7A126A0F"/>
    <w:rsid w:val="7A226A5E"/>
    <w:rsid w:val="7A5A6EBD"/>
    <w:rsid w:val="7A5F5166"/>
    <w:rsid w:val="7A7278C1"/>
    <w:rsid w:val="7A7E05F2"/>
    <w:rsid w:val="7A8E5309"/>
    <w:rsid w:val="7A8F67EF"/>
    <w:rsid w:val="7A914567"/>
    <w:rsid w:val="7A915D11"/>
    <w:rsid w:val="7A9B358B"/>
    <w:rsid w:val="7ACD50FD"/>
    <w:rsid w:val="7AE66901"/>
    <w:rsid w:val="7AF87F15"/>
    <w:rsid w:val="7B0E3521"/>
    <w:rsid w:val="7B1A5E33"/>
    <w:rsid w:val="7B2D4896"/>
    <w:rsid w:val="7B2E6759"/>
    <w:rsid w:val="7B371C03"/>
    <w:rsid w:val="7B427F3E"/>
    <w:rsid w:val="7B6A1ADB"/>
    <w:rsid w:val="7BAE5967"/>
    <w:rsid w:val="7BB24219"/>
    <w:rsid w:val="7BEC31E9"/>
    <w:rsid w:val="7C084414"/>
    <w:rsid w:val="7C103D66"/>
    <w:rsid w:val="7C2D2DC7"/>
    <w:rsid w:val="7C351DCA"/>
    <w:rsid w:val="7C650770"/>
    <w:rsid w:val="7C8363AC"/>
    <w:rsid w:val="7C977774"/>
    <w:rsid w:val="7C9D6B99"/>
    <w:rsid w:val="7CA66487"/>
    <w:rsid w:val="7CBE350D"/>
    <w:rsid w:val="7CD87E38"/>
    <w:rsid w:val="7D293727"/>
    <w:rsid w:val="7D2B4AA3"/>
    <w:rsid w:val="7D2C4132"/>
    <w:rsid w:val="7D2D58E4"/>
    <w:rsid w:val="7D2F00E9"/>
    <w:rsid w:val="7D2F24FD"/>
    <w:rsid w:val="7D695E0A"/>
    <w:rsid w:val="7D841D68"/>
    <w:rsid w:val="7D916E98"/>
    <w:rsid w:val="7D950E31"/>
    <w:rsid w:val="7D9E63EA"/>
    <w:rsid w:val="7DAF7459"/>
    <w:rsid w:val="7DCF6787"/>
    <w:rsid w:val="7DE5694B"/>
    <w:rsid w:val="7DEA1B8C"/>
    <w:rsid w:val="7E0172CF"/>
    <w:rsid w:val="7E163A20"/>
    <w:rsid w:val="7E36044C"/>
    <w:rsid w:val="7E3F56B9"/>
    <w:rsid w:val="7E8458A8"/>
    <w:rsid w:val="7E901419"/>
    <w:rsid w:val="7E990BD5"/>
    <w:rsid w:val="7ECD2B29"/>
    <w:rsid w:val="7EEA5542"/>
    <w:rsid w:val="7EFE0AF5"/>
    <w:rsid w:val="7F085858"/>
    <w:rsid w:val="7F120CAA"/>
    <w:rsid w:val="7F2C5954"/>
    <w:rsid w:val="7F381444"/>
    <w:rsid w:val="7F394146"/>
    <w:rsid w:val="7F48620D"/>
    <w:rsid w:val="7F6242A9"/>
    <w:rsid w:val="7F6C1A15"/>
    <w:rsid w:val="7F6C2F0C"/>
    <w:rsid w:val="7F7D1C1B"/>
    <w:rsid w:val="7F7E5BB7"/>
    <w:rsid w:val="7F8511BB"/>
    <w:rsid w:val="7FE717B0"/>
    <w:rsid w:val="7FE900B8"/>
    <w:rsid w:val="7FF263C3"/>
    <w:rsid w:val="7FF843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6"/>
    <w:autoRedefine/>
    <w:qFormat/>
    <w:uiPriority w:val="9"/>
    <w:pPr>
      <w:keepNext/>
      <w:keepLines/>
      <w:numPr>
        <w:ilvl w:val="0"/>
        <w:numId w:val="1"/>
      </w:numPr>
      <w:spacing w:line="576" w:lineRule="auto"/>
      <w:ind w:left="432" w:hanging="432"/>
      <w:jc w:val="center"/>
      <w:outlineLvl w:val="0"/>
    </w:pPr>
    <w:rPr>
      <w:rFonts w:eastAsia="宋体"/>
      <w:b/>
      <w:kern w:val="44"/>
    </w:rPr>
  </w:style>
  <w:style w:type="paragraph" w:styleId="3">
    <w:name w:val="heading 2"/>
    <w:basedOn w:val="1"/>
    <w:next w:val="1"/>
    <w:autoRedefine/>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宋体"/>
      <w:b/>
      <w:sz w:val="21"/>
    </w:rPr>
  </w:style>
  <w:style w:type="paragraph" w:styleId="4">
    <w:name w:val="heading 3"/>
    <w:basedOn w:val="1"/>
    <w:next w:val="1"/>
    <w:autoRedefine/>
    <w:unhideWhenUsed/>
    <w:qFormat/>
    <w:uiPriority w:val="0"/>
    <w:pPr>
      <w:keepNext/>
      <w:keepLines/>
      <w:numPr>
        <w:ilvl w:val="2"/>
        <w:numId w:val="1"/>
      </w:numPr>
      <w:spacing w:beforeLines="0" w:beforeAutospacing="0" w:afterLines="0" w:afterAutospacing="0" w:line="600" w:lineRule="exact"/>
      <w:ind w:left="720" w:hanging="720" w:firstLineChars="0"/>
      <w:outlineLvl w:val="2"/>
    </w:pPr>
    <w:rPr>
      <w:rFonts w:ascii="Calibri" w:hAnsi="Calibri"/>
      <w:b/>
      <w:kern w:val="0"/>
      <w:sz w:val="28"/>
    </w:rPr>
  </w:style>
  <w:style w:type="paragraph" w:styleId="5">
    <w:name w:val="heading 4"/>
    <w:basedOn w:val="1"/>
    <w:next w:val="6"/>
    <w:autoRedefine/>
    <w:semiHidden/>
    <w:unhideWhenUsed/>
    <w:qFormat/>
    <w:uiPriority w:val="0"/>
    <w:pPr>
      <w:keepNext/>
      <w:keepLines/>
      <w:numPr>
        <w:ilvl w:val="3"/>
        <w:numId w:val="1"/>
      </w:numPr>
      <w:ind w:left="864" w:hanging="864" w:firstLineChars="0"/>
      <w:outlineLvl w:val="3"/>
    </w:pPr>
    <w:rPr>
      <w:rFonts w:ascii="Times New Roman" w:hAnsi="Times New Roman" w:eastAsia="楷体"/>
      <w:bCs/>
      <w:sz w:val="24"/>
      <w:szCs w:val="28"/>
    </w:rPr>
  </w:style>
  <w:style w:type="paragraph" w:styleId="7">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customStyle="1" w:styleId="6">
    <w:name w:val="报告书正文"/>
    <w:basedOn w:val="1"/>
    <w:next w:val="1"/>
    <w:autoRedefine/>
    <w:qFormat/>
    <w:uiPriority w:val="0"/>
    <w:pPr>
      <w:spacing w:line="360" w:lineRule="auto"/>
      <w:ind w:firstLine="200" w:firstLineChars="200"/>
    </w:pPr>
    <w:rPr>
      <w:sz w:val="24"/>
    </w:rPr>
  </w:style>
  <w:style w:type="paragraph" w:styleId="12">
    <w:name w:val="Note Heading"/>
    <w:basedOn w:val="1"/>
    <w:next w:val="1"/>
    <w:autoRedefine/>
    <w:qFormat/>
    <w:uiPriority w:val="0"/>
    <w:pPr>
      <w:adjustRightInd w:val="0"/>
      <w:snapToGrid w:val="0"/>
      <w:spacing w:line="320" w:lineRule="exact"/>
      <w:jc w:val="center"/>
    </w:pPr>
    <w:rPr>
      <w:rFonts w:ascii="Times New Roman" w:hAnsi="Times New Roman" w:eastAsia="宋体" w:cs="Times New Roman"/>
      <w:b/>
      <w:color w:val="000000"/>
      <w:szCs w:val="21"/>
    </w:rPr>
  </w:style>
  <w:style w:type="paragraph" w:styleId="13">
    <w:name w:val="Normal Indent"/>
    <w:basedOn w:val="1"/>
    <w:autoRedefine/>
    <w:qFormat/>
    <w:uiPriority w:val="0"/>
    <w:pPr>
      <w:spacing w:before="120" w:line="500" w:lineRule="exact"/>
      <w:ind w:firstLine="420"/>
    </w:pPr>
    <w:rPr>
      <w:sz w:val="24"/>
    </w:rPr>
  </w:style>
  <w:style w:type="paragraph" w:styleId="14">
    <w:name w:val="caption"/>
    <w:basedOn w:val="1"/>
    <w:next w:val="1"/>
    <w:autoRedefine/>
    <w:qFormat/>
    <w:uiPriority w:val="0"/>
    <w:pPr>
      <w:spacing w:line="360" w:lineRule="exact"/>
      <w:jc w:val="center"/>
    </w:pPr>
    <w:rPr>
      <w:rFonts w:ascii="Times New Roman" w:hAnsi="Times New Roman" w:eastAsia="黑体" w:cs="Times New Roman"/>
      <w:sz w:val="24"/>
      <w:szCs w:val="24"/>
      <w:lang w:val="en-US" w:eastAsia="zh-CN" w:bidi="ar-SA"/>
    </w:rPr>
  </w:style>
  <w:style w:type="paragraph" w:styleId="15">
    <w:name w:val="annotation text"/>
    <w:basedOn w:val="1"/>
    <w:autoRedefine/>
    <w:qFormat/>
    <w:uiPriority w:val="0"/>
    <w:pPr>
      <w:jc w:val="left"/>
    </w:pPr>
  </w:style>
  <w:style w:type="paragraph" w:styleId="16">
    <w:name w:val="Body Text"/>
    <w:basedOn w:val="1"/>
    <w:autoRedefine/>
    <w:qFormat/>
    <w:uiPriority w:val="0"/>
    <w:pPr>
      <w:jc w:val="left"/>
    </w:pPr>
    <w:rPr>
      <w:sz w:val="32"/>
    </w:rPr>
  </w:style>
  <w:style w:type="paragraph" w:styleId="17">
    <w:name w:val="Body Text Indent"/>
    <w:basedOn w:val="1"/>
    <w:next w:val="16"/>
    <w:autoRedefine/>
    <w:qFormat/>
    <w:uiPriority w:val="0"/>
    <w:pPr>
      <w:spacing w:after="120"/>
      <w:ind w:left="420" w:leftChars="200"/>
    </w:pPr>
  </w:style>
  <w:style w:type="paragraph" w:styleId="18">
    <w:name w:val="Block Text"/>
    <w:basedOn w:val="1"/>
    <w:next w:val="1"/>
    <w:autoRedefine/>
    <w:qFormat/>
    <w:uiPriority w:val="0"/>
    <w:pPr>
      <w:snapToGrid w:val="0"/>
      <w:spacing w:line="408" w:lineRule="auto"/>
      <w:ind w:left="-113" w:right="-510" w:firstLine="510"/>
    </w:pPr>
    <w:rPr>
      <w:sz w:val="24"/>
      <w:szCs w:val="20"/>
    </w:rPr>
  </w:style>
  <w:style w:type="paragraph" w:styleId="19">
    <w:name w:val="Body Text Indent 2"/>
    <w:basedOn w:val="1"/>
    <w:autoRedefine/>
    <w:qFormat/>
    <w:uiPriority w:val="0"/>
    <w:pPr>
      <w:spacing w:line="360" w:lineRule="auto"/>
      <w:ind w:firstLine="456" w:firstLineChars="200"/>
      <w:jc w:val="left"/>
    </w:pPr>
    <w:rPr>
      <w:sz w:val="24"/>
      <w:szCs w:val="24"/>
    </w:rPr>
  </w:style>
  <w:style w:type="paragraph" w:styleId="20">
    <w:name w:val="footer"/>
    <w:basedOn w:val="1"/>
    <w:autoRedefine/>
    <w:qFormat/>
    <w:uiPriority w:val="0"/>
    <w:pPr>
      <w:tabs>
        <w:tab w:val="center" w:pos="4153"/>
        <w:tab w:val="right" w:pos="8306"/>
      </w:tabs>
      <w:snapToGrid w:val="0"/>
      <w:jc w:val="left"/>
    </w:pPr>
    <w:rPr>
      <w:sz w:val="18"/>
    </w:rPr>
  </w:style>
  <w:style w:type="paragraph" w:styleId="2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List"/>
    <w:basedOn w:val="1"/>
    <w:autoRedefine/>
    <w:unhideWhenUsed/>
    <w:qFormat/>
    <w:uiPriority w:val="0"/>
    <w:pPr>
      <w:ind w:left="200" w:hanging="200" w:hangingChars="200"/>
      <w:contextualSpacing/>
    </w:pPr>
  </w:style>
  <w:style w:type="paragraph" w:styleId="23">
    <w:name w:val="toc 9"/>
    <w:next w:val="1"/>
    <w:autoRedefine/>
    <w:qFormat/>
    <w:uiPriority w:val="0"/>
    <w:pPr>
      <w:wordWrap w:val="0"/>
      <w:ind w:left="2975"/>
      <w:jc w:val="both"/>
    </w:pPr>
    <w:rPr>
      <w:rFonts w:ascii="Times New Roman" w:hAnsi="Times New Roman" w:eastAsia="宋体" w:cs="Times New Roman"/>
      <w:sz w:val="21"/>
      <w:szCs w:val="22"/>
      <w:lang w:val="en-US" w:eastAsia="zh-CN" w:bidi="ar-SA"/>
    </w:rPr>
  </w:style>
  <w:style w:type="paragraph" w:styleId="24">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5">
    <w:name w:val="Body Text First Indent"/>
    <w:basedOn w:val="16"/>
    <w:autoRedefine/>
    <w:qFormat/>
    <w:uiPriority w:val="0"/>
    <w:pPr>
      <w:snapToGrid w:val="0"/>
      <w:spacing w:line="360" w:lineRule="auto"/>
      <w:ind w:firstLine="200"/>
    </w:pPr>
  </w:style>
  <w:style w:type="paragraph" w:styleId="26">
    <w:name w:val="Body Text First Indent 2"/>
    <w:basedOn w:val="1"/>
    <w:next w:val="1"/>
    <w:autoRedefine/>
    <w:unhideWhenUsed/>
    <w:qFormat/>
    <w:uiPriority w:val="99"/>
    <w:pPr>
      <w:ind w:firstLine="420" w:firstLineChars="200"/>
    </w:p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Emphasis"/>
    <w:basedOn w:val="29"/>
    <w:autoRedefine/>
    <w:qFormat/>
    <w:uiPriority w:val="0"/>
    <w:rPr>
      <w:i/>
    </w:rPr>
  </w:style>
  <w:style w:type="character" w:styleId="31">
    <w:name w:val="annotation reference"/>
    <w:basedOn w:val="29"/>
    <w:autoRedefine/>
    <w:qFormat/>
    <w:uiPriority w:val="0"/>
    <w:rPr>
      <w:sz w:val="21"/>
      <w:szCs w:val="21"/>
    </w:rPr>
  </w:style>
  <w:style w:type="paragraph" w:customStyle="1" w:styleId="32">
    <w:name w:val="新格式表"/>
    <w:basedOn w:val="1"/>
    <w:autoRedefine/>
    <w:qFormat/>
    <w:uiPriority w:val="0"/>
    <w:pPr>
      <w:adjustRightInd w:val="0"/>
      <w:spacing w:line="0" w:lineRule="atLeast"/>
      <w:jc w:val="center"/>
    </w:pPr>
    <w:rPr>
      <w:color w:val="000000"/>
      <w:szCs w:val="21"/>
    </w:rPr>
  </w:style>
  <w:style w:type="paragraph" w:customStyle="1" w:styleId="33">
    <w:name w:val="Date1"/>
    <w:basedOn w:val="1"/>
    <w:next w:val="1"/>
    <w:autoRedefine/>
    <w:qFormat/>
    <w:uiPriority w:val="0"/>
    <w:pPr>
      <w:adjustRightInd w:val="0"/>
      <w:jc w:val="left"/>
      <w:textAlignment w:val="baseline"/>
    </w:pPr>
    <w:rPr>
      <w:rFonts w:ascii="宋体" w:hAnsi="宋体"/>
      <w:sz w:val="28"/>
      <w:szCs w:val="20"/>
    </w:rPr>
  </w:style>
  <w:style w:type="paragraph" w:customStyle="1" w:styleId="34">
    <w:name w:val="Default1"/>
    <w:autoRedefine/>
    <w:qFormat/>
    <w:uiPriority w:val="0"/>
    <w:pPr>
      <w:widowControl w:val="0"/>
      <w:autoSpaceDE w:val="0"/>
      <w:autoSpaceDN w:val="0"/>
      <w:adjustRightInd w:val="0"/>
    </w:pPr>
    <w:rPr>
      <w:rFonts w:ascii="全真楷書" w:hAnsi="Times New Roman" w:eastAsia="宋体" w:cs="全真楷書"/>
      <w:color w:val="000000"/>
      <w:sz w:val="24"/>
      <w:szCs w:val="24"/>
      <w:lang w:val="en-US" w:eastAsia="zh-CN" w:bidi="ar-SA"/>
    </w:rPr>
  </w:style>
  <w:style w:type="paragraph" w:customStyle="1" w:styleId="35">
    <w:name w:val="Default"/>
    <w:basedOn w:val="36"/>
    <w:next w:val="37"/>
    <w:autoRedefine/>
    <w:qFormat/>
    <w:uiPriority w:val="0"/>
    <w:pPr>
      <w:widowControl w:val="0"/>
      <w:autoSpaceDE w:val="0"/>
      <w:autoSpaceDN w:val="0"/>
      <w:adjustRightInd w:val="0"/>
      <w:spacing w:line="460" w:lineRule="exact"/>
      <w:jc w:val="center"/>
    </w:pPr>
    <w:rPr>
      <w:rFonts w:ascii="黑体" w:hAnsi="Calibri" w:eastAsia="黑体" w:cs="黑体"/>
      <w:color w:val="000000"/>
      <w:sz w:val="24"/>
      <w:szCs w:val="24"/>
      <w:lang w:val="en-US" w:eastAsia="zh-CN" w:bidi="ar-SA"/>
    </w:rPr>
  </w:style>
  <w:style w:type="paragraph" w:customStyle="1" w:styleId="36">
    <w:name w:val="纯文本1"/>
    <w:basedOn w:val="1"/>
    <w:autoRedefine/>
    <w:qFormat/>
    <w:uiPriority w:val="0"/>
    <w:pPr>
      <w:adjustRightInd w:val="0"/>
      <w:jc w:val="center"/>
      <w:textAlignment w:val="baseline"/>
    </w:pPr>
    <w:rPr>
      <w:rFonts w:ascii="宋体" w:hAnsi="Courier New"/>
      <w:sz w:val="24"/>
    </w:rPr>
  </w:style>
  <w:style w:type="paragraph" w:customStyle="1" w:styleId="37">
    <w:name w:val="样式35"/>
    <w:basedOn w:val="1"/>
    <w:next w:val="1"/>
    <w:autoRedefine/>
    <w:qFormat/>
    <w:uiPriority w:val="0"/>
    <w:pPr>
      <w:spacing w:line="312" w:lineRule="auto"/>
      <w:ind w:firstLine="567"/>
    </w:pPr>
    <w:rPr>
      <w:rFonts w:ascii="宋体"/>
      <w:sz w:val="28"/>
    </w:rPr>
  </w:style>
  <w:style w:type="paragraph" w:customStyle="1" w:styleId="38">
    <w:name w:val="表格头"/>
    <w:basedOn w:val="1"/>
    <w:autoRedefine/>
    <w:qFormat/>
    <w:uiPriority w:val="0"/>
    <w:pPr>
      <w:snapToGrid w:val="0"/>
      <w:ind w:firstLine="480" w:firstLineChars="200"/>
      <w:jc w:val="center"/>
    </w:pPr>
    <w:rPr>
      <w:rFonts w:ascii="黑体" w:eastAsia="黑体"/>
      <w:color w:val="000000"/>
      <w:sz w:val="24"/>
      <w:szCs w:val="20"/>
    </w:rPr>
  </w:style>
  <w:style w:type="character" w:customStyle="1" w:styleId="39">
    <w:name w:val="font01"/>
    <w:basedOn w:val="29"/>
    <w:autoRedefine/>
    <w:qFormat/>
    <w:uiPriority w:val="0"/>
    <w:rPr>
      <w:rFonts w:hint="eastAsia" w:ascii="宋体" w:hAnsi="宋体" w:eastAsia="宋体" w:cs="宋体"/>
      <w:color w:val="000000"/>
      <w:sz w:val="24"/>
      <w:szCs w:val="24"/>
      <w:u w:val="none"/>
    </w:rPr>
  </w:style>
  <w:style w:type="paragraph" w:customStyle="1" w:styleId="40">
    <w:name w:val="表格文字"/>
    <w:basedOn w:val="1"/>
    <w:autoRedefine/>
    <w:qFormat/>
    <w:uiPriority w:val="0"/>
    <w:pPr>
      <w:adjustRightInd w:val="0"/>
      <w:jc w:val="center"/>
    </w:pPr>
    <w:rPr>
      <w:kern w:val="0"/>
      <w:szCs w:val="21"/>
    </w:rPr>
  </w:style>
  <w:style w:type="paragraph" w:customStyle="1" w:styleId="41">
    <w:name w:val="正文AAA"/>
    <w:basedOn w:val="1"/>
    <w:autoRedefine/>
    <w:qFormat/>
    <w:uiPriority w:val="0"/>
    <w:pPr>
      <w:spacing w:line="500" w:lineRule="exact"/>
      <w:ind w:firstLine="480" w:firstLineChars="200"/>
    </w:pPr>
    <w:rPr>
      <w:rFonts w:ascii="宋体" w:hAnsi="宋体"/>
      <w:sz w:val="24"/>
    </w:rPr>
  </w:style>
  <w:style w:type="paragraph" w:customStyle="1" w:styleId="42">
    <w:name w:val="表头"/>
    <w:basedOn w:val="1"/>
    <w:next w:val="1"/>
    <w:autoRedefine/>
    <w:qFormat/>
    <w:uiPriority w:val="0"/>
    <w:pPr>
      <w:spacing w:line="480" w:lineRule="auto"/>
      <w:ind w:left="425"/>
      <w:jc w:val="center"/>
    </w:pPr>
    <w:rPr>
      <w:rFonts w:ascii="黑体" w:hAnsi="黑体" w:eastAsia="黑体"/>
      <w:lang w:val="zh-CN" w:eastAsia="zh-CN"/>
    </w:rPr>
  </w:style>
  <w:style w:type="paragraph" w:customStyle="1" w:styleId="43">
    <w:name w:val="Body Text First Indent 2"/>
    <w:basedOn w:val="1"/>
    <w:next w:val="1"/>
    <w:autoRedefine/>
    <w:qFormat/>
    <w:uiPriority w:val="0"/>
    <w:pPr>
      <w:tabs>
        <w:tab w:val="left" w:pos="4500"/>
        <w:tab w:val="left" w:pos="4680"/>
      </w:tabs>
      <w:snapToGrid w:val="0"/>
      <w:spacing w:line="360" w:lineRule="auto"/>
      <w:ind w:firstLine="360" w:firstLineChars="150"/>
    </w:pPr>
    <w:rPr>
      <w:szCs w:val="20"/>
    </w:rPr>
  </w:style>
  <w:style w:type="paragraph" w:customStyle="1" w:styleId="44">
    <w:name w:val="表格"/>
    <w:basedOn w:val="1"/>
    <w:next w:val="1"/>
    <w:autoRedefine/>
    <w:qFormat/>
    <w:uiPriority w:val="0"/>
    <w:pPr>
      <w:adjustRightInd w:val="0"/>
      <w:snapToGrid w:val="0"/>
      <w:spacing w:beforeLines="10" w:afterLines="10" w:line="259" w:lineRule="auto"/>
      <w:jc w:val="center"/>
    </w:pPr>
    <w:rPr>
      <w:rFonts w:ascii="宋体"/>
      <w:kern w:val="0"/>
      <w:szCs w:val="20"/>
    </w:rPr>
  </w:style>
  <w:style w:type="character" w:customStyle="1" w:styleId="45">
    <w:name w:val="标题2"/>
    <w:basedOn w:val="29"/>
    <w:autoRedefine/>
    <w:qFormat/>
    <w:uiPriority w:val="0"/>
  </w:style>
  <w:style w:type="paragraph" w:customStyle="1" w:styleId="46">
    <w:name w:val="B标题(2级)"/>
    <w:basedOn w:val="1"/>
    <w:autoRedefine/>
    <w:qFormat/>
    <w:uiPriority w:val="0"/>
  </w:style>
  <w:style w:type="paragraph" w:styleId="47">
    <w:name w:val="List Paragraph"/>
    <w:basedOn w:val="1"/>
    <w:autoRedefine/>
    <w:qFormat/>
    <w:uiPriority w:val="34"/>
    <w:pPr>
      <w:ind w:firstLine="420" w:firstLineChars="200"/>
    </w:pPr>
  </w:style>
  <w:style w:type="paragraph" w:customStyle="1" w:styleId="48">
    <w:name w:val="报告正文"/>
    <w:basedOn w:val="1"/>
    <w:autoRedefine/>
    <w:qFormat/>
    <w:uiPriority w:val="0"/>
    <w:pPr>
      <w:adjustRightInd w:val="0"/>
      <w:snapToGrid w:val="0"/>
      <w:spacing w:line="360" w:lineRule="auto"/>
      <w:ind w:firstLine="200" w:firstLineChars="200"/>
    </w:pPr>
    <w:rPr>
      <w:rFonts w:ascii="宋体" w:hAnsi="Times New Roman"/>
      <w:sz w:val="24"/>
      <w:szCs w:val="20"/>
    </w:rPr>
  </w:style>
  <w:style w:type="paragraph" w:customStyle="1" w:styleId="49">
    <w:name w:val="正"/>
    <w:basedOn w:val="1"/>
    <w:autoRedefine/>
    <w:qFormat/>
    <w:uiPriority w:val="0"/>
    <w:pPr>
      <w:adjustRightInd w:val="0"/>
      <w:spacing w:line="360" w:lineRule="auto"/>
      <w:ind w:left="23" w:leftChars="11" w:firstLine="480" w:firstLineChars="200"/>
    </w:pPr>
    <w:rPr>
      <w:rFonts w:ascii="Times New Roman" w:hAnsi="Times New Roman"/>
      <w:kern w:val="2"/>
      <w:sz w:val="24"/>
      <w:szCs w:val="24"/>
    </w:rPr>
  </w:style>
  <w:style w:type="paragraph" w:customStyle="1" w:styleId="50">
    <w:name w:val="格式正文，26磅"/>
    <w:basedOn w:val="1"/>
    <w:autoRedefine/>
    <w:qFormat/>
    <w:uiPriority w:val="0"/>
    <w:pPr>
      <w:topLinePunct/>
      <w:spacing w:line="520" w:lineRule="exact"/>
      <w:ind w:firstLine="200" w:firstLineChars="200"/>
    </w:pPr>
    <w:rPr>
      <w:rFonts w:ascii="宋体" w:hAnsi="宋体"/>
    </w:rPr>
  </w:style>
  <w:style w:type="paragraph" w:customStyle="1" w:styleId="51">
    <w:name w:val="样式 首行缩进:  2 字符"/>
    <w:basedOn w:val="1"/>
    <w:autoRedefine/>
    <w:qFormat/>
    <w:uiPriority w:val="0"/>
    <w:rPr>
      <w:rFonts w:cs="宋体"/>
      <w:szCs w:val="20"/>
    </w:rPr>
  </w:style>
  <w:style w:type="paragraph" w:customStyle="1" w:styleId="52">
    <w:name w:val="表内 定"/>
    <w:basedOn w:val="1"/>
    <w:autoRedefine/>
    <w:qFormat/>
    <w:uiPriority w:val="0"/>
    <w:rPr>
      <w:rFonts w:cs="Times New Roman"/>
      <w:color w:val="000000"/>
    </w:rPr>
  </w:style>
  <w:style w:type="paragraph" w:customStyle="1" w:styleId="53">
    <w:name w:val="Table Paragraph"/>
    <w:basedOn w:val="1"/>
    <w:autoRedefine/>
    <w:qFormat/>
    <w:uiPriority w:val="1"/>
    <w:pPr>
      <w:widowControl w:val="0"/>
      <w:autoSpaceDE w:val="0"/>
      <w:autoSpaceDN w:val="0"/>
      <w:adjustRightInd w:val="0"/>
    </w:pPr>
    <w:rPr>
      <w:rFonts w:ascii="Times New Roman" w:hAnsi="Times New Roman" w:eastAsia="宋体"/>
      <w:lang w:eastAsia="zh-CN" w:bidi="ar-SA"/>
    </w:rPr>
  </w:style>
  <w:style w:type="paragraph" w:customStyle="1" w:styleId="54">
    <w:name w:val="表文字"/>
    <w:basedOn w:val="1"/>
    <w:autoRedefine/>
    <w:qFormat/>
    <w:uiPriority w:val="0"/>
    <w:pPr>
      <w:widowControl w:val="0"/>
      <w:topLinePunct/>
      <w:adjustRightInd w:val="0"/>
      <w:ind w:firstLine="200" w:firstLineChars="200"/>
      <w:jc w:val="center"/>
      <w:textAlignment w:val="baseline"/>
    </w:pPr>
    <w:rPr>
      <w:rFonts w:ascii="Times New Roman" w:hAnsi="Times New Roman"/>
      <w:szCs w:val="21"/>
    </w:rPr>
  </w:style>
  <w:style w:type="paragraph" w:customStyle="1" w:styleId="55">
    <w:name w:val="报告表正文"/>
    <w:basedOn w:val="1"/>
    <w:autoRedefine/>
    <w:qFormat/>
    <w:uiPriority w:val="0"/>
    <w:pPr>
      <w:adjustRightInd w:val="0"/>
      <w:spacing w:line="312" w:lineRule="auto"/>
      <w:ind w:left="113" w:right="113" w:firstLine="482"/>
      <w:jc w:val="left"/>
    </w:pPr>
    <w:rPr>
      <w:kern w:val="0"/>
      <w:sz w:val="24"/>
      <w:szCs w:val="20"/>
    </w:rPr>
  </w:style>
  <w:style w:type="character" w:customStyle="1" w:styleId="56">
    <w:name w:val="标题 1 Char1"/>
    <w:link w:val="2"/>
    <w:autoRedefine/>
    <w:qFormat/>
    <w:uiPriority w:val="9"/>
    <w:rPr>
      <w:rFonts w:eastAsia="宋体"/>
      <w:b/>
      <w:kern w:val="44"/>
    </w:rPr>
  </w:style>
  <w:style w:type="paragraph" w:customStyle="1" w:styleId="57">
    <w:name w:val="正文_0"/>
    <w:autoRedefine/>
    <w:qFormat/>
    <w:uiPriority w:val="0"/>
    <w:pPr>
      <w:widowControl w:val="0"/>
      <w:jc w:val="both"/>
    </w:pPr>
    <w:rPr>
      <w:rFonts w:ascii="Calibri" w:hAnsi="Calibri" w:eastAsia="宋体" w:cs="Times New Roman"/>
      <w:kern w:val="2"/>
      <w:sz w:val="21"/>
      <w:lang w:val="en-US" w:eastAsia="zh-CN" w:bidi="ar-SA"/>
    </w:rPr>
  </w:style>
  <w:style w:type="table" w:customStyle="1" w:styleId="58">
    <w:name w:val="Table Normal"/>
    <w:autoRedefine/>
    <w:semiHidden/>
    <w:unhideWhenUsed/>
    <w:qFormat/>
    <w:uiPriority w:val="0"/>
    <w:tblPr>
      <w:tblCellMar>
        <w:top w:w="0" w:type="dxa"/>
        <w:left w:w="0" w:type="dxa"/>
        <w:bottom w:w="0" w:type="dxa"/>
        <w:right w:w="0" w:type="dxa"/>
      </w:tblCellMar>
    </w:tblPr>
  </w:style>
  <w:style w:type="paragraph" w:customStyle="1" w:styleId="59">
    <w:name w:val="表名"/>
    <w:basedOn w:val="1"/>
    <w:autoRedefine/>
    <w:qFormat/>
    <w:uiPriority w:val="0"/>
    <w:pPr>
      <w:widowControl/>
      <w:spacing w:afterLines="20" w:line="400" w:lineRule="exact"/>
      <w:ind w:firstLine="413" w:firstLineChars="196"/>
    </w:pPr>
    <w:rPr>
      <w:rFonts w:eastAsia="黑体"/>
      <w:sz w:val="24"/>
      <w:szCs w:val="21"/>
    </w:rPr>
  </w:style>
  <w:style w:type="paragraph" w:customStyle="1" w:styleId="60">
    <w:name w:val="表格内容"/>
    <w:basedOn w:val="22"/>
    <w:next w:val="1"/>
    <w:autoRedefine/>
    <w:qFormat/>
    <w:uiPriority w:val="0"/>
    <w:pPr>
      <w:ind w:left="0" w:firstLine="0" w:firstLineChars="0"/>
      <w:jc w:val="center"/>
    </w:pPr>
    <w:rPr>
      <w:rFonts w:ascii="Times New Roman" w:hAnsi="Times New Roman" w:eastAsia="宋体" w:cs="Times New Roman"/>
      <w:kern w:val="2"/>
      <w:sz w:val="21"/>
      <w:szCs w:val="21"/>
      <w:lang w:val="en-US" w:eastAsia="zh-CN" w:bidi="ar-SA"/>
    </w:rPr>
  </w:style>
  <w:style w:type="paragraph" w:customStyle="1" w:styleId="61">
    <w:name w:val="p0"/>
    <w:basedOn w:val="1"/>
    <w:autoRedefine/>
    <w:qFormat/>
    <w:uiPriority w:val="0"/>
    <w:pPr>
      <w:widowControl/>
    </w:pPr>
    <w:rPr>
      <w:kern w:val="0"/>
      <w:szCs w:val="21"/>
    </w:rPr>
  </w:style>
  <w:style w:type="paragraph" w:customStyle="1" w:styleId="62">
    <w:name w:val="格式正文"/>
    <w:basedOn w:val="1"/>
    <w:autoRedefine/>
    <w:qFormat/>
    <w:uiPriority w:val="0"/>
    <w:pPr>
      <w:autoSpaceDE w:val="0"/>
      <w:autoSpaceDN w:val="0"/>
      <w:adjustRightInd w:val="0"/>
      <w:spacing w:line="520" w:lineRule="exact"/>
      <w:ind w:firstLine="200" w:firstLineChars="200"/>
    </w:pPr>
    <w:rPr>
      <w:rFonts w:ascii="宋体" w:hAnsi="宋体"/>
      <w:color w:val="000000"/>
      <w:sz w:val="24"/>
    </w:rPr>
  </w:style>
  <w:style w:type="paragraph" w:customStyle="1" w:styleId="63">
    <w:name w:val="表格内正文"/>
    <w:basedOn w:val="1"/>
    <w:autoRedefine/>
    <w:qFormat/>
    <w:uiPriority w:val="0"/>
    <w:pPr>
      <w:spacing w:line="240" w:lineRule="auto"/>
      <w:ind w:firstLine="0" w:firstLineChars="0"/>
      <w:jc w:val="center"/>
    </w:pPr>
    <w:rPr>
      <w:rFonts w:ascii="Times New Roman" w:hAnsi="Times New Roman" w:eastAsia="宋体"/>
      <w:sz w:val="21"/>
    </w:rPr>
  </w:style>
  <w:style w:type="paragraph" w:customStyle="1" w:styleId="64">
    <w:name w:val="正文文本的"/>
    <w:basedOn w:val="1"/>
    <w:autoRedefine/>
    <w:qFormat/>
    <w:uiPriority w:val="0"/>
    <w:pPr>
      <w:spacing w:line="360" w:lineRule="auto"/>
      <w:ind w:firstLine="480" w:firstLineChars="200"/>
    </w:pPr>
    <w:rPr>
      <w:rFonts w:cs="宋体"/>
      <w:sz w:val="24"/>
      <w:szCs w:val="20"/>
    </w:rPr>
  </w:style>
  <w:style w:type="paragraph" w:customStyle="1" w:styleId="65">
    <w:name w:val="Table Text"/>
    <w:basedOn w:val="1"/>
    <w:autoRedefine/>
    <w:semiHidden/>
    <w:qFormat/>
    <w:uiPriority w:val="0"/>
    <w:rPr>
      <w:rFonts w:ascii="Times New Roman" w:hAnsi="Times New Roman" w:eastAsia="Times New Roman" w:cs="Times New Roman"/>
      <w:sz w:val="20"/>
      <w:szCs w:val="20"/>
      <w:lang w:val="en-US" w:eastAsia="en-US" w:bidi="ar-SA"/>
    </w:rPr>
  </w:style>
  <w:style w:type="paragraph" w:customStyle="1" w:styleId="66">
    <w:name w:val="Other|1"/>
    <w:basedOn w:val="1"/>
    <w:autoRedefine/>
    <w:qFormat/>
    <w:uiPriority w:val="0"/>
    <w:pPr>
      <w:widowControl w:val="0"/>
      <w:shd w:val="clear" w:color="auto" w:fill="auto"/>
      <w:jc w:val="center"/>
    </w:pPr>
    <w:rPr>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34716</Words>
  <Characters>41472</Characters>
  <Lines>0</Lines>
  <Paragraphs>0</Paragraphs>
  <TotalTime>3</TotalTime>
  <ScaleCrop>false</ScaleCrop>
  <LinksUpToDate>false</LinksUpToDate>
  <CharactersWithSpaces>41712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2021-03-22T02:17:00Z</dcterms:created>
  <dc:creator>Administrator</dc:creator>
  <cp:lastModifiedBy>水饺</cp:lastModifiedBy>
  <cp:lastPrinted>2023-02-02T07:29:00Z</cp:lastPrinted>
  <dcterms:modified xsi:type="dcterms:W3CDTF">2024-07-08T01:44:43Z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DBABEACFFCB644378A913F6E8595C7C7_13</vt:lpwstr>
  </property>
</Properties>
</file>