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4" w:hRule="atLeast"/>
        </w:trPr>
        <w:tc>
          <w:tcPr>
            <w:tcW w:w="8904" w:type="dxa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Cs/>
                <w:sz w:val="28"/>
                <w:szCs w:val="28"/>
              </w:rPr>
              <w:t>审批意见：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永环审〔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2018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69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号</w:t>
            </w:r>
          </w:p>
          <w:p>
            <w:pPr>
              <w:adjustRightInd w:val="0"/>
              <w:snapToGrid w:val="0"/>
              <w:spacing w:line="480" w:lineRule="exact"/>
              <w:ind w:left="417" w:leftChars="0" w:hanging="417" w:hangingChars="116"/>
              <w:jc w:val="center"/>
              <w:rPr>
                <w:rFonts w:ascii="Times New Roman" w:hAnsi="Times New Roman" w:eastAsia="仿宋_GB2312" w:cs="Times New Roman"/>
                <w:bCs/>
                <w:sz w:val="36"/>
                <w:szCs w:val="36"/>
              </w:rPr>
            </w:pPr>
            <w:r>
              <w:rPr>
                <w:rFonts w:ascii="Times New Roman" w:hAnsi="仿宋_GB2312" w:eastAsia="仿宋_GB2312" w:cs="Times New Roman"/>
                <w:bCs/>
                <w:sz w:val="36"/>
                <w:szCs w:val="36"/>
              </w:rPr>
              <w:t>关于《</w:t>
            </w:r>
            <w:r>
              <w:rPr>
                <w:rFonts w:hint="eastAsia" w:ascii="Times New Roman" w:hAnsi="仿宋_GB2312" w:eastAsia="仿宋_GB2312" w:cs="Times New Roman"/>
                <w:bCs/>
                <w:sz w:val="36"/>
                <w:szCs w:val="36"/>
                <w:lang w:eastAsia="zh-CN"/>
              </w:rPr>
              <w:t>河南</w:t>
            </w:r>
            <w:r>
              <w:rPr>
                <w:rFonts w:ascii="Times New Roman" w:hAnsi="仿宋_GB2312" w:eastAsia="仿宋_GB2312" w:cs="Times New Roman"/>
                <w:bCs/>
                <w:sz w:val="36"/>
                <w:szCs w:val="36"/>
              </w:rPr>
              <w:t>鑫</w:t>
            </w:r>
            <w:r>
              <w:rPr>
                <w:rFonts w:hint="eastAsia" w:ascii="Times New Roman" w:hAnsi="仿宋_GB2312" w:eastAsia="仿宋_GB2312" w:cs="Times New Roman"/>
                <w:bCs/>
                <w:sz w:val="36"/>
                <w:szCs w:val="36"/>
                <w:lang w:eastAsia="zh-CN"/>
              </w:rPr>
              <w:t>太阳新能源发展有限公司永城市侯岭乡韩二庄村蔬菜大棚顶部</w:t>
            </w:r>
            <w:r>
              <w:rPr>
                <w:rFonts w:ascii="Times New Roman" w:hAnsi="Times New Roman" w:eastAsia="仿宋_GB2312" w:cs="Times New Roman"/>
                <w:bCs/>
                <w:sz w:val="36"/>
                <w:szCs w:val="36"/>
              </w:rPr>
              <w:t>80MW</w:t>
            </w:r>
            <w:r>
              <w:rPr>
                <w:rFonts w:hint="eastAsia" w:ascii="Times New Roman" w:hAnsi="Times New Roman" w:eastAsia="仿宋_GB2312" w:cs="Times New Roman"/>
                <w:bCs/>
                <w:sz w:val="36"/>
                <w:szCs w:val="36"/>
                <w:lang w:eastAsia="zh-CN"/>
              </w:rPr>
              <w:t>光伏发电（</w:t>
            </w:r>
            <w:r>
              <w:rPr>
                <w:rFonts w:ascii="Times New Roman" w:hAnsi="仿宋_GB2312" w:eastAsia="仿宋_GB2312" w:cs="Times New Roman"/>
                <w:bCs/>
                <w:sz w:val="36"/>
                <w:szCs w:val="36"/>
              </w:rPr>
              <w:t>农光互补</w:t>
            </w:r>
            <w:r>
              <w:rPr>
                <w:rFonts w:hint="eastAsia" w:ascii="Times New Roman" w:hAnsi="仿宋_GB2312" w:eastAsia="仿宋_GB2312" w:cs="Times New Roman"/>
                <w:bCs/>
                <w:sz w:val="36"/>
                <w:szCs w:val="36"/>
                <w:lang w:eastAsia="zh-CN"/>
              </w:rPr>
              <w:t>）</w:t>
            </w:r>
            <w:r>
              <w:rPr>
                <w:rFonts w:ascii="Times New Roman" w:hAnsi="仿宋_GB2312" w:eastAsia="仿宋_GB2312" w:cs="Times New Roman"/>
                <w:bCs/>
                <w:sz w:val="36"/>
                <w:szCs w:val="36"/>
              </w:rPr>
              <w:t>项目环境影响报告表》的批复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eastAsia="zh-CN"/>
              </w:rPr>
              <w:t>河南鑫太阳新能源发展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有限公司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: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你公司报送的由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宁夏华之洁环境技术有限公司</w:t>
            </w:r>
            <w:bookmarkStart w:id="0" w:name="_GoBack"/>
            <w:bookmarkEnd w:id="0"/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编制完成的《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eastAsia="zh-CN"/>
              </w:rPr>
              <w:t>河南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鑫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eastAsia="zh-CN"/>
              </w:rPr>
              <w:t>太阳新能源发展有限公司永城市侯岭乡韩二庄村蔬菜大棚顶部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80MW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光伏发电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农光互补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项目（报批版）》（以下简称《报告表》）已收悉。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项目位于永城市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侯岭乡韩二庄村，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总投资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876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00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万元，其中环保投资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36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万元。本项目总用地面积为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133.3万平方米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。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该审批事项已在永城市政府网站公示期满，公示期无异议。经研究，批复如下：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一、该《报告表》内容符合国家有关法律法规要求，申报内容全面，环评结论可信，我局原则同意你公司按照《报告表》中所列项目的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性质、规模、地点、采用的施工方式和环境保护对策措施进行建设。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二、你公司应向社会公众主动公开业经批准的《报告表》，并接受相关方的咨询。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三、你公司应全面落实《报告表》提出的各项环保对策措施，确保各项环境保护设施与主体工程同时设计、同时施工、同时投入使用。确保各项污染物达标排放。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（一）向设计单位提供《报告表》和本批复文件，确保项目设计按照环境保护设计规范要求，落实防治环境污染以及环保设施投资概算。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（二）依据《报告表》和本批复文件，要求，对项目建设过程中产生的废水、废气、固体废物、噪声等污染，以及因施工对自然、生态环境造成的破坏，采取相应的防治措施。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（三）项目实施时，外排污染物应满足以下要求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、废水方面：项目运营过程中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eastAsia="zh-CN"/>
              </w:rPr>
              <w:t>产生的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职工生活污水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经污水处理设施处理后，用于农田灌溉；生产废水主要有太阳能板清洗废水，</w:t>
            </w:r>
            <w:r>
              <w:rPr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不得添加任何清洗剂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eastAsia="zh-CN"/>
              </w:rPr>
              <w:t>经导水沟渠收集到沉淀池，经沉淀池沉淀后</w:t>
            </w:r>
            <w:r>
              <w:rPr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8"/>
                <w:szCs w:val="28"/>
                <w:lang w:eastAsia="zh-CN"/>
              </w:rPr>
              <w:t>用于浇灌光伏组件下方种植的植物，综合利用，不外排。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、噪声方面：施工期噪声应满足《建筑施工场界环境噪声排放标准》（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GB12523-2011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）标准的要求。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eastAsia="zh-CN"/>
              </w:rPr>
              <w:t>项目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选用低噪声设备，采取隔声降噪措施，确保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eastAsia="zh-CN"/>
              </w:rPr>
              <w:t>变压器、逆变器、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线路两侧噪声满足《工业企业厂界环境噪声排放标准》（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GB12348-2008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类标准要求。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3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、固废方面：营运期产生的废变压器油更换后直接交由有资质的单位进行处理；期间更换的铅酸蓄电池属于危险废物，贮存在站内危废暂存场所，定期交由有资质单位回收处理。项目建成运营期间和服务期满后，废弃太阳能电池板经厂家回收利用；废电容、电抗器、变压器等交有处理资质的单位处置。职工生活垃圾由当地环卫部门统一收集处理。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、企业应加强科学管理，做好各类风险防范措施，严防各类事故的发生。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（四）如果今后国家或省颁布严于本批复指标的新标准，届时你单位按新标准执行。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四、企业应严格执行环保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“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三同时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”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制度，并接受环保部门日常监督和管理。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你公司应严格按照环评及批复要求进行建设，不得擅自改变生产工艺，本批复有效期为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年，如该项目逾期方开工建设，其环境影响报告表应报我局重新审核。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本批复不包括升压站及输变电系统电磁辐射内容，其升压站及输变电系统电磁辐射影响须另行评价。</w:t>
            </w:r>
          </w:p>
          <w:p>
            <w:pPr>
              <w:adjustRightInd w:val="0"/>
              <w:snapToGrid w:val="0"/>
              <w:spacing w:line="480" w:lineRule="exact"/>
              <w:ind w:left="4199" w:leftChars="266" w:hanging="3640" w:hangingChars="13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经办人：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审核人：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审批人：</w:t>
            </w:r>
          </w:p>
          <w:p>
            <w:pPr>
              <w:adjustRightInd w:val="0"/>
              <w:snapToGrid w:val="0"/>
              <w:spacing w:line="480" w:lineRule="exact"/>
              <w:ind w:left="4199" w:leftChars="266" w:hanging="3640" w:hangingChars="13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480" w:lineRule="exact"/>
              <w:ind w:left="4189" w:leftChars="1995"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（公章）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2018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03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288" w:lineRule="auto"/>
              <w:rPr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610D"/>
    <w:multiLevelType w:val="singleLevel"/>
    <w:tmpl w:val="5A0E610D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90253"/>
    <w:rsid w:val="4D2B2BDD"/>
    <w:rsid w:val="5589025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79;&#33459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1289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2018-05-08T07:31:00Z</dcterms:created>
  <dc:creator>王芳</dc:creator>
  <cp:lastModifiedBy>鱼丸粗面</cp:lastModifiedBy>
  <dcterms:modified xsi:type="dcterms:W3CDTF">2018-05-18T07:23:23Z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