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4094"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508" w:leftChars="0" w:right="0" w:rightChars="0" w:hanging="1508" w:hangingChars="419"/>
              <w:jc w:val="both"/>
              <w:textAlignment w:val="auto"/>
              <w:outlineLvl w:val="9"/>
              <w:rPr>
                <w:rFonts w:hint="eastAsia" w:ascii="仿宋_GB2312" w:hAnsi="仿宋_GB2312" w:eastAsia="仿宋_GB2312" w:cs="仿宋_GB2312"/>
                <w:b w:val="0"/>
                <w:bCs/>
                <w:sz w:val="36"/>
                <w:szCs w:val="36"/>
                <w:lang w:eastAsia="zh-CN"/>
              </w:rPr>
            </w:pPr>
            <w:r>
              <w:rPr>
                <w:rFonts w:hint="eastAsia" w:ascii="仿宋_GB2312" w:hAnsi="仿宋_GB2312" w:eastAsia="仿宋_GB2312" w:cs="仿宋_GB2312"/>
                <w:b w:val="0"/>
                <w:bCs/>
                <w:sz w:val="36"/>
                <w:szCs w:val="36"/>
              </w:rPr>
              <w:t>关于《</w:t>
            </w:r>
            <w:r>
              <w:rPr>
                <w:rFonts w:hint="eastAsia" w:ascii="仿宋_GB2312" w:hAnsi="仿宋_GB2312" w:eastAsia="仿宋_GB2312" w:cs="仿宋_GB2312"/>
                <w:b w:val="0"/>
                <w:bCs/>
                <w:sz w:val="36"/>
                <w:szCs w:val="36"/>
                <w:lang w:eastAsia="zh-CN"/>
              </w:rPr>
              <w:t>河南龙源新能源发展有限公司龙源永城一期</w:t>
            </w:r>
            <w:r>
              <w:rPr>
                <w:rFonts w:hint="eastAsia" w:ascii="仿宋_GB2312" w:hAnsi="仿宋_GB2312" w:eastAsia="仿宋_GB2312" w:cs="仿宋_GB2312"/>
                <w:b w:val="0"/>
                <w:bCs/>
                <w:sz w:val="36"/>
                <w:szCs w:val="36"/>
                <w:lang w:val="en-US" w:eastAsia="zh-CN"/>
              </w:rPr>
              <w:t>50MW风</w:t>
            </w:r>
            <w:r>
              <w:rPr>
                <w:rFonts w:hint="eastAsia" w:ascii="仿宋_GB2312" w:hAnsi="仿宋_GB2312" w:eastAsia="仿宋_GB2312" w:cs="仿宋_GB2312"/>
                <w:b w:val="0"/>
                <w:bCs/>
                <w:sz w:val="36"/>
                <w:szCs w:val="36"/>
                <w:lang w:eastAsia="zh-CN"/>
              </w:rPr>
              <w:t>电项目</w:t>
            </w:r>
            <w:r>
              <w:rPr>
                <w:rFonts w:hint="eastAsia" w:ascii="仿宋_GB2312" w:hAnsi="仿宋_GB2312" w:eastAsia="仿宋_GB2312" w:cs="仿宋_GB2312"/>
                <w:b w:val="0"/>
                <w:bCs/>
                <w:sz w:val="36"/>
                <w:szCs w:val="36"/>
              </w:rPr>
              <w:t>环境影响报告表》的</w:t>
            </w:r>
            <w:r>
              <w:rPr>
                <w:rFonts w:hint="eastAsia" w:ascii="仿宋_GB2312" w:hAnsi="仿宋_GB2312" w:eastAsia="仿宋_GB2312" w:cs="仿宋_GB2312"/>
                <w:b w:val="0"/>
                <w:bCs/>
                <w:sz w:val="36"/>
                <w:szCs w:val="36"/>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lang w:eastAsia="zh-CN"/>
              </w:rPr>
              <w:t>河南龙源新能源发展有限公司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你</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报</w:t>
            </w:r>
            <w:r>
              <w:rPr>
                <w:rFonts w:hint="eastAsia" w:ascii="仿宋_GB2312" w:hAnsi="仿宋_GB2312" w:eastAsia="仿宋_GB2312" w:cs="仿宋_GB2312"/>
                <w:sz w:val="28"/>
                <w:szCs w:val="28"/>
                <w:lang w:eastAsia="zh-CN"/>
              </w:rPr>
              <w:t>送</w:t>
            </w:r>
            <w:r>
              <w:rPr>
                <w:rFonts w:hint="eastAsia" w:ascii="仿宋_GB2312" w:hAnsi="仿宋_GB2312" w:eastAsia="仿宋_GB2312" w:cs="仿宋_GB2312"/>
                <w:sz w:val="28"/>
                <w:szCs w:val="28"/>
              </w:rPr>
              <w:t>的由</w:t>
            </w:r>
            <w:r>
              <w:rPr>
                <w:rFonts w:hint="eastAsia" w:ascii="仿宋_GB2312" w:hAnsi="仿宋_GB2312" w:eastAsia="仿宋_GB2312" w:cs="仿宋_GB2312"/>
                <w:sz w:val="28"/>
                <w:szCs w:val="28"/>
                <w:lang w:eastAsia="zh-CN"/>
              </w:rPr>
              <w:t>河南可人科技有限公司</w:t>
            </w:r>
            <w:r>
              <w:rPr>
                <w:rFonts w:hint="eastAsia" w:ascii="仿宋_GB2312" w:hAnsi="仿宋_GB2312" w:eastAsia="仿宋_GB2312" w:cs="仿宋_GB2312"/>
                <w:sz w:val="28"/>
                <w:szCs w:val="28"/>
              </w:rPr>
              <w:t>编制完成的《</w:t>
            </w:r>
            <w:r>
              <w:rPr>
                <w:rFonts w:hint="eastAsia" w:ascii="仿宋_GB2312" w:hAnsi="仿宋_GB2312" w:eastAsia="仿宋_GB2312" w:cs="仿宋_GB2312"/>
                <w:sz w:val="28"/>
                <w:szCs w:val="28"/>
                <w:lang w:eastAsia="zh-CN"/>
              </w:rPr>
              <w:t>河南龙源新能源发展有限公司龙源永城一期</w:t>
            </w:r>
            <w:r>
              <w:rPr>
                <w:rFonts w:hint="eastAsia" w:ascii="仿宋_GB2312" w:hAnsi="仿宋_GB2312" w:eastAsia="仿宋_GB2312" w:cs="仿宋_GB2312"/>
                <w:sz w:val="28"/>
                <w:szCs w:val="28"/>
                <w:lang w:val="en-US" w:eastAsia="zh-CN"/>
              </w:rPr>
              <w:t>50MW</w:t>
            </w:r>
            <w:r>
              <w:rPr>
                <w:rFonts w:hint="eastAsia" w:ascii="仿宋_GB2312" w:hAnsi="仿宋_GB2312" w:eastAsia="仿宋_GB2312" w:cs="仿宋_GB2312"/>
                <w:sz w:val="28"/>
                <w:szCs w:val="28"/>
                <w:lang w:eastAsia="zh-CN"/>
              </w:rPr>
              <w:t>风电项目环境影响报告表</w:t>
            </w:r>
            <w:r>
              <w:rPr>
                <w:rFonts w:hint="eastAsia" w:ascii="仿宋_GB2312" w:hAnsi="仿宋_GB2312" w:eastAsia="仿宋_GB2312" w:cs="仿宋_GB2312"/>
                <w:sz w:val="28"/>
                <w:szCs w:val="28"/>
              </w:rPr>
              <w:t>（报批版）》（以下简称《报告表》）已收悉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该审批事项已在永城市政府网站公示期满，公示期无异议。</w:t>
            </w:r>
            <w:r>
              <w:rPr>
                <w:rFonts w:hint="eastAsia" w:ascii="仿宋_GB2312" w:hAnsi="仿宋_GB2312" w:eastAsia="仿宋_GB2312" w:cs="仿宋_GB2312"/>
                <w:sz w:val="28"/>
                <w:szCs w:val="28"/>
              </w:rPr>
              <w:t>经研究，批复如下：</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项目位于永城市大</w:t>
            </w:r>
            <w:r>
              <w:rPr>
                <w:rFonts w:hint="eastAsia" w:ascii="仿宋" w:hAnsi="仿宋" w:eastAsia="仿宋" w:cs="仿宋"/>
                <w:sz w:val="28"/>
                <w:szCs w:val="28"/>
                <w:lang w:eastAsia="zh-CN"/>
              </w:rPr>
              <w:t>王集乡、酂阳镇、双桥镇和十八里镇境内，</w:t>
            </w:r>
            <w:r>
              <w:rPr>
                <w:rFonts w:hint="eastAsia" w:ascii="仿宋" w:hAnsi="仿宋" w:eastAsia="仿宋" w:cs="仿宋"/>
                <w:sz w:val="28"/>
                <w:szCs w:val="28"/>
                <w:lang w:val="en-US" w:eastAsia="zh-CN"/>
              </w:rPr>
              <w:t>总投资为51802万元，其中环保投资312万元。本风电场拟安装25台单机容量2000KW的风力发电机组，总装机容量50MW，并建设一座110KV开关站。主要内容为：2000KW风力发电机组基础，箱式变电站基础、场内道路、集电线路基础、35KV配电装置室、中控楼及库房等生产附属用房。</w:t>
            </w:r>
            <w:r>
              <w:rPr>
                <w:rFonts w:hint="eastAsia" w:ascii="仿宋" w:hAnsi="仿宋" w:eastAsia="仿宋" w:cs="仿宋"/>
                <w:sz w:val="28"/>
                <w:szCs w:val="28"/>
                <w:lang w:eastAsia="zh-CN"/>
              </w:rPr>
              <w:t>该</w:t>
            </w:r>
            <w:r>
              <w:rPr>
                <w:rFonts w:hint="eastAsia" w:ascii="仿宋" w:hAnsi="仿宋" w:eastAsia="仿宋" w:cs="仿宋"/>
                <w:sz w:val="28"/>
                <w:szCs w:val="28"/>
                <w:lang w:val="en-US" w:eastAsia="zh-CN"/>
              </w:rPr>
              <w:t>《报告表》内容符合国家有关法律法规要求，</w:t>
            </w:r>
            <w:r>
              <w:rPr>
                <w:rFonts w:hint="eastAsia" w:ascii="仿宋" w:hAnsi="仿宋" w:eastAsia="仿宋" w:cs="仿宋"/>
                <w:sz w:val="28"/>
                <w:szCs w:val="28"/>
              </w:rPr>
              <w:t>申报内容全面，环评结论可信，我局批准该《报告表》，原则同意你公司按照《报告</w:t>
            </w:r>
            <w:r>
              <w:rPr>
                <w:rFonts w:hint="eastAsia" w:ascii="仿宋" w:hAnsi="仿宋" w:eastAsia="仿宋" w:cs="仿宋"/>
                <w:sz w:val="28"/>
                <w:szCs w:val="28"/>
                <w:lang w:eastAsia="zh-CN"/>
              </w:rPr>
              <w:t>表</w:t>
            </w:r>
            <w:r>
              <w:rPr>
                <w:rFonts w:hint="eastAsia" w:ascii="仿宋" w:hAnsi="仿宋" w:eastAsia="仿宋" w:cs="仿宋"/>
                <w:sz w:val="28"/>
                <w:szCs w:val="28"/>
              </w:rPr>
              <w:t>》中所列项目的</w:t>
            </w:r>
            <w:r>
              <w:rPr>
                <w:rFonts w:hint="eastAsia" w:ascii="仿宋_GB2312" w:hAnsi="仿宋_GB2312" w:eastAsia="仿宋_GB2312" w:cs="仿宋_GB2312"/>
                <w:sz w:val="28"/>
                <w:szCs w:val="28"/>
              </w:rPr>
              <w:t>性质、规模、地点、采用的施工方式和环境保护对策措施进行建设。</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三、你公司应全面落实《报告表》提出的各项环保对策措施，确保各项环境保护设施与主体工程同时设计、同时施工、同时投入使用。确保各项污染物达标排放。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（二）</w:t>
            </w:r>
            <w:r>
              <w:rPr>
                <w:rFonts w:hint="eastAsia" w:ascii="仿宋_GB2312" w:hAnsi="仿宋_GB2312" w:eastAsia="仿宋_GB2312" w:cs="仿宋_GB2312"/>
                <w:sz w:val="28"/>
                <w:szCs w:val="28"/>
              </w:rPr>
              <w:t>依据《报告表》和本批复文件，要求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对项目建设过程中产生的废水、废气、固体废物、噪声等污染，以及因施工对自然、生态环境造成的破坏，采取相应的防治措施。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实施时，</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项目运营过程中没有生产废水的产生。职工生活污水经处理后用于厂区绿化不外排。 </w:t>
            </w:r>
          </w:p>
          <w:p>
            <w:pPr>
              <w:adjustRightInd w:val="0"/>
              <w:snapToGrid w:val="0"/>
              <w:spacing w:line="28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2、噪声方面：施工期噪声应满足《建筑施工场界环境噪声排放标准》（GB12523-2011）标准的要求。</w:t>
            </w:r>
            <w:r>
              <w:rPr>
                <w:rFonts w:hint="eastAsia" w:ascii="仿宋_GB2312" w:hAnsi="仿宋_GB2312" w:eastAsia="仿宋_GB2312" w:cs="仿宋_GB2312"/>
                <w:sz w:val="28"/>
                <w:szCs w:val="28"/>
                <w:lang w:eastAsia="zh-CN"/>
              </w:rPr>
              <w:t>开关站</w:t>
            </w:r>
            <w:r>
              <w:rPr>
                <w:rFonts w:hint="eastAsia" w:ascii="仿宋_GB2312" w:hAnsi="仿宋_GB2312" w:eastAsia="仿宋_GB2312" w:cs="仿宋_GB2312"/>
                <w:sz w:val="28"/>
                <w:szCs w:val="28"/>
              </w:rPr>
              <w:t>应合理布局，选用低噪声设备，采取隔声降噪措施，确保变电站厂界噪声、</w:t>
            </w:r>
            <w:r>
              <w:rPr>
                <w:rFonts w:hint="eastAsia" w:ascii="仿宋_GB2312" w:hAnsi="仿宋_GB2312" w:eastAsia="仿宋_GB2312" w:cs="仿宋_GB2312"/>
                <w:sz w:val="28"/>
                <w:szCs w:val="28"/>
                <w:lang w:eastAsia="zh-CN"/>
              </w:rPr>
              <w:t>开关站</w:t>
            </w:r>
            <w:r>
              <w:rPr>
                <w:rFonts w:hint="eastAsia" w:ascii="仿宋_GB2312" w:hAnsi="仿宋_GB2312" w:eastAsia="仿宋_GB2312" w:cs="仿宋_GB2312"/>
                <w:sz w:val="28"/>
                <w:szCs w:val="28"/>
              </w:rPr>
              <w:t>周围各功能区噪声、线路两侧噪声须满足《工业企业厂界环境噪声排放标准》（GB12348-2008）1类标准要求。风电机组运行噪声主要来自机组内部的机械运转产生的噪声和叶片扫风是产生的噪声，工程选用低噪声风电设备，采用隔声防震型电机、减噪型变速齿轮箱、减速叶片和阻尼材料减震隔声等措施对发电机噪声进行控制，并做好维护，保持设备良好运转。</w:t>
            </w:r>
          </w:p>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3、固废方面：项目风电机和齿轮维护检修过程中换下来的润滑油，定期交由有资质的单位回收处理。</w:t>
            </w:r>
            <w:r>
              <w:rPr>
                <w:rFonts w:hint="eastAsia" w:ascii="仿宋_GB2312" w:hAnsi="仿宋_GB2312" w:eastAsia="仿宋_GB2312" w:cs="仿宋_GB2312"/>
                <w:sz w:val="28"/>
                <w:szCs w:val="28"/>
                <w:lang w:eastAsia="zh-CN"/>
              </w:rPr>
              <w:t>为防止开关</w:t>
            </w:r>
            <w:bookmarkStart w:id="0" w:name="_GoBack"/>
            <w:bookmarkEnd w:id="0"/>
            <w:r>
              <w:rPr>
                <w:rFonts w:hint="eastAsia" w:ascii="仿宋_GB2312" w:hAnsi="仿宋_GB2312" w:eastAsia="仿宋_GB2312" w:cs="仿宋_GB2312"/>
                <w:sz w:val="28"/>
                <w:szCs w:val="28"/>
                <w:lang w:eastAsia="zh-CN"/>
              </w:rPr>
              <w:t>站内主变压器发生泄漏事故，开关站内设置事故油池，经贮油池集中收集后，定期交由有资质单位回收处理。</w:t>
            </w:r>
            <w:r>
              <w:rPr>
                <w:rFonts w:hint="eastAsia" w:ascii="仿宋_GB2312" w:hAnsi="仿宋_GB2312" w:eastAsia="仿宋_GB2312" w:cs="仿宋_GB2312"/>
                <w:sz w:val="28"/>
                <w:szCs w:val="28"/>
              </w:rPr>
              <w:t>职工生活垃圾由当地环卫部门统一收集处理。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光影：光影投射在居民区内，会对居民日常生活常识干扰和影响，可能使人感到不适，根据计算，风电场周围村庄都在各风电机组光影防护之外，项目风电机组的光影不会对周围居民点造成影响。同时，评价提出风电机组的光影防护距离内不得新建居民点、学校等敏感点。</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5、本项目属于清洁能源风电开发利用项目，营运期无废气常识及排放，也无生产废水及工艺废水产生，生活污水经处理后全部资源化利用，不外排。因此，本项目无污染总量控制指标。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（四）如果今后国家或省颁布严于本批复指标的新标准，届时你单位按新标准执行。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你公司应严格按照环评及批复要求进行建设，不得擅自改变生产工艺，本批复有效期为5年，如该项目逾期方开工建设，其环境影响报告表应报我局重新审核。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89" w:leftChars="1995" w:right="0" w:rightChars="0" w:firstLine="280"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日</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610D"/>
    <w:multiLevelType w:val="singleLevel"/>
    <w:tmpl w:val="5A0E610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C1FCC"/>
    <w:rsid w:val="53EC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2018-05-10T09:12:00Z</dcterms:created>
  <dc:creator>王芳</dc:creator>
  <cp:lastModifiedBy>王芳</cp:lastModifiedBy>
  <dcterms:modified xsi:type="dcterms:W3CDTF">2018-05-10T09:27:07Z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