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25"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9525" w:type="dxa"/>
          </w:tcPr>
          <w:p>
            <w:pPr>
              <w:adjustRightInd w:val="0"/>
              <w:snapToGrid w:val="0"/>
              <w:spacing w:line="360" w:lineRule="atLeast"/>
              <w:ind w:right="-559" w:rightChars="-266"/>
              <w:rPr>
                <w:rFonts w:ascii="仿宋" w:hAnsi="仿宋" w:eastAsia="仿宋" w:cs="仿宋_GB2312"/>
                <w:sz w:val="28"/>
                <w:szCs w:val="28"/>
              </w:rPr>
            </w:pPr>
            <w:r>
              <w:rPr>
                <w:rFonts w:hint="eastAsia" w:ascii="仿宋" w:hAnsi="仿宋" w:eastAsia="仿宋" w:cs="仿宋_GB2312"/>
                <w:bCs/>
                <w:sz w:val="28"/>
                <w:szCs w:val="28"/>
              </w:rPr>
              <w:t>审批意见：</w:t>
            </w:r>
            <w:r>
              <w:rPr>
                <w:rFonts w:hint="eastAsia" w:ascii="仿宋" w:hAnsi="仿宋" w:eastAsia="仿宋" w:cs="仿宋_GB2312"/>
                <w:sz w:val="28"/>
                <w:szCs w:val="28"/>
              </w:rPr>
              <w:t xml:space="preserve">                                     永环审〔2018〕56号</w:t>
            </w:r>
          </w:p>
          <w:p>
            <w:pPr>
              <w:adjustRightInd w:val="0"/>
              <w:snapToGrid w:val="0"/>
              <w:spacing w:line="360" w:lineRule="atLeast"/>
              <w:jc w:val="center"/>
              <w:rPr>
                <w:rFonts w:ascii="仿宋" w:hAnsi="仿宋" w:eastAsia="仿宋" w:cs="华文仿宋"/>
                <w:b/>
                <w:sz w:val="32"/>
                <w:szCs w:val="32"/>
              </w:rPr>
            </w:pPr>
            <w:r>
              <w:rPr>
                <w:rFonts w:hint="eastAsia" w:ascii="仿宋" w:hAnsi="仿宋" w:eastAsia="仿宋" w:cs="仿宋_GB2312"/>
                <w:b/>
                <w:bCs/>
                <w:sz w:val="32"/>
                <w:szCs w:val="32"/>
              </w:rPr>
              <w:t>关于《河南盛富再生</w:t>
            </w:r>
            <w:r>
              <w:rPr>
                <w:rFonts w:hint="eastAsia" w:ascii="仿宋" w:hAnsi="仿宋" w:eastAsia="仿宋" w:cs="仿宋_GB2312"/>
                <w:b/>
                <w:bCs/>
                <w:sz w:val="32"/>
                <w:szCs w:val="32"/>
                <w:lang w:eastAsia="zh-CN"/>
              </w:rPr>
              <w:t>物资</w:t>
            </w:r>
            <w:r>
              <w:rPr>
                <w:rFonts w:hint="eastAsia" w:ascii="仿宋" w:hAnsi="仿宋" w:eastAsia="仿宋" w:cs="仿宋_GB2312"/>
                <w:b/>
                <w:bCs/>
                <w:sz w:val="32"/>
                <w:szCs w:val="32"/>
              </w:rPr>
              <w:t>回收有限公司年回收废旧金属40万吨项目环境影响报告表》</w:t>
            </w:r>
            <w:r>
              <w:rPr>
                <w:rFonts w:hint="eastAsia" w:ascii="仿宋" w:hAnsi="仿宋" w:eastAsia="仿宋" w:cs="华文仿宋"/>
                <w:b/>
                <w:sz w:val="32"/>
                <w:szCs w:val="32"/>
              </w:rPr>
              <w:t>的批复</w:t>
            </w:r>
          </w:p>
          <w:p>
            <w:pPr>
              <w:adjustRightInd w:val="0"/>
              <w:snapToGrid w:val="0"/>
              <w:spacing w:line="460" w:lineRule="exact"/>
              <w:rPr>
                <w:rFonts w:ascii="Times New Roman" w:hAnsi="Times New Roman" w:eastAsia="仿宋" w:cs="Times New Roman"/>
                <w:sz w:val="30"/>
                <w:szCs w:val="30"/>
              </w:rPr>
            </w:pPr>
            <w:r>
              <w:rPr>
                <w:rFonts w:hint="eastAsia" w:ascii="仿宋" w:hAnsi="仿宋" w:eastAsia="仿宋" w:cs="华文仿宋"/>
                <w:sz w:val="28"/>
                <w:szCs w:val="28"/>
              </w:rPr>
              <w:t xml:space="preserve"> </w:t>
            </w:r>
            <w:r>
              <w:rPr>
                <w:rFonts w:hint="eastAsia" w:ascii="Times New Roman" w:hAnsi="仿宋" w:eastAsia="仿宋" w:cs="Times New Roman"/>
                <w:bCs/>
                <w:sz w:val="30"/>
                <w:szCs w:val="30"/>
              </w:rPr>
              <w:t>河南盛富</w:t>
            </w:r>
            <w:r>
              <w:rPr>
                <w:rFonts w:ascii="Times New Roman" w:hAnsi="仿宋" w:eastAsia="仿宋" w:cs="Times New Roman"/>
                <w:bCs/>
                <w:sz w:val="30"/>
                <w:szCs w:val="30"/>
              </w:rPr>
              <w:t>再生资源回收有限公司：</w:t>
            </w:r>
            <w:r>
              <w:rPr>
                <w:rFonts w:ascii="Times New Roman" w:hAnsi="Times New Roman" w:eastAsia="仿宋" w:cs="Times New Roman"/>
                <w:sz w:val="30"/>
                <w:szCs w:val="30"/>
              </w:rPr>
              <w:t xml:space="preserve">  </w:t>
            </w:r>
          </w:p>
          <w:p>
            <w:pPr>
              <w:adjustRightInd w:val="0"/>
              <w:snapToGrid w:val="0"/>
              <w:spacing w:line="460" w:lineRule="exact"/>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你公司报送的由</w:t>
            </w:r>
            <w:r>
              <w:rPr>
                <w:rFonts w:hint="eastAsia" w:ascii="Times New Roman" w:hAnsi="仿宋" w:eastAsia="仿宋" w:cs="Times New Roman"/>
                <w:sz w:val="30"/>
                <w:szCs w:val="30"/>
              </w:rPr>
              <w:t>宁夏智诚安环技术咨询</w:t>
            </w:r>
            <w:r>
              <w:rPr>
                <w:rFonts w:ascii="Times New Roman" w:hAnsi="仿宋" w:eastAsia="仿宋" w:cs="Times New Roman"/>
                <w:sz w:val="30"/>
                <w:szCs w:val="30"/>
              </w:rPr>
              <w:t>有限公司编制完成的《</w:t>
            </w:r>
            <w:r>
              <w:rPr>
                <w:rFonts w:hint="eastAsia" w:ascii="Times New Roman" w:hAnsi="仿宋" w:eastAsia="仿宋" w:cs="Times New Roman"/>
                <w:bCs/>
                <w:sz w:val="30"/>
                <w:szCs w:val="30"/>
              </w:rPr>
              <w:t>河南盛富</w:t>
            </w:r>
            <w:r>
              <w:rPr>
                <w:rFonts w:ascii="Times New Roman" w:hAnsi="仿宋" w:eastAsia="仿宋" w:cs="Times New Roman"/>
                <w:bCs/>
                <w:sz w:val="30"/>
                <w:szCs w:val="30"/>
              </w:rPr>
              <w:t>再生</w:t>
            </w:r>
            <w:r>
              <w:rPr>
                <w:rFonts w:hint="eastAsia" w:ascii="Times New Roman" w:hAnsi="仿宋" w:eastAsia="仿宋" w:cs="Times New Roman"/>
                <w:bCs/>
                <w:sz w:val="30"/>
                <w:szCs w:val="30"/>
                <w:lang w:eastAsia="zh-CN"/>
              </w:rPr>
              <w:t>物资</w:t>
            </w:r>
            <w:r>
              <w:rPr>
                <w:rFonts w:ascii="Times New Roman" w:hAnsi="仿宋" w:eastAsia="仿宋" w:cs="Times New Roman"/>
                <w:bCs/>
                <w:sz w:val="30"/>
                <w:szCs w:val="30"/>
              </w:rPr>
              <w:t>回收</w:t>
            </w:r>
            <w:r>
              <w:rPr>
                <w:rFonts w:ascii="Times New Roman" w:hAnsi="仿宋" w:eastAsia="仿宋" w:cs="Times New Roman"/>
                <w:sz w:val="30"/>
                <w:szCs w:val="30"/>
              </w:rPr>
              <w:t>有限公司</w:t>
            </w:r>
            <w:r>
              <w:rPr>
                <w:rFonts w:hint="eastAsia" w:ascii="Times New Roman" w:hAnsi="仿宋" w:eastAsia="仿宋" w:cs="Times New Roman"/>
                <w:sz w:val="30"/>
                <w:szCs w:val="30"/>
              </w:rPr>
              <w:t>年回收废旧金属40万吨</w:t>
            </w:r>
            <w:r>
              <w:rPr>
                <w:rFonts w:ascii="Times New Roman" w:hAnsi="仿宋" w:eastAsia="仿宋" w:cs="Times New Roman"/>
                <w:sz w:val="30"/>
                <w:szCs w:val="30"/>
              </w:rPr>
              <w:t>项目环境影响报告表（报批版）》（以下简称《报告表》）已收悉。该审批项目已在永城市政府网站公示期满，公示期无异议。经研究，批复如下：</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一、项目位于永城市</w:t>
            </w:r>
            <w:r>
              <w:rPr>
                <w:rFonts w:hint="eastAsia" w:ascii="Times New Roman" w:hAnsi="仿宋" w:eastAsia="仿宋" w:cs="Times New Roman"/>
                <w:sz w:val="30"/>
                <w:szCs w:val="30"/>
              </w:rPr>
              <w:t>演集镇武庄村</w:t>
            </w:r>
            <w:r>
              <w:rPr>
                <w:rFonts w:ascii="Times New Roman" w:hAnsi="仿宋" w:eastAsia="仿宋" w:cs="Times New Roman"/>
                <w:sz w:val="30"/>
                <w:szCs w:val="30"/>
              </w:rPr>
              <w:t>，</w:t>
            </w:r>
            <w:r>
              <w:rPr>
                <w:rFonts w:hint="eastAsia" w:ascii="Times New Roman" w:hAnsi="仿宋" w:eastAsia="仿宋" w:cs="Times New Roman"/>
                <w:sz w:val="30"/>
                <w:szCs w:val="30"/>
              </w:rPr>
              <w:t>项目占地</w:t>
            </w:r>
            <w:r>
              <w:rPr>
                <w:rFonts w:hint="eastAsia" w:ascii="Times New Roman" w:hAnsi="Times New Roman" w:eastAsia="仿宋" w:cs="Times New Roman"/>
                <w:sz w:val="30"/>
                <w:szCs w:val="30"/>
              </w:rPr>
              <w:t>400</w:t>
            </w:r>
            <w:r>
              <w:rPr>
                <w:rFonts w:ascii="Times New Roman" w:hAnsi="Times New Roman" w:eastAsia="仿宋" w:cs="Times New Roman"/>
                <w:sz w:val="30"/>
                <w:szCs w:val="30"/>
              </w:rPr>
              <w:t>00</w:t>
            </w:r>
            <w:r>
              <w:rPr>
                <w:rFonts w:ascii="Times New Roman" w:hAnsi="仿宋" w:eastAsia="仿宋" w:cs="Times New Roman"/>
                <w:sz w:val="30"/>
                <w:szCs w:val="30"/>
              </w:rPr>
              <w:t>平方米，</w:t>
            </w:r>
            <w:r>
              <w:rPr>
                <w:rFonts w:hint="eastAsia" w:ascii="Times New Roman" w:hAnsi="仿宋" w:eastAsia="仿宋" w:cs="Times New Roman"/>
                <w:sz w:val="30"/>
                <w:szCs w:val="30"/>
              </w:rPr>
              <w:t>总建筑面积7000平方米，</w:t>
            </w:r>
            <w:r>
              <w:rPr>
                <w:rFonts w:ascii="Times New Roman" w:hAnsi="仿宋" w:eastAsia="仿宋" w:cs="Times New Roman"/>
                <w:sz w:val="30"/>
                <w:szCs w:val="30"/>
              </w:rPr>
              <w:t>其中生产车间</w:t>
            </w:r>
            <w:r>
              <w:rPr>
                <w:rFonts w:hint="eastAsia" w:ascii="Times New Roman" w:hAnsi="Times New Roman" w:eastAsia="仿宋" w:cs="Times New Roman"/>
                <w:sz w:val="30"/>
                <w:szCs w:val="30"/>
              </w:rPr>
              <w:t>5</w:t>
            </w:r>
            <w:r>
              <w:rPr>
                <w:rFonts w:ascii="Times New Roman" w:hAnsi="Times New Roman" w:eastAsia="仿宋" w:cs="Times New Roman"/>
                <w:sz w:val="30"/>
                <w:szCs w:val="30"/>
              </w:rPr>
              <w:t>000</w:t>
            </w:r>
            <w:r>
              <w:rPr>
                <w:rFonts w:ascii="Times New Roman" w:hAnsi="仿宋" w:eastAsia="仿宋" w:cs="Times New Roman"/>
                <w:sz w:val="30"/>
                <w:szCs w:val="30"/>
              </w:rPr>
              <w:t>平方米，仓库</w:t>
            </w:r>
            <w:r>
              <w:rPr>
                <w:rFonts w:hint="eastAsia" w:ascii="Times New Roman" w:hAnsi="Times New Roman" w:eastAsia="仿宋" w:cs="Times New Roman"/>
                <w:sz w:val="30"/>
                <w:szCs w:val="30"/>
              </w:rPr>
              <w:t>12</w:t>
            </w:r>
            <w:r>
              <w:rPr>
                <w:rFonts w:ascii="Times New Roman" w:hAnsi="Times New Roman" w:eastAsia="仿宋" w:cs="Times New Roman"/>
                <w:sz w:val="30"/>
                <w:szCs w:val="30"/>
              </w:rPr>
              <w:t>00</w:t>
            </w:r>
            <w:r>
              <w:rPr>
                <w:rFonts w:ascii="Times New Roman" w:hAnsi="仿宋" w:eastAsia="仿宋" w:cs="Times New Roman"/>
                <w:sz w:val="30"/>
                <w:szCs w:val="30"/>
              </w:rPr>
              <w:t>平方米，办公室及其他附属设施</w:t>
            </w:r>
            <w:r>
              <w:rPr>
                <w:rFonts w:hint="eastAsia" w:ascii="Times New Roman" w:hAnsi="Times New Roman" w:eastAsia="仿宋" w:cs="Times New Roman"/>
                <w:sz w:val="30"/>
                <w:szCs w:val="30"/>
              </w:rPr>
              <w:t>8</w:t>
            </w:r>
            <w:r>
              <w:rPr>
                <w:rFonts w:ascii="Times New Roman" w:hAnsi="Times New Roman" w:eastAsia="仿宋" w:cs="Times New Roman"/>
                <w:sz w:val="30"/>
                <w:szCs w:val="30"/>
              </w:rPr>
              <w:t>00</w:t>
            </w:r>
            <w:r>
              <w:rPr>
                <w:rFonts w:ascii="Times New Roman" w:hAnsi="仿宋" w:eastAsia="仿宋" w:cs="Times New Roman"/>
                <w:sz w:val="30"/>
                <w:szCs w:val="30"/>
              </w:rPr>
              <w:t>平方米</w:t>
            </w:r>
            <w:r>
              <w:rPr>
                <w:rFonts w:hint="eastAsia" w:ascii="Times New Roman" w:hAnsi="仿宋" w:eastAsia="仿宋" w:cs="Times New Roman"/>
                <w:sz w:val="30"/>
                <w:szCs w:val="30"/>
              </w:rPr>
              <w:t>。总投资4000万元，其中环保投资100万元。</w:t>
            </w:r>
            <w:r>
              <w:rPr>
                <w:rFonts w:ascii="Times New Roman" w:hAnsi="仿宋" w:eastAsia="仿宋" w:cs="Times New Roman"/>
                <w:sz w:val="30"/>
                <w:szCs w:val="30"/>
              </w:rPr>
              <w:t>从事废旧金属回收（不回收危险废物）。该《报告表》内容符合国家有关法律法规要求和建设项目环境管理规定</w:t>
            </w:r>
            <w:r>
              <w:rPr>
                <w:rFonts w:ascii="Times New Roman" w:hAnsi="Times New Roman" w:eastAsia="仿宋" w:cs="Times New Roman"/>
                <w:sz w:val="30"/>
                <w:szCs w:val="30"/>
              </w:rPr>
              <w:t>,</w:t>
            </w:r>
            <w:r>
              <w:rPr>
                <w:rFonts w:ascii="Times New Roman" w:hAnsi="仿宋" w:eastAsia="仿宋" w:cs="Times New Roman"/>
                <w:sz w:val="30"/>
                <w:szCs w:val="30"/>
              </w:rPr>
              <w:t>环评结论可信，我局原则同意你公司按照《报告表》中所列建设项目的性质、规模、工艺、地点、采用的施工方式和环境保护对策措施进行建设。</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二、你公司应向社会公众主动公开已经批准的《报告表》，并接受相关方的咨询。</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三、你公司应全面落实《报告表》提出的各项环保对策措施，确保各项污染物达标排放。</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（一）向设计单位提供《报告表》和本批复文件，确保项目设计按照环境保护设计规范要求，落实防治环境污染和生态破坏的措施以及环保设施投资概算。</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（二）依据《报告表》和本批复文件，严格落实施工场地</w:t>
            </w:r>
            <w:r>
              <w:rPr>
                <w:rFonts w:ascii="Times New Roman" w:hAnsi="Times New Roman" w:eastAsia="仿宋" w:cs="Times New Roman"/>
                <w:sz w:val="30"/>
                <w:szCs w:val="30"/>
              </w:rPr>
              <w:t>“</w:t>
            </w:r>
            <w:r>
              <w:rPr>
                <w:rFonts w:ascii="Times New Roman" w:hAnsi="仿宋" w:eastAsia="仿宋" w:cs="Times New Roman"/>
                <w:sz w:val="30"/>
                <w:szCs w:val="30"/>
              </w:rPr>
              <w:t>六个百分之百</w:t>
            </w:r>
            <w:r>
              <w:rPr>
                <w:rFonts w:ascii="Times New Roman" w:hAnsi="Times New Roman" w:eastAsia="仿宋" w:cs="Times New Roman"/>
                <w:sz w:val="30"/>
                <w:szCs w:val="30"/>
              </w:rPr>
              <w:t>”</w:t>
            </w:r>
            <w:r>
              <w:rPr>
                <w:rFonts w:ascii="Times New Roman" w:hAnsi="仿宋" w:eastAsia="仿宋" w:cs="Times New Roman"/>
                <w:sz w:val="30"/>
                <w:szCs w:val="30"/>
              </w:rPr>
              <w:t>，并对项目建设过程中产生的废水、废气、固体废物、噪声等污染源采取相应的防治措施。</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（三）项目外排污染物应满足以下要求：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①废水：本项目产生少量的生活污水，</w:t>
            </w:r>
            <w:r>
              <w:rPr>
                <w:rFonts w:hint="eastAsia" w:ascii="Times New Roman" w:hAnsi="仿宋" w:eastAsia="仿宋" w:cs="Times New Roman"/>
                <w:sz w:val="30"/>
                <w:szCs w:val="30"/>
              </w:rPr>
              <w:t>经污水处理设施处理</w:t>
            </w:r>
            <w:r>
              <w:rPr>
                <w:rFonts w:ascii="Times New Roman" w:hAnsi="仿宋" w:eastAsia="仿宋" w:cs="Times New Roman"/>
                <w:sz w:val="30"/>
                <w:szCs w:val="30"/>
              </w:rPr>
              <w:t>后洒水、抑尘、综合利用，不外排。</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②噪声：</w:t>
            </w:r>
            <w:r>
              <w:rPr>
                <w:rFonts w:hint="eastAsia" w:ascii="Times New Roman" w:hAnsi="仿宋" w:eastAsia="仿宋" w:cs="Times New Roman"/>
                <w:sz w:val="30"/>
                <w:szCs w:val="30"/>
              </w:rPr>
              <w:t>该</w:t>
            </w:r>
            <w:r>
              <w:rPr>
                <w:rFonts w:ascii="Times New Roman" w:hAnsi="仿宋" w:eastAsia="仿宋" w:cs="Times New Roman"/>
                <w:sz w:val="30"/>
                <w:szCs w:val="30"/>
              </w:rPr>
              <w:t>项目</w:t>
            </w:r>
            <w:r>
              <w:rPr>
                <w:rFonts w:hint="eastAsia" w:ascii="Times New Roman" w:hAnsi="仿宋" w:eastAsia="仿宋" w:cs="Times New Roman"/>
                <w:sz w:val="30"/>
                <w:szCs w:val="30"/>
              </w:rPr>
              <w:t>主要</w:t>
            </w:r>
            <w:r>
              <w:rPr>
                <w:rFonts w:ascii="Times New Roman" w:hAnsi="仿宋" w:eastAsia="仿宋" w:cs="Times New Roman"/>
                <w:sz w:val="30"/>
                <w:szCs w:val="30"/>
              </w:rPr>
              <w:t>噪声</w:t>
            </w:r>
            <w:r>
              <w:rPr>
                <w:rFonts w:hint="eastAsia" w:ascii="Times New Roman" w:hAnsi="仿宋" w:eastAsia="仿宋" w:cs="Times New Roman"/>
                <w:sz w:val="30"/>
                <w:szCs w:val="30"/>
              </w:rPr>
              <w:t>源为切割机、破碎机、抓机等机械设备噪声、材料装卸、运输噪声等。项目设备均放置在车间内，经消声减震、四周密闭围挡等措施后，</w:t>
            </w:r>
            <w:r>
              <w:rPr>
                <w:rFonts w:ascii="Times New Roman" w:hAnsi="仿宋" w:eastAsia="仿宋" w:cs="Times New Roman"/>
                <w:sz w:val="30"/>
                <w:szCs w:val="30"/>
              </w:rPr>
              <w:t>四周厂界及敏感点处的噪声须满足《工业企业厂界环境噪声排放标准》（GB12348-2008）2类标准要求。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③废气：项目废气主要为破碎产生的粉尘；</w:t>
            </w:r>
            <w:r>
              <w:rPr>
                <w:rFonts w:hint="eastAsia" w:ascii="Times New Roman" w:hAnsi="仿宋" w:eastAsia="仿宋" w:cs="Times New Roman"/>
                <w:sz w:val="30"/>
                <w:szCs w:val="30"/>
              </w:rPr>
              <w:t>破碎工段产生的粉尘须安装袋式除尘器</w:t>
            </w:r>
            <w:r>
              <w:rPr>
                <w:rFonts w:ascii="Times New Roman" w:hAnsi="仿宋" w:eastAsia="仿宋" w:cs="Times New Roman"/>
                <w:sz w:val="30"/>
                <w:szCs w:val="30"/>
              </w:rPr>
              <w:t>，废气污染物</w:t>
            </w:r>
            <w:r>
              <w:rPr>
                <w:rFonts w:hint="eastAsia" w:ascii="Times New Roman" w:hAnsi="仿宋" w:eastAsia="仿宋" w:cs="Times New Roman"/>
                <w:sz w:val="30"/>
                <w:szCs w:val="30"/>
              </w:rPr>
              <w:t>经袋式除尘器处理后经15米以上排气筒外排，须满足《大气污染物综合排放标准》（GB16297-1996）的二级要求。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④固废：</w:t>
            </w:r>
            <w:r>
              <w:rPr>
                <w:rFonts w:hint="eastAsia" w:ascii="Times New Roman" w:hAnsi="仿宋" w:eastAsia="仿宋" w:cs="Times New Roman"/>
                <w:sz w:val="30"/>
                <w:szCs w:val="30"/>
              </w:rPr>
              <w:t>项目破碎过程有色金属被分拣出来外售给金属回收公司；废钢破碎和堆存过程中从金属表面震落一定量的漆渣和铁锈等属于危险废物交由有资质的单位安全处置；项目设备在保养和维修过程中会产生废润滑油和废液压油属于危险废物，收集后交由有资质的单位安全处置；</w:t>
            </w:r>
            <w:r>
              <w:rPr>
                <w:rFonts w:ascii="Times New Roman" w:hAnsi="仿宋" w:eastAsia="仿宋" w:cs="Times New Roman"/>
                <w:sz w:val="30"/>
                <w:szCs w:val="30"/>
              </w:rPr>
              <w:t>生活垃圾收集后交于环卫部门统一处理</w:t>
            </w:r>
            <w:r>
              <w:rPr>
                <w:rFonts w:hint="eastAsia" w:ascii="Times New Roman" w:hAnsi="仿宋" w:eastAsia="仿宋" w:cs="Times New Roman"/>
                <w:sz w:val="30"/>
                <w:szCs w:val="30"/>
              </w:rPr>
              <w:t>。</w:t>
            </w:r>
          </w:p>
          <w:p>
            <w:pPr>
              <w:adjustRightInd w:val="0"/>
              <w:snapToGrid w:val="0"/>
              <w:spacing w:line="460" w:lineRule="exact"/>
              <w:ind w:firstLine="600" w:firstLineChars="200"/>
              <w:rPr>
                <w:rFonts w:ascii="Times New Roman" w:hAnsi="仿宋" w:eastAsia="仿宋" w:cs="Times New Roman"/>
                <w:sz w:val="30"/>
                <w:szCs w:val="30"/>
              </w:rPr>
            </w:pPr>
            <w:r>
              <w:rPr>
                <w:rFonts w:hint="eastAsia" w:ascii="Times New Roman" w:hAnsi="仿宋" w:eastAsia="仿宋" w:cs="Times New Roman"/>
                <w:sz w:val="30"/>
                <w:szCs w:val="30"/>
              </w:rPr>
              <w:t>⑤总量： 本项目生产过程中不产生废水，生活污水经化粪池处理达标后进行农田灌溉，故本项目不设置总量控制指标。</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（四）</w:t>
            </w:r>
            <w:r>
              <w:rPr>
                <w:rFonts w:hint="eastAsia" w:ascii="Times New Roman" w:hAnsi="仿宋" w:eastAsia="仿宋" w:cs="Times New Roman"/>
                <w:color w:val="auto"/>
                <w:sz w:val="30"/>
                <w:szCs w:val="30"/>
              </w:rPr>
              <w:t>安装门式放射性物质探测仪，收购的废旧金属进入厂区前经放射性物质探测仪检测后方可进厂，防止放射性物质进厂，</w:t>
            </w:r>
            <w:r>
              <w:rPr>
                <w:rFonts w:hint="eastAsia" w:ascii="Times New Roman" w:hAnsi="仿宋" w:eastAsia="仿宋" w:cs="Times New Roman"/>
                <w:sz w:val="30"/>
                <w:szCs w:val="30"/>
              </w:rPr>
              <w:t>同时</w:t>
            </w:r>
            <w:r>
              <w:rPr>
                <w:rFonts w:ascii="Times New Roman" w:hAnsi="仿宋" w:eastAsia="仿宋" w:cs="Times New Roman"/>
                <w:sz w:val="30"/>
                <w:szCs w:val="30"/>
              </w:rPr>
              <w:t>应加强安全管理, 做好各类风险防范措施，杜绝各类风险事故的发生。</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 xml:space="preserve">    （五）、如果今后国家或省颁布严于本批复指标的新标准，届时你公司按新标准执行。</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四、企业应严格执行环保“三同时”制度，并接受环保部门的日常监管。</w:t>
            </w:r>
          </w:p>
          <w:p>
            <w:pPr>
              <w:adjustRightInd w:val="0"/>
              <w:snapToGrid w:val="0"/>
              <w:spacing w:line="460" w:lineRule="exact"/>
              <w:ind w:firstLine="600" w:firstLineChars="200"/>
              <w:rPr>
                <w:rFonts w:ascii="Times New Roman" w:hAnsi="仿宋" w:eastAsia="仿宋" w:cs="Times New Roman"/>
                <w:sz w:val="30"/>
                <w:szCs w:val="30"/>
              </w:rPr>
            </w:pPr>
            <w:r>
              <w:rPr>
                <w:rFonts w:hint="eastAsia" w:ascii="Times New Roman" w:hAnsi="仿宋" w:eastAsia="仿宋" w:cs="Times New Roman"/>
                <w:sz w:val="30"/>
                <w:szCs w:val="30"/>
              </w:rPr>
              <w:t>五、福寿苑养老院未搬迁之前不得开工建设。</w:t>
            </w:r>
            <w:r>
              <w:rPr>
                <w:rFonts w:ascii="Times New Roman" w:hAnsi="仿宋" w:eastAsia="仿宋" w:cs="Times New Roman"/>
                <w:sz w:val="30"/>
                <w:szCs w:val="30"/>
              </w:rPr>
              <w:t xml:space="preserve"> </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 xml:space="preserve">    </w:t>
            </w:r>
            <w:r>
              <w:rPr>
                <w:rFonts w:hint="eastAsia" w:ascii="Times New Roman" w:hAnsi="仿宋" w:eastAsia="仿宋" w:cs="Times New Roman"/>
                <w:sz w:val="30"/>
                <w:szCs w:val="30"/>
              </w:rPr>
              <w:t>六</w:t>
            </w:r>
            <w:r>
              <w:rPr>
                <w:rFonts w:ascii="Times New Roman" w:hAnsi="仿宋" w:eastAsia="仿宋" w:cs="Times New Roman"/>
                <w:sz w:val="30"/>
                <w:szCs w:val="30"/>
              </w:rPr>
              <w:t xml:space="preserve">、应严格按照环评及批复要求进行建设，不得擅自改变生产工艺，本批复有效期为5年，如该项目逾期方开工建设，其环境影响报告表应报我局重新审核 。 </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经办人</w:t>
            </w:r>
            <w:r>
              <w:rPr>
                <w:rFonts w:ascii="Times New Roman" w:hAnsi="Times New Roman" w:eastAsia="仿宋" w:cs="Times New Roman"/>
                <w:sz w:val="30"/>
                <w:szCs w:val="30"/>
              </w:rPr>
              <w:t xml:space="preserve"> </w:t>
            </w: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审核人</w:t>
            </w:r>
            <w:r>
              <w:rPr>
                <w:rFonts w:ascii="Times New Roman" w:hAnsi="Times New Roman" w:eastAsia="仿宋" w:cs="Times New Roman"/>
                <w:sz w:val="30"/>
                <w:szCs w:val="30"/>
              </w:rPr>
              <w:t xml:space="preserve"> </w:t>
            </w: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审批人：</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460" w:lineRule="exact"/>
              <w:ind w:firstLine="7500" w:firstLineChars="2500"/>
              <w:rPr>
                <w:rFonts w:ascii="Times New Roman" w:hAnsi="Times New Roman" w:eastAsia="仿宋" w:cs="Times New Roman"/>
                <w:sz w:val="30"/>
                <w:szCs w:val="30"/>
              </w:rPr>
            </w:pP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公章）</w:t>
            </w:r>
          </w:p>
          <w:p>
            <w:pPr>
              <w:adjustRightInd w:val="0"/>
              <w:snapToGrid w:val="0"/>
              <w:spacing w:line="460" w:lineRule="exact"/>
              <w:rPr>
                <w:rFonts w:ascii="仿宋_GB2312" w:hAnsi="仿宋_GB2312" w:eastAsia="仿宋_GB2312" w:cs="仿宋_GB2312"/>
                <w:szCs w:val="28"/>
              </w:rPr>
            </w:pPr>
            <w:r>
              <w:rPr>
                <w:rFonts w:ascii="Times New Roman" w:hAnsi="Times New Roman" w:eastAsia="仿宋" w:cs="Times New Roman"/>
                <w:sz w:val="30"/>
                <w:szCs w:val="30"/>
              </w:rPr>
              <w:t xml:space="preserve">                                           201</w:t>
            </w:r>
            <w:r>
              <w:rPr>
                <w:rFonts w:hint="eastAsia" w:ascii="Times New Roman" w:hAnsi="Times New Roman" w:eastAsia="仿宋" w:cs="Times New Roman"/>
                <w:sz w:val="30"/>
                <w:szCs w:val="30"/>
              </w:rPr>
              <w:t>8</w:t>
            </w:r>
            <w:r>
              <w:rPr>
                <w:rFonts w:ascii="Times New Roman" w:hAnsi="仿宋" w:eastAsia="仿宋" w:cs="Times New Roman"/>
                <w:sz w:val="30"/>
                <w:szCs w:val="30"/>
              </w:rPr>
              <w:t>年</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04</w:t>
            </w:r>
            <w:r>
              <w:rPr>
                <w:rFonts w:ascii="Times New Roman" w:hAnsi="Times New Roman" w:eastAsia="仿宋" w:cs="Times New Roman"/>
                <w:sz w:val="30"/>
                <w:szCs w:val="30"/>
              </w:rPr>
              <w:t xml:space="preserve"> </w:t>
            </w:r>
            <w:r>
              <w:rPr>
                <w:rFonts w:ascii="Times New Roman" w:hAnsi="仿宋" w:eastAsia="仿宋" w:cs="Times New Roman"/>
                <w:sz w:val="30"/>
                <w:szCs w:val="30"/>
              </w:rPr>
              <w:t>月</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16</w:t>
            </w:r>
            <w:r>
              <w:rPr>
                <w:rFonts w:ascii="Times New Roman" w:hAnsi="Times New Roman" w:eastAsia="仿宋" w:cs="Times New Roman"/>
                <w:sz w:val="30"/>
                <w:szCs w:val="30"/>
              </w:rPr>
              <w:t xml:space="preserve"> </w:t>
            </w:r>
            <w:r>
              <w:rPr>
                <w:rFonts w:ascii="Times New Roman" w:hAnsi="仿宋" w:eastAsia="仿宋" w:cs="Times New Roman"/>
                <w:sz w:val="30"/>
                <w:szCs w:val="30"/>
              </w:rPr>
              <w:t>日</w:t>
            </w:r>
            <w:r>
              <w:rPr>
                <w:rFonts w:ascii="Times New Roman" w:hAnsi="Times New Roman" w:eastAsia="仿宋" w:cs="Times New Roman"/>
                <w:sz w:val="30"/>
                <w:szCs w:val="30"/>
              </w:rPr>
              <w:t xml:space="preserve"> </w:t>
            </w:r>
            <w:r>
              <w:rPr>
                <w:rFonts w:hint="eastAsia" w:ascii="仿宋" w:hAnsi="仿宋" w:eastAsia="仿宋" w:cs="华文仿宋"/>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3C4C88"/>
    <w:rsid w:val="00A944BC"/>
    <w:rsid w:val="00B37476"/>
    <w:rsid w:val="00E93FD4"/>
    <w:rsid w:val="1DCA4BD2"/>
    <w:rsid w:val="340B17D9"/>
    <w:rsid w:val="4C3C4C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eastAsia="宋体"/>
      <w:kern w:val="2"/>
      <w:sz w:val="18"/>
      <w:szCs w:val="18"/>
    </w:rPr>
  </w:style>
  <w:style w:type="character" w:customStyle="1" w:styleId="7">
    <w:name w:val="页脚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3459;\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237</Words>
  <Characters>1354</Characters>
  <Lines>11</Lines>
  <Paragraphs>3</Paragraphs>
  <ScaleCrop>false</ScaleCrop>
  <LinksUpToDate>false</LinksUpToDate>
  <CharactersWithSpaces>1588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2018-04-16T06:34:00Z</dcterms:created>
  <dc:creator>王芳</dc:creator>
  <cp:lastModifiedBy>王芳</cp:lastModifiedBy>
  <cp:lastPrinted>2018-04-17T07:25:49Z</cp:lastPrinted>
  <dcterms:modified xsi:type="dcterms:W3CDTF">2018-04-19T00:52:41Z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