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3363" w:hRule="atLeast"/>
        </w:trPr>
        <w:tc>
          <w:tcPr>
            <w:tcW w:w="8904" w:type="dxa"/>
          </w:tcPr>
          <w:p>
            <w:pPr>
              <w:adjustRightInd w:val="0"/>
              <w:snapToGrid w:val="0"/>
              <w:spacing w:line="288" w:lineRule="auto"/>
              <w:rPr>
                <w:rFonts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永环审〔2018〕</w:t>
            </w:r>
            <w:r>
              <w:rPr>
                <w:rFonts w:hint="eastAsia" w:ascii="仿宋_GB2312" w:hAnsi="仿宋_GB2312" w:eastAsia="仿宋_GB2312" w:cs="仿宋_GB2312"/>
                <w:sz w:val="28"/>
                <w:szCs w:val="28"/>
                <w:lang w:val="en-US" w:eastAsia="zh-CN"/>
              </w:rPr>
              <w:t>35</w:t>
            </w:r>
            <w:r>
              <w:rPr>
                <w:rFonts w:hint="eastAsia" w:ascii="仿宋_GB2312" w:hAnsi="仿宋_GB2312" w:eastAsia="仿宋_GB2312" w:cs="仿宋_GB2312"/>
                <w:sz w:val="28"/>
                <w:szCs w:val="28"/>
              </w:rPr>
              <w:t>号</w:t>
            </w:r>
          </w:p>
          <w:p>
            <w:pPr>
              <w:adjustRightInd w:val="0"/>
              <w:snapToGrid w:val="0"/>
              <w:spacing w:line="288" w:lineRule="auto"/>
              <w:jc w:val="center"/>
              <w:rPr>
                <w:rFonts w:ascii="仿宋_GB2312" w:hAnsi="仿宋_GB2312" w:eastAsia="仿宋_GB2312" w:cs="仿宋_GB2312"/>
                <w:bCs/>
                <w:sz w:val="44"/>
                <w:szCs w:val="44"/>
              </w:rPr>
            </w:pPr>
            <w:r>
              <w:rPr>
                <w:rFonts w:hint="eastAsia" w:ascii="仿宋_GB2312" w:hAnsi="仿宋_GB2312" w:eastAsia="仿宋_GB2312" w:cs="仿宋_GB2312"/>
                <w:bCs/>
                <w:sz w:val="44"/>
                <w:szCs w:val="44"/>
              </w:rPr>
              <w:t>关于《永城市</w:t>
            </w:r>
            <w:r>
              <w:rPr>
                <w:rFonts w:hint="eastAsia" w:ascii="仿宋_GB2312" w:hAnsi="仿宋_GB2312" w:eastAsia="仿宋_GB2312" w:cs="仿宋_GB2312"/>
                <w:bCs/>
                <w:sz w:val="44"/>
                <w:szCs w:val="44"/>
                <w:lang w:eastAsia="zh-CN"/>
              </w:rPr>
              <w:t>谢集油库</w:t>
            </w:r>
            <w:r>
              <w:rPr>
                <w:rFonts w:hint="eastAsia" w:ascii="仿宋_GB2312" w:hAnsi="仿宋_GB2312" w:eastAsia="仿宋_GB2312" w:cs="仿宋_GB2312"/>
                <w:bCs/>
                <w:sz w:val="44"/>
                <w:szCs w:val="44"/>
              </w:rPr>
              <w:t>加油站项目环境影响报告表》的批复</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永城市</w:t>
            </w:r>
            <w:r>
              <w:rPr>
                <w:rFonts w:hint="eastAsia" w:ascii="仿宋" w:hAnsi="仿宋" w:eastAsia="仿宋" w:cs="仿宋_GB2312"/>
                <w:bCs/>
                <w:sz w:val="28"/>
                <w:szCs w:val="28"/>
                <w:lang w:eastAsia="zh-CN"/>
              </w:rPr>
              <w:t>谢集油库</w:t>
            </w:r>
            <w:r>
              <w:rPr>
                <w:rFonts w:hint="eastAsia" w:ascii="仿宋" w:hAnsi="仿宋" w:eastAsia="仿宋" w:cs="仿宋_GB2312"/>
                <w:bCs/>
                <w:sz w:val="28"/>
                <w:szCs w:val="28"/>
              </w:rPr>
              <w:t>加油站</w:t>
            </w:r>
            <w:r>
              <w:rPr>
                <w:rFonts w:hint="eastAsia" w:ascii="仿宋" w:hAnsi="仿宋" w:eastAsia="仿宋" w:cs="仿宋_GB2312"/>
                <w:sz w:val="28"/>
                <w:szCs w:val="28"/>
              </w:rPr>
              <w:t>:</w:t>
            </w:r>
            <w:r>
              <w:rPr>
                <w:rFonts w:hint="eastAsia" w:ascii="仿宋" w:hAnsi="仿宋" w:eastAsia="仿宋" w:cs="仿宋_GB2312"/>
                <w:sz w:val="28"/>
                <w:szCs w:val="28"/>
              </w:rPr>
              <w:tab/>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你公司报送的由</w:t>
            </w:r>
            <w:r>
              <w:rPr>
                <w:rFonts w:hint="eastAsia" w:ascii="仿宋" w:hAnsi="仿宋" w:eastAsia="仿宋" w:cs="华文仿宋"/>
                <w:sz w:val="28"/>
                <w:szCs w:val="28"/>
                <w:lang w:eastAsia="zh-CN"/>
              </w:rPr>
              <w:t>贵州成达环保科技服务</w:t>
            </w:r>
            <w:r>
              <w:rPr>
                <w:rFonts w:hint="eastAsia" w:ascii="仿宋" w:hAnsi="仿宋" w:eastAsia="仿宋" w:cs="华文仿宋"/>
                <w:sz w:val="28"/>
                <w:szCs w:val="28"/>
              </w:rPr>
              <w:t>有限公司编制完成的《永城市</w:t>
            </w:r>
            <w:r>
              <w:rPr>
                <w:rFonts w:hint="eastAsia" w:ascii="仿宋" w:hAnsi="仿宋" w:eastAsia="仿宋" w:cs="华文仿宋"/>
                <w:sz w:val="28"/>
                <w:szCs w:val="28"/>
                <w:lang w:eastAsia="zh-CN"/>
              </w:rPr>
              <w:t>谢集油库</w:t>
            </w:r>
            <w:r>
              <w:rPr>
                <w:rFonts w:hint="eastAsia" w:ascii="仿宋" w:hAnsi="仿宋" w:eastAsia="仿宋" w:cs="仿宋_GB2312"/>
                <w:bCs/>
                <w:sz w:val="28"/>
                <w:szCs w:val="28"/>
              </w:rPr>
              <w:t>油站</w:t>
            </w:r>
            <w:r>
              <w:rPr>
                <w:rFonts w:hint="eastAsia" w:ascii="仿宋" w:hAnsi="仿宋" w:eastAsia="仿宋" w:cs="华文仿宋"/>
                <w:sz w:val="28"/>
                <w:szCs w:val="28"/>
              </w:rPr>
              <w:t>项目环境影响报告表（报批版）》（以下简称《报告表》）已收悉。项目位于永城市</w:t>
            </w:r>
            <w:r>
              <w:rPr>
                <w:rFonts w:hint="eastAsia" w:ascii="仿宋" w:hAnsi="仿宋" w:eastAsia="仿宋" w:cs="华文仿宋"/>
                <w:sz w:val="28"/>
                <w:szCs w:val="28"/>
                <w:lang w:eastAsia="zh-CN"/>
              </w:rPr>
              <w:t>蒋口镇谢集村</w:t>
            </w:r>
            <w:r>
              <w:rPr>
                <w:rFonts w:hint="eastAsia" w:ascii="仿宋" w:hAnsi="仿宋" w:eastAsia="仿宋" w:cs="华文仿宋"/>
                <w:sz w:val="28"/>
                <w:szCs w:val="28"/>
              </w:rPr>
              <w:t>。占地面积</w:t>
            </w:r>
            <w:r>
              <w:rPr>
                <w:rFonts w:hint="eastAsia" w:ascii="仿宋" w:hAnsi="仿宋" w:eastAsia="仿宋" w:cs="华文仿宋"/>
                <w:sz w:val="28"/>
                <w:szCs w:val="28"/>
                <w:lang w:val="en-US" w:eastAsia="zh-CN"/>
              </w:rPr>
              <w:t>1887.5</w:t>
            </w:r>
            <w:r>
              <w:rPr>
                <w:rFonts w:hint="eastAsia" w:ascii="仿宋" w:hAnsi="仿宋" w:eastAsia="仿宋" w:cs="华文仿宋"/>
                <w:sz w:val="28"/>
                <w:szCs w:val="28"/>
              </w:rPr>
              <w:t>平方米，其中包括站房、加油棚、加油岛、油罐区等。本项目总投资</w:t>
            </w:r>
            <w:r>
              <w:rPr>
                <w:rFonts w:hint="eastAsia" w:ascii="仿宋" w:hAnsi="仿宋" w:eastAsia="仿宋" w:cs="华文仿宋"/>
                <w:sz w:val="28"/>
                <w:szCs w:val="28"/>
                <w:lang w:val="en-US" w:eastAsia="zh-CN"/>
              </w:rPr>
              <w:t>30</w:t>
            </w:r>
            <w:r>
              <w:rPr>
                <w:rFonts w:hint="eastAsia" w:ascii="仿宋" w:hAnsi="仿宋" w:eastAsia="仿宋" w:cs="华文仿宋"/>
                <w:sz w:val="28"/>
                <w:szCs w:val="28"/>
              </w:rPr>
              <w:t>万元，其中环保投资</w:t>
            </w:r>
            <w:r>
              <w:rPr>
                <w:rFonts w:hint="eastAsia" w:ascii="仿宋" w:hAnsi="仿宋" w:eastAsia="仿宋" w:cs="华文仿宋"/>
                <w:sz w:val="28"/>
                <w:szCs w:val="28"/>
                <w:lang w:val="en-US" w:eastAsia="zh-CN"/>
              </w:rPr>
              <w:t>10</w:t>
            </w:r>
            <w:r>
              <w:rPr>
                <w:rFonts w:hint="eastAsia" w:ascii="仿宋" w:hAnsi="仿宋" w:eastAsia="仿宋" w:cs="华文仿宋"/>
                <w:sz w:val="28"/>
                <w:szCs w:val="28"/>
              </w:rPr>
              <w:t>万。</w:t>
            </w:r>
            <w:r>
              <w:rPr>
                <w:rFonts w:hint="eastAsia" w:ascii="仿宋" w:hAnsi="仿宋" w:eastAsia="仿宋" w:cs="华文仿宋"/>
                <w:sz w:val="28"/>
                <w:szCs w:val="28"/>
                <w:lang w:eastAsia="zh-CN"/>
              </w:rPr>
              <w:t>共</w:t>
            </w:r>
            <w:r>
              <w:rPr>
                <w:rFonts w:hint="eastAsia" w:ascii="仿宋" w:hAnsi="仿宋" w:eastAsia="仿宋" w:cs="华文仿宋"/>
                <w:sz w:val="28"/>
                <w:szCs w:val="28"/>
              </w:rPr>
              <w:t>设有</w:t>
            </w:r>
            <w:r>
              <w:rPr>
                <w:rFonts w:hint="eastAsia" w:ascii="仿宋" w:hAnsi="仿宋" w:eastAsia="仿宋" w:cs="华文仿宋"/>
                <w:sz w:val="28"/>
                <w:szCs w:val="28"/>
                <w:lang w:eastAsia="zh-CN"/>
              </w:rPr>
              <w:t>钢质双层</w:t>
            </w:r>
            <w:r>
              <w:rPr>
                <w:rFonts w:hint="eastAsia" w:ascii="仿宋" w:hAnsi="仿宋" w:eastAsia="仿宋" w:cs="华文仿宋"/>
                <w:sz w:val="28"/>
                <w:szCs w:val="28"/>
              </w:rPr>
              <w:t>油罐</w:t>
            </w:r>
            <w:r>
              <w:rPr>
                <w:rFonts w:hint="eastAsia" w:ascii="仿宋" w:hAnsi="仿宋" w:eastAsia="仿宋" w:cs="华文仿宋"/>
                <w:sz w:val="28"/>
                <w:szCs w:val="28"/>
                <w:lang w:val="en-US" w:eastAsia="zh-CN"/>
              </w:rPr>
              <w:t>4</w:t>
            </w:r>
            <w:r>
              <w:rPr>
                <w:rFonts w:hint="eastAsia" w:ascii="仿宋" w:hAnsi="仿宋" w:eastAsia="仿宋" w:cs="华文仿宋"/>
                <w:sz w:val="28"/>
                <w:szCs w:val="28"/>
              </w:rPr>
              <w:t>个，其中</w:t>
            </w:r>
            <w:r>
              <w:rPr>
                <w:rFonts w:hint="eastAsia" w:ascii="仿宋" w:hAnsi="仿宋" w:eastAsia="仿宋" w:cs="华文仿宋"/>
                <w:sz w:val="28"/>
                <w:szCs w:val="28"/>
                <w:lang w:val="en-US" w:eastAsia="zh-CN"/>
              </w:rPr>
              <w:t>93#汽油储油罐1个（50m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），97#</w:t>
            </w:r>
            <w:r>
              <w:rPr>
                <w:rFonts w:hint="eastAsia" w:ascii="仿宋" w:hAnsi="仿宋" w:eastAsia="仿宋" w:cs="华文仿宋"/>
                <w:sz w:val="28"/>
                <w:szCs w:val="28"/>
              </w:rPr>
              <w:t>汽油</w:t>
            </w:r>
            <w:r>
              <w:rPr>
                <w:rFonts w:hint="eastAsia" w:ascii="仿宋" w:hAnsi="仿宋" w:eastAsia="仿宋" w:cs="华文仿宋"/>
                <w:sz w:val="28"/>
                <w:szCs w:val="28"/>
                <w:lang w:eastAsia="zh-CN"/>
              </w:rPr>
              <w:t>储油罐</w:t>
            </w:r>
            <w:r>
              <w:rPr>
                <w:rFonts w:hint="eastAsia" w:ascii="仿宋" w:hAnsi="仿宋" w:eastAsia="仿宋" w:cs="华文仿宋"/>
                <w:sz w:val="28"/>
                <w:szCs w:val="28"/>
                <w:lang w:val="en-US" w:eastAsia="zh-CN"/>
              </w:rPr>
              <w:t>1个</w:t>
            </w:r>
            <w:r>
              <w:rPr>
                <w:rFonts w:hint="eastAsia" w:ascii="仿宋" w:hAnsi="仿宋" w:eastAsia="仿宋" w:cs="华文仿宋"/>
                <w:sz w:val="28"/>
                <w:szCs w:val="28"/>
              </w:rPr>
              <w:t>罐</w:t>
            </w:r>
            <w:r>
              <w:rPr>
                <w:rFonts w:hint="eastAsia" w:ascii="仿宋" w:hAnsi="仿宋" w:eastAsia="仿宋" w:cs="华文仿宋"/>
                <w:sz w:val="28"/>
                <w:szCs w:val="28"/>
                <w:lang w:eastAsia="zh-CN"/>
              </w:rPr>
              <w:t>一</w:t>
            </w:r>
            <w:r>
              <w:rPr>
                <w:rFonts w:hint="eastAsia" w:ascii="仿宋" w:hAnsi="仿宋" w:eastAsia="仿宋" w:cs="华文仿宋"/>
                <w:sz w:val="28"/>
                <w:szCs w:val="28"/>
              </w:rPr>
              <w:t>座</w:t>
            </w:r>
            <w:r>
              <w:rPr>
                <w:rFonts w:hint="eastAsia" w:ascii="仿宋" w:hAnsi="仿宋" w:eastAsia="仿宋" w:cs="华文仿宋"/>
                <w:sz w:val="28"/>
                <w:szCs w:val="28"/>
                <w:lang w:val="en-US" w:eastAsia="zh-CN"/>
              </w:rPr>
              <w:t>（50m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w:t>
            </w:r>
            <w:r>
              <w:rPr>
                <w:rFonts w:hint="eastAsia" w:ascii="仿宋" w:hAnsi="仿宋" w:eastAsia="仿宋" w:cs="华文仿宋"/>
                <w:sz w:val="28"/>
                <w:szCs w:val="28"/>
                <w:vertAlign w:val="baseline"/>
                <w:lang w:val="en-US" w:eastAsia="zh-CN"/>
              </w:rPr>
              <w:t>0#柴油储油罐1个</w:t>
            </w:r>
            <w:r>
              <w:rPr>
                <w:rFonts w:hint="eastAsia" w:ascii="仿宋" w:hAnsi="仿宋" w:eastAsia="仿宋" w:cs="华文仿宋"/>
                <w:sz w:val="28"/>
                <w:szCs w:val="28"/>
                <w:lang w:val="en-US" w:eastAsia="zh-CN"/>
              </w:rPr>
              <w:t>（50m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w:t>
            </w:r>
            <w:r>
              <w:rPr>
                <w:rFonts w:hint="eastAsia" w:ascii="仿宋" w:hAnsi="仿宋" w:eastAsia="仿宋" w:cs="华文仿宋"/>
                <w:sz w:val="28"/>
                <w:szCs w:val="28"/>
              </w:rPr>
              <w:t>，</w:t>
            </w:r>
            <w:r>
              <w:rPr>
                <w:rFonts w:hint="eastAsia" w:ascii="仿宋" w:hAnsi="仿宋" w:eastAsia="仿宋" w:cs="华文仿宋"/>
                <w:sz w:val="28"/>
                <w:szCs w:val="28"/>
                <w:lang w:val="en-US" w:eastAsia="zh-CN"/>
              </w:rPr>
              <w:t>-10#柴油储油罐1个（50m</w:t>
            </w:r>
            <w:r>
              <w:rPr>
                <w:rFonts w:hint="eastAsia" w:ascii="仿宋" w:hAnsi="仿宋" w:eastAsia="仿宋" w:cs="华文仿宋"/>
                <w:sz w:val="28"/>
                <w:szCs w:val="28"/>
                <w:vertAlign w:val="superscript"/>
                <w:lang w:val="en-US" w:eastAsia="zh-CN"/>
              </w:rPr>
              <w:t>3</w:t>
            </w:r>
            <w:r>
              <w:rPr>
                <w:rFonts w:hint="eastAsia" w:ascii="仿宋" w:hAnsi="仿宋" w:eastAsia="仿宋" w:cs="华文仿宋"/>
                <w:sz w:val="28"/>
                <w:szCs w:val="28"/>
                <w:lang w:val="en-US" w:eastAsia="zh-CN"/>
              </w:rPr>
              <w:t>）。</w:t>
            </w:r>
            <w:r>
              <w:rPr>
                <w:rFonts w:hint="eastAsia" w:ascii="仿宋" w:hAnsi="仿宋" w:eastAsia="仿宋" w:cs="华文仿宋"/>
                <w:sz w:val="28"/>
                <w:szCs w:val="28"/>
                <w:lang w:eastAsia="zh-CN"/>
              </w:rPr>
              <w:t>双枪单流量加油机</w:t>
            </w:r>
            <w:r>
              <w:rPr>
                <w:rFonts w:hint="eastAsia" w:ascii="仿宋" w:hAnsi="仿宋" w:eastAsia="仿宋" w:cs="华文仿宋"/>
                <w:sz w:val="28"/>
                <w:szCs w:val="28"/>
                <w:lang w:val="en-US" w:eastAsia="zh-CN"/>
              </w:rPr>
              <w:t>5台安装油气回收装置</w:t>
            </w:r>
            <w:r>
              <w:rPr>
                <w:rFonts w:hint="eastAsia" w:ascii="仿宋" w:hAnsi="仿宋" w:eastAsia="仿宋" w:cs="华文仿宋"/>
                <w:sz w:val="28"/>
                <w:szCs w:val="28"/>
              </w:rPr>
              <w:t xml:space="preserve">。该审批事项已在永城市政府网站公示期满，公示期无异议。 经研究，批复如下： </w:t>
            </w:r>
          </w:p>
          <w:p>
            <w:pPr>
              <w:adjustRightInd w:val="0"/>
              <w:snapToGrid w:val="0"/>
              <w:spacing w:line="288" w:lineRule="auto"/>
              <w:ind w:firstLine="560" w:firstLineChars="200"/>
              <w:rPr>
                <w:rFonts w:ascii="仿宋" w:hAnsi="仿宋" w:eastAsia="仿宋" w:cs="华文仿宋"/>
                <w:sz w:val="28"/>
                <w:szCs w:val="28"/>
              </w:rPr>
            </w:pPr>
            <w:r>
              <w:rPr>
                <w:rFonts w:hint="eastAsia" w:ascii="仿宋" w:hAnsi="仿宋" w:eastAsia="仿宋" w:cs="华文仿宋"/>
                <w:sz w:val="28"/>
                <w:szCs w:val="28"/>
              </w:rPr>
              <w:t xml:space="preserve">一、该《报告表》内容符合国家有关法律法规要求和建设项目环境管理规定，评价结论可信。我局批准该《报告表》，原则同意你公司按照《报告表》中所列项目的性质、规模、地点、采用的施工方式和环境保护对策措施进行建设。  </w:t>
            </w:r>
          </w:p>
          <w:p>
            <w:pPr>
              <w:ind w:firstLine="560" w:firstLineChars="200"/>
              <w:rPr>
                <w:rFonts w:ascii="仿宋" w:hAnsi="仿宋" w:eastAsia="仿宋" w:cs="华文仿宋"/>
                <w:sz w:val="28"/>
                <w:szCs w:val="28"/>
              </w:rPr>
            </w:pPr>
            <w:r>
              <w:rPr>
                <w:rFonts w:hint="eastAsia" w:ascii="仿宋" w:hAnsi="仿宋" w:eastAsia="仿宋" w:cs="华文仿宋"/>
                <w:sz w:val="28"/>
                <w:szCs w:val="28"/>
              </w:rPr>
              <w:t>二、你公司应向社会公众主动公开业经批准的《报告表》，并接受相关方的咨询。</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三、你公司应全面落实《报告表》提出的各项环保对策措施，确保各项污染物达标排放。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（一）向设计单位提供《报告表》和本批复文件，确保项目设计按照环境保护设计规范要求，落实防治环境污染以及环保设施投资概算。</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（二）外排污染物应满足以下要求 ： </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废水：生活污水</w:t>
            </w:r>
            <w:r>
              <w:rPr>
                <w:rFonts w:hint="eastAsia" w:ascii="仿宋" w:hAnsi="仿宋" w:eastAsia="仿宋" w:cs="仿宋_GB2312"/>
                <w:sz w:val="28"/>
                <w:szCs w:val="28"/>
                <w:lang w:eastAsia="zh-CN"/>
              </w:rPr>
              <w:t>经污水处理设施处理达标后</w:t>
            </w:r>
            <w:r>
              <w:rPr>
                <w:rFonts w:hint="eastAsia" w:ascii="仿宋" w:hAnsi="仿宋" w:eastAsia="仿宋" w:cs="仿宋_GB2312"/>
                <w:sz w:val="28"/>
                <w:szCs w:val="28"/>
              </w:rPr>
              <w:t>，定期清掏</w:t>
            </w:r>
            <w:r>
              <w:rPr>
                <w:rFonts w:hint="eastAsia" w:ascii="仿宋" w:hAnsi="仿宋" w:eastAsia="仿宋" w:cs="仿宋_GB2312"/>
                <w:sz w:val="28"/>
                <w:szCs w:val="28"/>
                <w:lang w:eastAsia="zh-CN"/>
              </w:rPr>
              <w:t>用于农田施肥</w:t>
            </w:r>
            <w:r>
              <w:rPr>
                <w:rFonts w:hint="eastAsia" w:ascii="仿宋" w:hAnsi="仿宋" w:eastAsia="仿宋" w:cs="仿宋_GB2312"/>
                <w:sz w:val="28"/>
                <w:szCs w:val="28"/>
              </w:rPr>
              <w:t>；厂区清洗废水一级初期雨水收集后经隔油池外排。</w:t>
            </w:r>
          </w:p>
          <w:p>
            <w:pPr>
              <w:numPr>
                <w:ilvl w:val="0"/>
                <w:numId w:val="1"/>
              </w:numPr>
              <w:adjustRightInd w:val="0"/>
              <w:snapToGrid w:val="0"/>
              <w:spacing w:line="288" w:lineRule="auto"/>
              <w:ind w:firstLine="560" w:firstLineChars="200"/>
              <w:rPr>
                <w:rFonts w:ascii="仿宋" w:hAnsi="仿宋" w:eastAsia="仿宋" w:cs="仿宋_GB2312"/>
                <w:sz w:val="28"/>
                <w:szCs w:val="28"/>
              </w:rPr>
            </w:pPr>
            <w:r>
              <w:rPr>
                <w:rFonts w:hint="eastAsia" w:ascii="仿宋" w:hAnsi="仿宋" w:eastAsia="仿宋" w:cs="仿宋_GB2312"/>
                <w:sz w:val="28"/>
                <w:szCs w:val="28"/>
              </w:rPr>
              <w:t>废气：本项目的废气主要来源于储罐、加油机，主要污染为为非甲烷总烃，本项目为地埋式储油罐、通过设置油气回收装置满足《加油站大气污染物排放标准》要求及《大气污染物综合排放标准》表2二级排放标准（非甲烷总烃</w:t>
            </w:r>
            <w:r>
              <w:rPr>
                <w:rFonts w:ascii="仿宋" w:hAnsi="仿宋" w:eastAsia="仿宋" w:cs="Arial"/>
                <w:sz w:val="28"/>
                <w:szCs w:val="28"/>
              </w:rPr>
              <w:t>≤</w:t>
            </w:r>
            <w:r>
              <w:rPr>
                <w:rFonts w:hint="eastAsia" w:ascii="仿宋" w:hAnsi="仿宋" w:eastAsia="仿宋" w:cs="仿宋_GB2312"/>
                <w:sz w:val="28"/>
                <w:szCs w:val="28"/>
              </w:rPr>
              <w:t>4.0mg/m</w:t>
            </w:r>
            <w:r>
              <w:rPr>
                <w:rFonts w:hint="eastAsia" w:ascii="仿宋" w:hAnsi="仿宋" w:eastAsia="仿宋" w:cs="仿宋_GB2312"/>
                <w:sz w:val="28"/>
                <w:szCs w:val="28"/>
                <w:vertAlign w:val="superscript"/>
              </w:rPr>
              <w:t>3</w:t>
            </w:r>
            <w:r>
              <w:rPr>
                <w:rFonts w:hint="eastAsia" w:ascii="仿宋" w:hAnsi="仿宋" w:eastAsia="仿宋" w:cs="仿宋_GB2312"/>
                <w:sz w:val="28"/>
                <w:szCs w:val="28"/>
              </w:rPr>
              <w:t>）；每年委托有资质的单位对油气回收系统及排放浓度进行一次检测并报环保部门备案。</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3、噪声：本项目主要噪声来自油罐车、加油车辆进站时的汽车噪声和潜油泵噪声，厂界须满足《工业企业厂界环境噪声排放标准》（GB12348-2008）2/4类标准限值要求。</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4、固废方面：主要固废为油罐的油泥，有专门的清理队伍进行清理，清理出的油泥送有资质的单位进行处理，须满足《危险废物贮存污染控制标准》（GB18597-2001）及2013年修改单。生活垃圾统一收集交于环卫部门集中处理。</w:t>
            </w:r>
          </w:p>
          <w:p>
            <w:pPr>
              <w:adjustRightInd w:val="0"/>
              <w:snapToGrid w:val="0"/>
              <w:spacing w:line="288" w:lineRule="auto"/>
              <w:ind w:firstLine="560"/>
              <w:rPr>
                <w:rFonts w:ascii="仿宋" w:hAnsi="仿宋" w:eastAsia="仿宋" w:cs="仿宋_GB2312"/>
                <w:sz w:val="28"/>
                <w:szCs w:val="28"/>
              </w:rPr>
            </w:pPr>
            <w:r>
              <w:rPr>
                <w:rFonts w:hint="eastAsia" w:ascii="仿宋" w:hAnsi="仿宋" w:eastAsia="仿宋" w:cs="仿宋_GB2312"/>
                <w:sz w:val="28"/>
                <w:szCs w:val="28"/>
              </w:rPr>
              <w:t xml:space="preserve">5、企业应加强科学管理，制定严格的防火、防爆制度，同时做好各类风险防范措施，严防各类事故的发生。项目未取得消防许可证及安评手续之前不得投入运营。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（四）如果今后国家或省颁布严于本批复指标的新标准，届时你公司按新标准执行。</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四、企业应严格执行环保“三同时”制度，并接受环保部门日常监督和管理。     </w:t>
            </w: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    五、本批复有效期为5年，如该项目逾期方开工建设，其环境影响报告表应报我局重新审核 。  </w:t>
            </w:r>
          </w:p>
          <w:p>
            <w:pPr>
              <w:adjustRightInd w:val="0"/>
              <w:snapToGrid w:val="0"/>
              <w:spacing w:line="288" w:lineRule="auto"/>
              <w:ind w:firstLine="280" w:firstLineChars="100"/>
              <w:rPr>
                <w:rFonts w:hint="eastAsia"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r>
              <w:rPr>
                <w:rFonts w:hint="eastAsia" w:ascii="仿宋" w:hAnsi="仿宋" w:eastAsia="仿宋" w:cs="仿宋_GB2312"/>
                <w:sz w:val="28"/>
                <w:szCs w:val="28"/>
              </w:rPr>
              <w:t xml:space="preserve">经办人：           审核人：            审批人：                                         </w:t>
            </w:r>
          </w:p>
          <w:p>
            <w:pPr>
              <w:adjustRightInd w:val="0"/>
              <w:snapToGrid w:val="0"/>
              <w:spacing w:line="288" w:lineRule="auto"/>
              <w:rPr>
                <w:rFonts w:ascii="仿宋" w:hAnsi="仿宋" w:eastAsia="仿宋" w:cs="仿宋_GB2312"/>
                <w:sz w:val="28"/>
                <w:szCs w:val="28"/>
              </w:rPr>
            </w:pPr>
          </w:p>
          <w:p>
            <w:pPr>
              <w:adjustRightInd w:val="0"/>
              <w:snapToGrid w:val="0"/>
              <w:spacing w:line="288" w:lineRule="auto"/>
              <w:rPr>
                <w:rFonts w:ascii="仿宋" w:hAnsi="仿宋" w:eastAsia="仿宋" w:cs="仿宋_GB2312"/>
                <w:sz w:val="28"/>
                <w:szCs w:val="28"/>
              </w:rPr>
            </w:pPr>
          </w:p>
          <w:p>
            <w:pPr>
              <w:adjustRightInd w:val="0"/>
              <w:snapToGrid w:val="0"/>
              <w:spacing w:line="288" w:lineRule="auto"/>
              <w:ind w:firstLine="6440" w:firstLineChars="2300"/>
              <w:rPr>
                <w:rFonts w:ascii="仿宋" w:hAnsi="仿宋" w:eastAsia="仿宋" w:cs="仿宋_GB2312"/>
                <w:sz w:val="28"/>
                <w:szCs w:val="28"/>
              </w:rPr>
            </w:pPr>
            <w:r>
              <w:rPr>
                <w:rFonts w:hint="eastAsia" w:ascii="仿宋" w:hAnsi="仿宋" w:eastAsia="仿宋" w:cs="仿宋_GB2312"/>
                <w:sz w:val="28"/>
                <w:szCs w:val="28"/>
              </w:rPr>
              <w:t>（公章）</w:t>
            </w:r>
          </w:p>
          <w:p>
            <w:pPr>
              <w:adjustRightInd w:val="0"/>
              <w:snapToGrid w:val="0"/>
              <w:spacing w:line="288" w:lineRule="auto"/>
              <w:rPr>
                <w:szCs w:val="28"/>
              </w:rPr>
            </w:pPr>
            <w:r>
              <w:rPr>
                <w:rFonts w:hint="eastAsia" w:ascii="仿宋" w:hAnsi="仿宋" w:eastAsia="仿宋" w:cs="仿宋_GB2312"/>
                <w:sz w:val="28"/>
                <w:szCs w:val="28"/>
              </w:rPr>
              <w:t xml:space="preserve">                                         2018年 </w:t>
            </w:r>
            <w:r>
              <w:rPr>
                <w:rFonts w:hint="eastAsia" w:ascii="仿宋" w:hAnsi="仿宋" w:eastAsia="仿宋" w:cs="仿宋_GB2312"/>
                <w:sz w:val="28"/>
                <w:szCs w:val="28"/>
                <w:lang w:val="en-US" w:eastAsia="zh-CN"/>
              </w:rPr>
              <w:t>02</w:t>
            </w:r>
            <w:r>
              <w:rPr>
                <w:rFonts w:hint="eastAsia" w:ascii="仿宋" w:hAnsi="仿宋" w:eastAsia="仿宋" w:cs="仿宋_GB2312"/>
                <w:sz w:val="28"/>
                <w:szCs w:val="28"/>
              </w:rPr>
              <w:t xml:space="preserve"> 月 </w:t>
            </w:r>
            <w:r>
              <w:rPr>
                <w:rFonts w:hint="eastAsia" w:ascii="仿宋" w:hAnsi="仿宋" w:eastAsia="仿宋" w:cs="仿宋_GB2312"/>
                <w:sz w:val="28"/>
                <w:szCs w:val="28"/>
                <w:lang w:val="en-US" w:eastAsia="zh-CN"/>
              </w:rPr>
              <w:t>09</w:t>
            </w:r>
            <w:r>
              <w:rPr>
                <w:rFonts w:hint="eastAsia" w:ascii="仿宋" w:hAnsi="仿宋" w:eastAsia="仿宋" w:cs="仿宋_GB2312"/>
                <w:sz w:val="28"/>
                <w:szCs w:val="28"/>
              </w:rPr>
              <w:t xml:space="preserve">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7CFE5"/>
    <w:multiLevelType w:val="singleLevel"/>
    <w:tmpl w:val="5A17CF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C94798"/>
    <w:rsid w:val="06C94798"/>
    <w:rsid w:val="1DEE65F3"/>
    <w:rsid w:val="66EC3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2018-02-07T02:53:00Z</dcterms:created>
  <dc:creator>王芳</dc:creator>
  <cp:lastModifiedBy>王芳</cp:lastModifiedBy>
  <cp:lastPrinted>2018-02-08T09:53:14Z</cp:lastPrinted>
  <dcterms:modified xsi:type="dcterms:W3CDTF">2018-02-11T01:37:09Z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