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tcPr>
          <w:p>
            <w:pPr>
              <w:adjustRightInd w:val="0"/>
              <w:snapToGrid w:val="0"/>
              <w:spacing w:line="288" w:lineRule="auto"/>
              <w:rPr>
                <w:rFonts w:ascii="仿宋" w:hAnsi="仿宋" w:eastAsia="仿宋" w:cs="仿宋_GB2312"/>
                <w:sz w:val="28"/>
                <w:szCs w:val="28"/>
              </w:rPr>
            </w:pPr>
            <w:r>
              <w:rPr>
                <w:rFonts w:hint="eastAsia" w:ascii="仿宋" w:hAnsi="仿宋" w:eastAsia="仿宋" w:cs="仿宋_GB2312"/>
                <w:bCs/>
                <w:sz w:val="28"/>
                <w:szCs w:val="28"/>
              </w:rPr>
              <w:t>审批意见：</w:t>
            </w:r>
            <w:r>
              <w:rPr>
                <w:rFonts w:hint="eastAsia" w:ascii="仿宋" w:hAnsi="仿宋" w:eastAsia="仿宋" w:cs="仿宋_GB2312"/>
                <w:sz w:val="28"/>
                <w:szCs w:val="28"/>
              </w:rPr>
              <w:t xml:space="preserve">                               永环审〔2018〕 0</w:t>
            </w:r>
            <w:r>
              <w:rPr>
                <w:rFonts w:hint="eastAsia" w:ascii="仿宋" w:hAnsi="仿宋" w:eastAsia="仿宋" w:cs="仿宋_GB2312"/>
                <w:sz w:val="28"/>
                <w:szCs w:val="28"/>
                <w:lang w:val="en-US" w:eastAsia="zh-CN"/>
              </w:rPr>
              <w:t>2</w:t>
            </w:r>
            <w:r>
              <w:rPr>
                <w:rFonts w:hint="eastAsia" w:ascii="仿宋" w:hAnsi="仿宋" w:eastAsia="仿宋" w:cs="仿宋_GB2312"/>
                <w:sz w:val="28"/>
                <w:szCs w:val="28"/>
              </w:rPr>
              <w:t xml:space="preserve"> 号</w:t>
            </w:r>
          </w:p>
          <w:p>
            <w:pPr>
              <w:adjustRightInd w:val="0"/>
              <w:snapToGrid w:val="0"/>
              <w:spacing w:line="288" w:lineRule="auto"/>
              <w:jc w:val="center"/>
              <w:rPr>
                <w:rFonts w:hint="eastAsia" w:ascii="仿宋" w:hAnsi="仿宋" w:eastAsia="仿宋" w:cs="华文仿宋"/>
                <w:sz w:val="28"/>
                <w:szCs w:val="28"/>
              </w:rPr>
            </w:pPr>
            <w:r>
              <w:rPr>
                <w:rFonts w:hint="eastAsia" w:ascii="仿宋" w:hAnsi="仿宋" w:eastAsia="仿宋" w:cs="仿宋_GB2312"/>
                <w:bCs/>
                <w:sz w:val="36"/>
                <w:szCs w:val="36"/>
              </w:rPr>
              <w:t>关于《</w:t>
            </w:r>
            <w:r>
              <w:rPr>
                <w:rFonts w:hint="eastAsia" w:ascii="仿宋" w:hAnsi="仿宋" w:eastAsia="仿宋" w:cs="华文仿宋"/>
                <w:sz w:val="36"/>
                <w:szCs w:val="36"/>
              </w:rPr>
              <w:t>商丘协鑫交运燃气有限公司永城分公司永城LNG撬装站</w:t>
            </w:r>
            <w:r>
              <w:rPr>
                <w:rFonts w:hint="eastAsia" w:ascii="仿宋" w:hAnsi="仿宋" w:eastAsia="仿宋" w:cs="仿宋_GB2312"/>
                <w:bCs/>
                <w:sz w:val="36"/>
                <w:szCs w:val="36"/>
              </w:rPr>
              <w:t>项目环境影响报告表》的批复</w:t>
            </w:r>
            <w:bookmarkStart w:id="0" w:name="_GoBack"/>
            <w:bookmarkEnd w:id="0"/>
          </w:p>
          <w:p>
            <w:pPr>
              <w:adjustRightInd w:val="0"/>
              <w:snapToGrid w:val="0"/>
              <w:spacing w:line="460" w:lineRule="exact"/>
              <w:rPr>
                <w:rFonts w:ascii="仿宋" w:hAnsi="仿宋" w:eastAsia="仿宋" w:cs="仿宋_GB2312"/>
                <w:sz w:val="28"/>
                <w:szCs w:val="28"/>
              </w:rPr>
            </w:pPr>
            <w:r>
              <w:rPr>
                <w:rFonts w:hint="eastAsia" w:ascii="仿宋" w:hAnsi="仿宋" w:eastAsia="仿宋" w:cs="华文仿宋"/>
                <w:sz w:val="28"/>
                <w:szCs w:val="28"/>
              </w:rPr>
              <w:t>商丘协鑫交运燃气有限公司永城分公司</w:t>
            </w:r>
            <w:r>
              <w:rPr>
                <w:rFonts w:hint="eastAsia" w:ascii="仿宋" w:hAnsi="仿宋" w:eastAsia="仿宋" w:cs="仿宋_GB2312"/>
                <w:sz w:val="28"/>
                <w:szCs w:val="28"/>
              </w:rPr>
              <w:t>:</w:t>
            </w:r>
            <w:r>
              <w:rPr>
                <w:rFonts w:hint="eastAsia" w:ascii="仿宋" w:hAnsi="仿宋" w:eastAsia="仿宋" w:cs="仿宋_GB2312"/>
                <w:sz w:val="28"/>
                <w:szCs w:val="28"/>
              </w:rPr>
              <w:tab/>
            </w:r>
          </w:p>
          <w:p>
            <w:pPr>
              <w:adjustRightInd w:val="0"/>
              <w:snapToGrid w:val="0"/>
              <w:spacing w:line="460" w:lineRule="exact"/>
              <w:ind w:firstLine="560" w:firstLineChars="200"/>
              <w:rPr>
                <w:rFonts w:ascii="仿宋" w:hAnsi="仿宋" w:eastAsia="仿宋" w:cs="华文仿宋"/>
                <w:sz w:val="28"/>
                <w:szCs w:val="28"/>
              </w:rPr>
            </w:pPr>
            <w:r>
              <w:rPr>
                <w:rFonts w:hint="eastAsia" w:ascii="仿宋" w:hAnsi="仿宋" w:eastAsia="仿宋" w:cs="华文仿宋"/>
                <w:sz w:val="28"/>
                <w:szCs w:val="28"/>
              </w:rPr>
              <w:t>你公司报送的由广州环发环保工程有限公司编制完成的《商丘协鑫交运燃气有限公司永城分公司永城LNG撬装站项目环境影响报告表（报批版）》（以下简称《报告表》）已收悉。项目位于永城市演集镇武庄村。                                                                                                                                                                                                                                                                                                                                                                                                                                                                                                                                                                                                                                                                                                                                                                                                                                                                                                                                                                                                                                                                 总投资200万元，占地面积为2400m</w:t>
            </w:r>
            <w:r>
              <w:rPr>
                <w:rFonts w:hint="eastAsia" w:ascii="仿宋" w:hAnsi="仿宋" w:eastAsia="仿宋" w:cs="华文仿宋"/>
                <w:sz w:val="28"/>
                <w:szCs w:val="28"/>
                <w:vertAlign w:val="superscript"/>
              </w:rPr>
              <w:t>2</w:t>
            </w:r>
            <w:r>
              <w:rPr>
                <w:rFonts w:hint="eastAsia" w:ascii="仿宋" w:hAnsi="仿宋" w:eastAsia="仿宋" w:cs="华文仿宋"/>
                <w:sz w:val="28"/>
                <w:szCs w:val="28"/>
              </w:rPr>
              <w:t>,其中环保投资11万元。工程建设内容为：双枪加气机2台， LNG储气罐1个，容积为60m</w:t>
            </w:r>
            <w:r>
              <w:rPr>
                <w:rFonts w:hint="eastAsia" w:ascii="仿宋" w:hAnsi="仿宋" w:eastAsia="仿宋" w:cs="华文仿宋"/>
                <w:sz w:val="28"/>
                <w:szCs w:val="28"/>
                <w:vertAlign w:val="superscript"/>
              </w:rPr>
              <w:t>3</w:t>
            </w:r>
            <w:r>
              <w:rPr>
                <w:rFonts w:hint="eastAsia" w:ascii="仿宋" w:hAnsi="仿宋" w:eastAsia="仿宋" w:cs="华文仿宋"/>
                <w:sz w:val="28"/>
                <w:szCs w:val="28"/>
              </w:rPr>
              <w:t xml:space="preserve">。另外包括罐瓶间、消防泵房及办公辅助设施。该审批事项已在永城市政府网站公示期满，公示期无异议。 经研究，批复如下： </w:t>
            </w:r>
          </w:p>
          <w:p>
            <w:pPr>
              <w:adjustRightInd w:val="0"/>
              <w:snapToGrid w:val="0"/>
              <w:spacing w:line="460" w:lineRule="exact"/>
              <w:ind w:firstLine="560" w:firstLineChars="200"/>
              <w:rPr>
                <w:rFonts w:ascii="仿宋" w:hAnsi="仿宋" w:eastAsia="仿宋" w:cs="华文仿宋"/>
                <w:sz w:val="28"/>
                <w:szCs w:val="28"/>
              </w:rPr>
            </w:pPr>
            <w:r>
              <w:rPr>
                <w:rFonts w:hint="eastAsia" w:ascii="仿宋" w:hAnsi="仿宋" w:eastAsia="仿宋" w:cs="华文仿宋"/>
                <w:sz w:val="28"/>
                <w:szCs w:val="28"/>
              </w:rPr>
              <w:t xml:space="preserve">一、该《报告表》内容符合国家有关法律法规要求和建设项目环境管理规定，评价结论可信。我局批准该《报告表》，原则同意你公司按照《报告表》中所列项目的性质、规模、地点、采用的施工方式和环境保护对策措施进行建设。  </w:t>
            </w:r>
          </w:p>
          <w:p>
            <w:pPr>
              <w:spacing w:line="460" w:lineRule="exact"/>
              <w:ind w:firstLine="560" w:firstLineChars="200"/>
              <w:rPr>
                <w:rFonts w:ascii="仿宋" w:hAnsi="仿宋" w:eastAsia="仿宋" w:cs="华文仿宋"/>
                <w:sz w:val="28"/>
                <w:szCs w:val="28"/>
              </w:rPr>
            </w:pPr>
            <w:r>
              <w:rPr>
                <w:rFonts w:hint="eastAsia" w:ascii="仿宋" w:hAnsi="仿宋" w:eastAsia="仿宋" w:cs="华文仿宋"/>
                <w:sz w:val="28"/>
                <w:szCs w:val="28"/>
              </w:rPr>
              <w:t>二、你公司应向社会公众主动公开业经批准的《报告表》，并接受相关方的咨询。</w:t>
            </w:r>
          </w:p>
          <w:p>
            <w:pPr>
              <w:adjustRightInd w:val="0"/>
              <w:snapToGrid w:val="0"/>
              <w:spacing w:line="460" w:lineRule="exact"/>
              <w:rPr>
                <w:rFonts w:ascii="仿宋" w:hAnsi="仿宋" w:eastAsia="仿宋" w:cs="仿宋_GB2312"/>
                <w:sz w:val="28"/>
                <w:szCs w:val="28"/>
              </w:rPr>
            </w:pPr>
            <w:r>
              <w:rPr>
                <w:rFonts w:hint="eastAsia" w:ascii="仿宋" w:hAnsi="仿宋" w:eastAsia="仿宋" w:cs="仿宋_GB2312"/>
                <w:sz w:val="28"/>
                <w:szCs w:val="28"/>
              </w:rPr>
              <w:t xml:space="preserve">    三、你公司应全面落实《报告表》提出的各项环保对策措施，确保各项环境保护设施与主体工程同时设计、同时施工、同时投入使用。确保各项污染物达标排放。    </w:t>
            </w:r>
          </w:p>
          <w:p>
            <w:pPr>
              <w:adjustRightInd w:val="0"/>
              <w:snapToGrid w:val="0"/>
              <w:spacing w:line="460" w:lineRule="exact"/>
              <w:rPr>
                <w:rFonts w:ascii="仿宋" w:hAnsi="仿宋" w:eastAsia="仿宋" w:cs="仿宋_GB2312"/>
                <w:sz w:val="28"/>
                <w:szCs w:val="28"/>
              </w:rPr>
            </w:pPr>
            <w:r>
              <w:rPr>
                <w:rFonts w:hint="eastAsia" w:ascii="仿宋" w:hAnsi="仿宋" w:eastAsia="仿宋" w:cs="仿宋_GB2312"/>
                <w:sz w:val="28"/>
                <w:szCs w:val="28"/>
              </w:rPr>
              <w:t xml:space="preserve">    （一）向设计单位提供《报告表》和本批复文件，确保项目设计按照环境保护设计规范要求，落实防治环境污染以及环保设施投资概算。</w:t>
            </w:r>
          </w:p>
          <w:p>
            <w:pPr>
              <w:adjustRightInd w:val="0"/>
              <w:snapToGrid w:val="0"/>
              <w:spacing w:line="460" w:lineRule="exact"/>
              <w:rPr>
                <w:rFonts w:ascii="仿宋" w:hAnsi="仿宋" w:eastAsia="仿宋" w:cs="仿宋_GB2312"/>
                <w:sz w:val="28"/>
                <w:szCs w:val="28"/>
              </w:rPr>
            </w:pPr>
            <w:r>
              <w:rPr>
                <w:rFonts w:hint="eastAsia" w:ascii="仿宋" w:hAnsi="仿宋" w:eastAsia="仿宋" w:cs="仿宋_GB2312"/>
                <w:sz w:val="28"/>
                <w:szCs w:val="28"/>
              </w:rPr>
              <w:t xml:space="preserve">    （二） 依据《报告表》和本批复文件，对项目建设过程中产生的废水、废气、固体废物、噪声等污染，以及因施工对自然、生态环境造成的破坏，采取相应的防治措施。 </w:t>
            </w:r>
          </w:p>
          <w:p>
            <w:pPr>
              <w:adjustRightInd w:val="0"/>
              <w:snapToGrid w:val="0"/>
              <w:spacing w:line="460" w:lineRule="exact"/>
              <w:rPr>
                <w:rFonts w:ascii="仿宋" w:hAnsi="仿宋" w:eastAsia="仿宋" w:cs="仿宋_GB2312"/>
                <w:sz w:val="28"/>
                <w:szCs w:val="28"/>
              </w:rPr>
            </w:pPr>
            <w:r>
              <w:rPr>
                <w:rFonts w:hint="eastAsia" w:ascii="仿宋" w:hAnsi="仿宋" w:eastAsia="仿宋" w:cs="仿宋_GB2312"/>
                <w:sz w:val="28"/>
                <w:szCs w:val="28"/>
              </w:rPr>
              <w:t xml:space="preserve">    （三）外排污染物应满足以下要求 ： </w:t>
            </w:r>
          </w:p>
          <w:p>
            <w:pPr>
              <w:adjustRightInd w:val="0"/>
              <w:snapToGrid w:val="0"/>
              <w:spacing w:line="4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1、废水：生活污水经化粪池处理后定期清掏用作附近农田施肥，综合利用不外排。须满足《农田灌溉水质标准》（GB5084-2005）表1旱作标准。    </w:t>
            </w:r>
          </w:p>
          <w:p>
            <w:pPr>
              <w:adjustRightInd w:val="0"/>
              <w:snapToGrid w:val="0"/>
              <w:spacing w:line="4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2、废气：非甲烷总</w:t>
            </w:r>
            <w:r>
              <w:rPr>
                <w:rFonts w:hint="eastAsia" w:ascii="仿宋" w:hAnsi="仿宋" w:eastAsia="仿宋" w:cs="仿宋_GB2312"/>
                <w:color w:val="000000"/>
                <w:sz w:val="28"/>
                <w:szCs w:val="28"/>
              </w:rPr>
              <w:t>烃废气</w:t>
            </w:r>
            <w:r>
              <w:rPr>
                <w:rFonts w:hint="eastAsia" w:ascii="仿宋" w:hAnsi="仿宋" w:eastAsia="仿宋" w:cs="仿宋_GB2312"/>
                <w:sz w:val="28"/>
                <w:szCs w:val="28"/>
              </w:rPr>
              <w:t>采取有效措施后，</w:t>
            </w:r>
            <w:r>
              <w:rPr>
                <w:rFonts w:hint="eastAsia" w:ascii="仿宋" w:hAnsi="仿宋" w:eastAsia="仿宋" w:cs="仿宋_GB2312"/>
                <w:color w:val="000000"/>
                <w:sz w:val="28"/>
                <w:szCs w:val="28"/>
              </w:rPr>
              <w:t>排放浓度须满足</w:t>
            </w:r>
            <w:r>
              <w:rPr>
                <w:rFonts w:hint="eastAsia" w:ascii="仿宋" w:hAnsi="仿宋" w:eastAsia="仿宋" w:cs="仿宋_GB2312"/>
                <w:sz w:val="28"/>
                <w:szCs w:val="28"/>
              </w:rPr>
              <w:t xml:space="preserve">《大气污染物综合排放标准》（GB16297-1996）无组织排放监控浓度限制的要求，项目卫生防护距离设置为50米，卫生防护距离内严禁建设新环境敏感点。  </w:t>
            </w:r>
          </w:p>
          <w:p>
            <w:pPr>
              <w:adjustRightInd w:val="0"/>
              <w:snapToGrid w:val="0"/>
              <w:spacing w:line="460" w:lineRule="exact"/>
              <w:rPr>
                <w:rFonts w:ascii="仿宋" w:hAnsi="仿宋" w:eastAsia="仿宋" w:cs="仿宋_GB2312"/>
                <w:sz w:val="28"/>
                <w:szCs w:val="28"/>
              </w:rPr>
            </w:pPr>
            <w:r>
              <w:rPr>
                <w:rFonts w:hint="eastAsia" w:ascii="仿宋" w:hAnsi="仿宋" w:eastAsia="仿宋" w:cs="仿宋_GB2312"/>
                <w:sz w:val="28"/>
                <w:szCs w:val="28"/>
              </w:rPr>
              <w:t xml:space="preserve">    3、噪声：施工期噪声执行《建筑施工场界环境噪声排放标准》（GB12523-2011）标准的要求。运营期厂界噪声执行《工业企业厂界环境噪声排放标准》（GB12348-2008）2、4类标准的要求。</w:t>
            </w:r>
          </w:p>
          <w:p>
            <w:pPr>
              <w:adjustRightInd w:val="0"/>
              <w:snapToGrid w:val="0"/>
              <w:spacing w:line="460" w:lineRule="exact"/>
              <w:rPr>
                <w:rFonts w:ascii="仿宋" w:hAnsi="仿宋" w:eastAsia="仿宋" w:cs="仿宋_GB2312"/>
                <w:sz w:val="28"/>
                <w:szCs w:val="28"/>
              </w:rPr>
            </w:pPr>
            <w:r>
              <w:rPr>
                <w:rFonts w:hint="eastAsia" w:ascii="仿宋" w:hAnsi="仿宋" w:eastAsia="仿宋" w:cs="仿宋_GB2312"/>
                <w:sz w:val="28"/>
                <w:szCs w:val="28"/>
              </w:rPr>
              <w:t xml:space="preserve">    4、固废方面：项目在运营期产生的固体废物主要是职工生活垃圾以及流动人员产生的生活垃圾，集中收集后交于环卫部门统一处理。</w:t>
            </w:r>
          </w:p>
          <w:p>
            <w:pPr>
              <w:adjustRightInd w:val="0"/>
              <w:snapToGrid w:val="0"/>
              <w:spacing w:line="4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5、企业应加强科学管理，制定严格的防火、防爆制度，同时做好各类风险防范措施，严防各类事故的发生。项目未取得消防许可证及安评手续之前不得投入运营。 </w:t>
            </w:r>
          </w:p>
          <w:p>
            <w:pPr>
              <w:adjustRightInd w:val="0"/>
              <w:snapToGrid w:val="0"/>
              <w:spacing w:line="460" w:lineRule="exact"/>
              <w:rPr>
                <w:rFonts w:ascii="仿宋" w:hAnsi="仿宋" w:eastAsia="仿宋" w:cs="仿宋_GB2312"/>
                <w:sz w:val="28"/>
                <w:szCs w:val="28"/>
              </w:rPr>
            </w:pPr>
            <w:r>
              <w:rPr>
                <w:rFonts w:hint="eastAsia" w:ascii="仿宋" w:hAnsi="仿宋" w:eastAsia="仿宋" w:cs="仿宋_GB2312"/>
                <w:sz w:val="28"/>
                <w:szCs w:val="28"/>
              </w:rPr>
              <w:t xml:space="preserve">   （四）如果今后国家或省颁布严于本批复指标的新标准，届时你公司按新标准执行。</w:t>
            </w:r>
          </w:p>
          <w:p>
            <w:pPr>
              <w:adjustRightInd w:val="0"/>
              <w:snapToGrid w:val="0"/>
              <w:spacing w:line="460" w:lineRule="exact"/>
              <w:rPr>
                <w:rFonts w:ascii="仿宋" w:hAnsi="仿宋" w:eastAsia="仿宋" w:cs="仿宋_GB2312"/>
                <w:sz w:val="28"/>
                <w:szCs w:val="28"/>
              </w:rPr>
            </w:pPr>
            <w:r>
              <w:rPr>
                <w:rFonts w:hint="eastAsia" w:ascii="仿宋" w:hAnsi="仿宋" w:eastAsia="仿宋" w:cs="仿宋_GB2312"/>
                <w:sz w:val="28"/>
                <w:szCs w:val="28"/>
              </w:rPr>
              <w:t xml:space="preserve">    四、企业应严格执行环保“三同时”制度，并接受环保部门日常监督和管理。     </w:t>
            </w:r>
          </w:p>
          <w:p>
            <w:pPr>
              <w:adjustRightInd w:val="0"/>
              <w:snapToGrid w:val="0"/>
              <w:spacing w:line="460" w:lineRule="exact"/>
              <w:rPr>
                <w:rFonts w:ascii="仿宋" w:hAnsi="仿宋" w:eastAsia="仿宋" w:cs="仿宋_GB2312"/>
                <w:sz w:val="28"/>
                <w:szCs w:val="28"/>
              </w:rPr>
            </w:pPr>
            <w:r>
              <w:rPr>
                <w:rFonts w:hint="eastAsia" w:ascii="仿宋" w:hAnsi="仿宋" w:eastAsia="仿宋" w:cs="仿宋_GB2312"/>
                <w:sz w:val="28"/>
                <w:szCs w:val="28"/>
              </w:rPr>
              <w:t xml:space="preserve">    五、本批复有效期为5年，如该项目逾期方开工建设，其环境影响报告表应报我局重新审核 。  </w:t>
            </w:r>
          </w:p>
          <w:p>
            <w:pPr>
              <w:adjustRightInd w:val="0"/>
              <w:snapToGrid w:val="0"/>
              <w:spacing w:line="460" w:lineRule="exact"/>
              <w:rPr>
                <w:rFonts w:ascii="仿宋" w:hAnsi="仿宋" w:eastAsia="仿宋" w:cs="仿宋_GB2312"/>
                <w:sz w:val="28"/>
                <w:szCs w:val="28"/>
              </w:rPr>
            </w:pPr>
            <w:r>
              <w:rPr>
                <w:rFonts w:hint="eastAsia" w:ascii="仿宋" w:hAnsi="仿宋" w:eastAsia="仿宋" w:cs="仿宋_GB2312"/>
                <w:sz w:val="28"/>
                <w:szCs w:val="28"/>
              </w:rPr>
              <w:t xml:space="preserve">                                </w:t>
            </w:r>
          </w:p>
          <w:p>
            <w:pPr>
              <w:adjustRightInd w:val="0"/>
              <w:snapToGrid w:val="0"/>
              <w:spacing w:line="460" w:lineRule="exact"/>
              <w:rPr>
                <w:rFonts w:ascii="仿宋" w:hAnsi="仿宋" w:eastAsia="仿宋" w:cs="仿宋_GB2312"/>
                <w:sz w:val="28"/>
                <w:szCs w:val="28"/>
              </w:rPr>
            </w:pPr>
          </w:p>
          <w:p>
            <w:pPr>
              <w:adjustRightInd w:val="0"/>
              <w:snapToGrid w:val="0"/>
              <w:spacing w:line="460" w:lineRule="exact"/>
              <w:rPr>
                <w:rFonts w:ascii="仿宋" w:hAnsi="仿宋" w:eastAsia="仿宋" w:cs="仿宋_GB2312"/>
                <w:sz w:val="28"/>
                <w:szCs w:val="28"/>
              </w:rPr>
            </w:pPr>
            <w:r>
              <w:rPr>
                <w:rFonts w:hint="eastAsia" w:ascii="仿宋" w:hAnsi="仿宋" w:eastAsia="仿宋" w:cs="仿宋_GB2312"/>
                <w:sz w:val="28"/>
                <w:szCs w:val="28"/>
              </w:rPr>
              <w:t xml:space="preserve">经办人：           审核人：            审批人：                                         </w:t>
            </w:r>
          </w:p>
          <w:p>
            <w:pPr>
              <w:adjustRightInd w:val="0"/>
              <w:snapToGrid w:val="0"/>
              <w:spacing w:line="460" w:lineRule="exact"/>
              <w:rPr>
                <w:rFonts w:ascii="仿宋" w:hAnsi="仿宋" w:eastAsia="仿宋" w:cs="仿宋_GB2312"/>
                <w:sz w:val="28"/>
                <w:szCs w:val="28"/>
              </w:rPr>
            </w:pPr>
          </w:p>
          <w:p>
            <w:pPr>
              <w:adjustRightInd w:val="0"/>
              <w:snapToGrid w:val="0"/>
              <w:spacing w:line="460" w:lineRule="exact"/>
              <w:rPr>
                <w:rFonts w:ascii="仿宋" w:hAnsi="仿宋" w:eastAsia="仿宋" w:cs="仿宋_GB2312"/>
                <w:sz w:val="28"/>
                <w:szCs w:val="28"/>
              </w:rPr>
            </w:pPr>
          </w:p>
          <w:p>
            <w:pPr>
              <w:adjustRightInd w:val="0"/>
              <w:snapToGrid w:val="0"/>
              <w:spacing w:line="460" w:lineRule="exact"/>
              <w:ind w:firstLine="6440" w:firstLineChars="2300"/>
              <w:rPr>
                <w:rFonts w:ascii="仿宋" w:hAnsi="仿宋" w:eastAsia="仿宋" w:cs="仿宋_GB2312"/>
                <w:sz w:val="28"/>
                <w:szCs w:val="28"/>
              </w:rPr>
            </w:pPr>
            <w:r>
              <w:rPr>
                <w:rFonts w:hint="eastAsia" w:ascii="仿宋" w:hAnsi="仿宋" w:eastAsia="仿宋" w:cs="仿宋_GB2312"/>
                <w:sz w:val="28"/>
                <w:szCs w:val="28"/>
              </w:rPr>
              <w:t>（公章）</w:t>
            </w:r>
          </w:p>
          <w:p>
            <w:pPr>
              <w:adjustRightInd w:val="0"/>
              <w:snapToGrid w:val="0"/>
              <w:spacing w:line="460" w:lineRule="exact"/>
              <w:rPr>
                <w:szCs w:val="28"/>
              </w:rPr>
            </w:pPr>
            <w:r>
              <w:rPr>
                <w:rFonts w:hint="eastAsia" w:ascii="仿宋" w:hAnsi="仿宋" w:eastAsia="仿宋" w:cs="仿宋_GB2312"/>
                <w:sz w:val="28"/>
                <w:szCs w:val="28"/>
              </w:rPr>
              <w:t xml:space="preserve">                                          2017年 </w:t>
            </w:r>
            <w:r>
              <w:rPr>
                <w:rFonts w:hint="eastAsia" w:ascii="仿宋" w:hAnsi="仿宋" w:eastAsia="仿宋" w:cs="仿宋_GB2312"/>
                <w:sz w:val="28"/>
                <w:szCs w:val="28"/>
                <w:lang w:val="en-US" w:eastAsia="zh-CN"/>
              </w:rPr>
              <w:t>01</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16</w:t>
            </w:r>
            <w:r>
              <w:rPr>
                <w:rFonts w:hint="eastAsia" w:ascii="仿宋" w:hAnsi="仿宋" w:eastAsia="仿宋" w:cs="仿宋_GB2312"/>
                <w:sz w:val="28"/>
                <w:szCs w:val="28"/>
              </w:rPr>
              <w:t xml:space="preserve">日 </w:t>
            </w:r>
            <w:r>
              <w:rPr>
                <w:rFonts w:hint="eastAsia" w:ascii="仿宋_GB2312" w:hAnsi="仿宋_GB2312" w:eastAsia="仿宋_GB2312" w:cs="仿宋_GB2312"/>
                <w:sz w:val="28"/>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D800DC0"/>
    <w:rsid w:val="009D43FF"/>
    <w:rsid w:val="00BA1004"/>
    <w:rsid w:val="033E59CB"/>
    <w:rsid w:val="0D4072E4"/>
    <w:rsid w:val="0D8F5AEA"/>
    <w:rsid w:val="4FF93A3B"/>
    <w:rsid w:val="6C4423E2"/>
    <w:rsid w:val="7D800DC0"/>
    <w:rsid w:val="7FF4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370</Words>
  <Characters>2112</Characters>
  <Lines>17</Lines>
  <Paragraphs>4</Paragraphs>
  <ScaleCrop>false</ScaleCrop>
  <LinksUpToDate>false</LinksUpToDate>
  <CharactersWithSpaces>2478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2017-12-28T09:05:00Z</dcterms:created>
  <dc:creator>王芳</dc:creator>
  <cp:lastModifiedBy>鱼丸粗面</cp:lastModifiedBy>
  <dcterms:modified xsi:type="dcterms:W3CDTF">2018-01-24T06:50:10Z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