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永城市新大吉建筑设备有限公司年加工铝合金门窗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  <w:t>8000套，护栏5000米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环境影响报告表》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永城市新大吉建筑设备有限公司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巢湖中环环境科学研究有限公司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编制完成的《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永城市新大吉建筑设备有限公司年收加工铝合金门窗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8000套，护栏5000米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环境影响报告表（报批版）》（以下简称《报告表》）已收悉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建设地点位于永城市演集镇胡楼村胡楼组，租赁现有厂房占地面积4666.69平方米，总投资500万元，其中环保投资12.5万元。该审批项目已在永城市政府网站公示期满，公示期无异议。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一、该《报告表》内容符合国家有关法律法规要求和建设项目环境管理规定，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申报内容全面，环评结论可信，我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原则同意你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（一）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项目应全面落实《报告表》提出的各项环境保护措施，并重点做好以下工作：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废水：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本项目废水主要为生活污水，经化粪池沉淀后进入第四污水处理厂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噪声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：本项目噪声源强主要来自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切割机、焊机等设备产生的噪声，通过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车间密闭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和厂围墙屏障衰减等措施后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厂界噪声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满足《工业企业厂界环境噪声排放标准》（GB12348－2008）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2类标准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要求（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夜间不生产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废气：本项目产生的废气主要有切割烟尘，采用移动式净化设备进行处理;钢材在焊接过程中产生的焊接烟尘，经移动式焊接吸尘器处理后排放；喷塑粉尘，本项目喷塑过程中产生的粉尘采用活性炭漆雾废气处理箱处理后，须满足《大气污染物综合排放标准》（GB1627-1996）表2二级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生活垃圾和不可回收的废杂物，由环卫部门统一清运，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不得随意丢弃，钢管、钢材的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废边角料、金属屑、废焊材收集后统一外售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（二）、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企业应加强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管理,不得回收任何危险废物，收购过程中如发现放射装置应及时通知环保部门，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同时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做好风险防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措施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（三）、如果今后国家或省颁布严于本批复指标的新标准，届时你公司按新标准执行。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四、企业应严格执行环保“三同时”制度，并接受环保部门日常监督和管理。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五、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应严格按照环评及批复要求进行建设，不得擅自改变生产工艺，本批复有效期为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年，如该项目逾期方开工建设，其环境影响报告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应报我局重新审核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经办人：            审核人：           审批人：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21336"/>
    <w:rsid w:val="0D4F75D2"/>
    <w:rsid w:val="1B32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2018-01-16T23:43:00Z</dcterms:created>
  <dc:creator>王芳</dc:creator>
  <cp:lastModifiedBy>王芳</cp:lastModifiedBy>
  <dcterms:modified xsi:type="dcterms:W3CDTF">2018-01-22T03:12:08Z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