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color w:val="auto"/>
          <w:sz w:val="52"/>
          <w:lang w:val="en-US" w:eastAsia="zh-CN"/>
        </w:rPr>
      </w:pPr>
    </w:p>
    <w:p>
      <w:pPr>
        <w:jc w:val="center"/>
        <w:rPr>
          <w:b/>
          <w:color w:val="auto"/>
          <w:szCs w:val="21"/>
        </w:rPr>
      </w:pPr>
    </w:p>
    <w:p>
      <w:pPr>
        <w:jc w:val="center"/>
        <w:rPr>
          <w:b/>
          <w:color w:val="auto"/>
          <w:sz w:val="52"/>
        </w:rPr>
      </w:pPr>
    </w:p>
    <w:p>
      <w:pPr>
        <w:jc w:val="center"/>
        <w:rPr>
          <w:b/>
          <w:color w:val="auto"/>
          <w:sz w:val="72"/>
          <w:szCs w:val="72"/>
        </w:rPr>
      </w:pPr>
      <w:r>
        <w:rPr>
          <w:rFonts w:hint="eastAsia"/>
          <w:b/>
          <w:color w:val="auto"/>
          <w:sz w:val="72"/>
          <w:szCs w:val="72"/>
        </w:rPr>
        <w:t>建设项目环境影响报告表</w:t>
      </w:r>
    </w:p>
    <w:p>
      <w:pPr>
        <w:jc w:val="center"/>
        <w:rPr>
          <w:rFonts w:hint="eastAsia"/>
          <w:b/>
          <w:color w:val="auto"/>
          <w:sz w:val="36"/>
          <w:szCs w:val="21"/>
          <w:lang w:eastAsia="zh-CN"/>
        </w:rPr>
      </w:pPr>
      <w:r>
        <w:rPr>
          <w:rFonts w:hint="eastAsia"/>
          <w:b/>
          <w:color w:val="auto"/>
          <w:sz w:val="36"/>
          <w:szCs w:val="21"/>
          <w:lang w:eastAsia="zh-CN"/>
        </w:rPr>
        <w:t>（</w:t>
      </w:r>
      <w:r>
        <w:rPr>
          <w:rFonts w:hint="eastAsia"/>
          <w:b/>
          <w:color w:val="auto"/>
          <w:sz w:val="36"/>
          <w:szCs w:val="21"/>
          <w:lang w:val="en-US" w:eastAsia="zh-CN"/>
        </w:rPr>
        <w:t>污染影响类</w:t>
      </w:r>
      <w:r>
        <w:rPr>
          <w:rFonts w:hint="eastAsia"/>
          <w:b/>
          <w:color w:val="auto"/>
          <w:sz w:val="36"/>
          <w:szCs w:val="21"/>
          <w:lang w:eastAsia="zh-CN"/>
        </w:rPr>
        <w:t>）</w:t>
      </w:r>
    </w:p>
    <w:p>
      <w:pPr>
        <w:jc w:val="center"/>
        <w:rPr>
          <w:rFonts w:hint="eastAsia" w:eastAsia="宋体"/>
          <w:b/>
          <w:color w:val="auto"/>
          <w:sz w:val="32"/>
          <w:szCs w:val="20"/>
          <w:lang w:eastAsia="zh-CN"/>
        </w:rPr>
      </w:pPr>
    </w:p>
    <w:p>
      <w:pPr>
        <w:spacing w:line="360" w:lineRule="auto"/>
        <w:rPr>
          <w:color w:val="auto"/>
          <w:sz w:val="36"/>
          <w:u w:val="single"/>
        </w:rPr>
      </w:pPr>
    </w:p>
    <w:p>
      <w:pPr>
        <w:spacing w:line="360" w:lineRule="auto"/>
        <w:rPr>
          <w:color w:val="auto"/>
          <w:sz w:val="36"/>
          <w:u w:val="single"/>
        </w:rPr>
      </w:pPr>
    </w:p>
    <w:p>
      <w:pPr>
        <w:spacing w:line="360" w:lineRule="auto"/>
        <w:rPr>
          <w:color w:val="auto"/>
          <w:sz w:val="36"/>
          <w:u w:val="single"/>
        </w:rPr>
      </w:pPr>
    </w:p>
    <w:p>
      <w:pPr>
        <w:spacing w:line="360" w:lineRule="auto"/>
        <w:rPr>
          <w:color w:val="auto"/>
          <w:sz w:val="36"/>
          <w:u w:val="single"/>
        </w:rPr>
      </w:pPr>
    </w:p>
    <w:p>
      <w:pPr>
        <w:jc w:val="center"/>
        <w:rPr>
          <w:rFonts w:hint="eastAsia"/>
          <w:b/>
          <w:color w:val="auto"/>
          <w:sz w:val="36"/>
          <w:szCs w:val="36"/>
        </w:rPr>
      </w:pPr>
    </w:p>
    <w:p>
      <w:pPr>
        <w:jc w:val="center"/>
        <w:rPr>
          <w:rFonts w:hint="eastAsia"/>
          <w:b/>
          <w:color w:val="auto"/>
          <w:sz w:val="36"/>
          <w:szCs w:val="36"/>
        </w:rPr>
      </w:pPr>
    </w:p>
    <w:p>
      <w:pPr>
        <w:keepNext w:val="0"/>
        <w:keepLines w:val="0"/>
        <w:pageBreakBefore w:val="0"/>
        <w:widowControl w:val="0"/>
        <w:kinsoku/>
        <w:wordWrap/>
        <w:overflowPunct/>
        <w:topLinePunct w:val="0"/>
        <w:autoSpaceDE/>
        <w:autoSpaceDN/>
        <w:bidi w:val="0"/>
        <w:adjustRightInd/>
        <w:snapToGrid/>
        <w:spacing w:line="800" w:lineRule="exact"/>
        <w:ind w:left="2020" w:leftChars="200" w:hanging="1600" w:hangingChars="500"/>
        <w:textAlignment w:val="auto"/>
        <w:rPr>
          <w:rFonts w:hint="default" w:ascii="Times New Roman" w:hAnsi="Times New Roman" w:eastAsia="宋体" w:cs="Times New Roman"/>
          <w:bCs/>
          <w:color w:val="auto"/>
          <w:sz w:val="28"/>
          <w:u w:val="single"/>
          <w:lang w:val="en-US"/>
        </w:rPr>
      </w:pPr>
      <w:r>
        <w:rPr>
          <w:rFonts w:hint="default" w:ascii="Times New Roman" w:hAnsi="Times New Roman" w:eastAsia="宋体" w:cs="Times New Roman"/>
          <w:bCs/>
          <w:color w:val="auto"/>
          <w:sz w:val="32"/>
          <w:szCs w:val="32"/>
        </w:rPr>
        <w:t>项目名称：</w:t>
      </w:r>
      <w:r>
        <w:rPr>
          <w:rFonts w:hint="eastAsia" w:ascii="Times New Roman" w:hAnsi="Times New Roman" w:cs="Times New Roman"/>
          <w:bCs/>
          <w:color w:val="auto"/>
          <w:sz w:val="32"/>
          <w:szCs w:val="32"/>
          <w:u w:val="single"/>
          <w:lang w:val="en-US" w:eastAsia="zh-CN"/>
        </w:rPr>
        <w:t xml:space="preserve">       年产10000吨水溶肥二期项目      </w:t>
      </w:r>
    </w:p>
    <w:p>
      <w:pPr>
        <w:keepNext w:val="0"/>
        <w:keepLines w:val="0"/>
        <w:pageBreakBefore w:val="0"/>
        <w:widowControl w:val="0"/>
        <w:kinsoku/>
        <w:wordWrap/>
        <w:overflowPunct/>
        <w:topLinePunct w:val="0"/>
        <w:autoSpaceDE/>
        <w:autoSpaceDN/>
        <w:bidi w:val="0"/>
        <w:adjustRightInd/>
        <w:snapToGrid/>
        <w:spacing w:line="800" w:lineRule="exact"/>
        <w:ind w:left="1060" w:leftChars="200" w:hanging="640" w:hangingChars="200"/>
        <w:textAlignment w:val="auto"/>
        <w:rPr>
          <w:rFonts w:hint="default" w:ascii="Times New Roman" w:hAnsi="Times New Roman" w:eastAsia="宋体" w:cs="Times New Roman"/>
          <w:bCs/>
          <w:color w:val="auto"/>
          <w:sz w:val="32"/>
          <w:szCs w:val="32"/>
        </w:rPr>
      </w:pPr>
      <w:r>
        <w:rPr>
          <w:rFonts w:hint="default" w:ascii="Times New Roman" w:hAnsi="Times New Roman" w:eastAsia="宋体" w:cs="Times New Roman"/>
          <w:bCs/>
          <w:color w:val="auto"/>
          <w:sz w:val="32"/>
          <w:szCs w:val="32"/>
        </w:rPr>
        <w:t>建设单位：</w:t>
      </w:r>
      <w:r>
        <w:rPr>
          <w:rFonts w:hint="default" w:ascii="Times New Roman" w:hAnsi="Times New Roman" w:eastAsia="宋体" w:cs="Times New Roman"/>
          <w:bCs/>
          <w:color w:val="auto"/>
          <w:sz w:val="32"/>
          <w:szCs w:val="32"/>
          <w:u w:val="single"/>
          <w:lang w:val="en-US" w:eastAsia="zh-CN"/>
        </w:rPr>
        <w:t xml:space="preserve">   </w:t>
      </w:r>
      <w:r>
        <w:rPr>
          <w:rFonts w:hint="eastAsia" w:ascii="Times New Roman" w:hAnsi="Times New Roman" w:cs="Times New Roman"/>
          <w:bCs/>
          <w:color w:val="auto"/>
          <w:sz w:val="32"/>
          <w:szCs w:val="32"/>
          <w:u w:val="single"/>
          <w:lang w:val="en-US" w:eastAsia="zh-CN"/>
        </w:rPr>
        <w:t xml:space="preserve"> 上海大井生物工程有限公司永城分公司</w:t>
      </w:r>
      <w:r>
        <w:rPr>
          <w:rFonts w:hint="default" w:ascii="Times New Roman" w:hAnsi="Times New Roman" w:eastAsia="宋体" w:cs="Times New Roman"/>
          <w:bCs/>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800" w:lineRule="exact"/>
        <w:ind w:left="1060" w:leftChars="200" w:hanging="640" w:hangingChars="200"/>
        <w:textAlignment w:val="auto"/>
        <w:rPr>
          <w:rFonts w:hint="eastAsia" w:ascii="Times New Roman" w:hAnsi="Times New Roman" w:eastAsia="宋体" w:cs="Times New Roman"/>
          <w:bCs/>
          <w:color w:val="auto"/>
          <w:sz w:val="32"/>
          <w:szCs w:val="32"/>
        </w:rPr>
      </w:pPr>
      <w:r>
        <w:rPr>
          <w:rFonts w:hint="default" w:ascii="Times New Roman" w:hAnsi="Times New Roman" w:eastAsia="宋体" w:cs="Times New Roman"/>
          <w:bCs/>
          <w:color w:val="auto"/>
          <w:sz w:val="32"/>
          <w:szCs w:val="32"/>
          <w:lang w:val="en-US" w:eastAsia="zh-CN"/>
        </w:rPr>
        <w:t>编制日期</w:t>
      </w:r>
      <w:r>
        <w:rPr>
          <w:rFonts w:hint="default" w:ascii="Times New Roman" w:hAnsi="Times New Roman" w:eastAsia="宋体" w:cs="Times New Roman"/>
          <w:bCs/>
          <w:color w:val="auto"/>
          <w:sz w:val="32"/>
          <w:szCs w:val="32"/>
        </w:rPr>
        <w:t>：</w:t>
      </w:r>
      <w:r>
        <w:rPr>
          <w:rFonts w:hint="default" w:ascii="Times New Roman" w:hAnsi="Times New Roman" w:eastAsia="宋体" w:cs="Times New Roman"/>
          <w:bCs/>
          <w:color w:val="auto"/>
          <w:sz w:val="32"/>
          <w:szCs w:val="32"/>
          <w:u w:val="single"/>
          <w:lang w:val="en-US" w:eastAsia="zh-CN"/>
        </w:rPr>
        <w:t xml:space="preserve">            202</w:t>
      </w:r>
      <w:r>
        <w:rPr>
          <w:rFonts w:hint="eastAsia" w:ascii="Times New Roman" w:hAnsi="Times New Roman" w:cs="Times New Roman"/>
          <w:bCs/>
          <w:color w:val="auto"/>
          <w:sz w:val="32"/>
          <w:szCs w:val="32"/>
          <w:u w:val="single"/>
          <w:lang w:val="en-US" w:eastAsia="zh-CN"/>
        </w:rPr>
        <w:t>2</w:t>
      </w:r>
      <w:r>
        <w:rPr>
          <w:rFonts w:hint="default" w:ascii="Times New Roman" w:hAnsi="Times New Roman" w:eastAsia="宋体" w:cs="Times New Roman"/>
          <w:bCs/>
          <w:color w:val="auto"/>
          <w:sz w:val="32"/>
          <w:szCs w:val="32"/>
          <w:u w:val="single"/>
          <w:lang w:val="en-US" w:eastAsia="zh-CN"/>
        </w:rPr>
        <w:t>年</w:t>
      </w:r>
      <w:r>
        <w:rPr>
          <w:rFonts w:hint="eastAsia" w:ascii="Times New Roman" w:hAnsi="Times New Roman" w:cs="Times New Roman"/>
          <w:bCs/>
          <w:color w:val="auto"/>
          <w:sz w:val="32"/>
          <w:szCs w:val="32"/>
          <w:u w:val="single"/>
          <w:lang w:val="en-US" w:eastAsia="zh-CN"/>
        </w:rPr>
        <w:t>6</w:t>
      </w:r>
      <w:r>
        <w:rPr>
          <w:rFonts w:hint="default" w:ascii="Times New Roman" w:hAnsi="Times New Roman" w:eastAsia="宋体" w:cs="Times New Roman"/>
          <w:bCs/>
          <w:color w:val="auto"/>
          <w:sz w:val="32"/>
          <w:szCs w:val="32"/>
          <w:u w:val="single"/>
          <w:lang w:val="en-US" w:eastAsia="zh-CN"/>
        </w:rPr>
        <w:t>月</w:t>
      </w:r>
      <w:r>
        <w:rPr>
          <w:rFonts w:hint="default" w:ascii="Times New Roman" w:hAnsi="Times New Roman" w:eastAsia="宋体" w:cs="Times New Roman"/>
          <w:bCs/>
          <w:color w:val="auto"/>
          <w:sz w:val="32"/>
          <w:szCs w:val="32"/>
          <w:u w:val="single"/>
        </w:rPr>
        <w:t xml:space="preserve"> </w:t>
      </w:r>
      <w:r>
        <w:rPr>
          <w:rFonts w:hint="eastAsia" w:eastAsia="宋体" w:cs="Times New Roman"/>
          <w:bCs/>
          <w:color w:val="auto"/>
          <w:sz w:val="32"/>
          <w:szCs w:val="32"/>
          <w:u w:val="single"/>
        </w:rPr>
        <w:t xml:space="preserve">   </w:t>
      </w:r>
      <w:r>
        <w:rPr>
          <w:rFonts w:hint="eastAsia" w:eastAsia="宋体" w:cs="Times New Roman"/>
          <w:bCs/>
          <w:color w:val="auto"/>
          <w:sz w:val="32"/>
          <w:szCs w:val="32"/>
          <w:u w:val="single"/>
          <w:lang w:val="en-US" w:eastAsia="zh-CN"/>
        </w:rPr>
        <w:t xml:space="preserve">     </w:t>
      </w:r>
      <w:r>
        <w:rPr>
          <w:rFonts w:hint="eastAsia" w:eastAsia="宋体" w:cs="Times New Roman"/>
          <w:bCs/>
          <w:color w:val="auto"/>
          <w:sz w:val="32"/>
          <w:szCs w:val="32"/>
          <w:u w:val="single"/>
        </w:rPr>
        <w:t xml:space="preserve"> </w:t>
      </w:r>
      <w:r>
        <w:rPr>
          <w:rFonts w:hint="eastAsia" w:eastAsia="宋体" w:cs="Times New Roman"/>
          <w:bCs/>
          <w:color w:val="auto"/>
          <w:sz w:val="32"/>
          <w:szCs w:val="32"/>
          <w:u w:val="single"/>
          <w:lang w:val="en-US" w:eastAsia="zh-CN"/>
        </w:rPr>
        <w:t xml:space="preserve">   </w:t>
      </w:r>
      <w:r>
        <w:rPr>
          <w:rFonts w:hint="eastAsia" w:eastAsia="宋体" w:cs="Times New Roman"/>
          <w:bCs/>
          <w:color w:val="auto"/>
          <w:sz w:val="32"/>
          <w:szCs w:val="32"/>
          <w:u w:val="single"/>
        </w:rPr>
        <w:t xml:space="preserve">   </w:t>
      </w:r>
    </w:p>
    <w:p>
      <w:pPr>
        <w:spacing w:line="360" w:lineRule="auto"/>
        <w:rPr>
          <w:rFonts w:hint="eastAsia"/>
          <w:color w:val="auto"/>
          <w:sz w:val="32"/>
          <w:u w:val="single"/>
        </w:rPr>
      </w:pPr>
    </w:p>
    <w:p>
      <w:pPr>
        <w:spacing w:line="360" w:lineRule="auto"/>
        <w:rPr>
          <w:rFonts w:hint="eastAsia"/>
          <w:color w:val="auto"/>
          <w:sz w:val="32"/>
          <w:u w:val="single"/>
        </w:rPr>
      </w:pPr>
    </w:p>
    <w:p>
      <w:pPr>
        <w:spacing w:line="800" w:lineRule="exact"/>
        <w:ind w:left="1758" w:leftChars="304" w:hanging="1120" w:hangingChars="350"/>
        <w:jc w:val="center"/>
        <w:rPr>
          <w:rFonts w:hint="eastAsia" w:ascii="Times New Roman" w:hAnsi="Times New Roman" w:eastAsia="宋体" w:cs="Times New Roman"/>
          <w:bCs/>
          <w:color w:val="auto"/>
          <w:sz w:val="32"/>
          <w:szCs w:val="32"/>
          <w:lang w:val="en-US" w:eastAsia="zh-CN"/>
        </w:rPr>
      </w:pPr>
    </w:p>
    <w:p>
      <w:pPr>
        <w:spacing w:line="800" w:lineRule="exact"/>
        <w:ind w:left="1758" w:leftChars="304" w:hanging="1120" w:hangingChars="350"/>
        <w:jc w:val="center"/>
        <w:rPr>
          <w:rFonts w:hint="default" w:ascii="Times New Roman" w:hAnsi="Times New Roman" w:eastAsia="宋体" w:cs="Times New Roman"/>
          <w:bCs/>
          <w:color w:val="auto"/>
          <w:sz w:val="32"/>
          <w:szCs w:val="32"/>
          <w:lang w:val="en-US" w:eastAsia="zh-CN"/>
        </w:rPr>
      </w:pPr>
      <w:r>
        <w:rPr>
          <w:rFonts w:hint="eastAsia" w:ascii="Times New Roman" w:hAnsi="Times New Roman" w:eastAsia="宋体" w:cs="Times New Roman"/>
          <w:bCs/>
          <w:color w:val="auto"/>
          <w:sz w:val="32"/>
          <w:szCs w:val="32"/>
          <w:lang w:val="en-US" w:eastAsia="zh-CN"/>
        </w:rPr>
        <w:t>中华人民共和国生态环境部制</w:t>
      </w:r>
    </w:p>
    <w:p>
      <w:pPr>
        <w:rPr>
          <w:rFonts w:hint="eastAsia"/>
          <w:color w:val="auto"/>
        </w:rPr>
      </w:pPr>
    </w:p>
    <w:p>
      <w:pPr>
        <w:jc w:val="center"/>
        <w:rPr>
          <w:rFonts w:hint="eastAsia" w:ascii="黑体" w:hAnsi="黑体" w:eastAsia="黑体" w:cs="黑体"/>
          <w:color w:val="auto"/>
          <w:sz w:val="28"/>
          <w:szCs w:val="36"/>
          <w:lang w:val="en-US" w:eastAsia="zh-CN"/>
        </w:rPr>
        <w:sectPr>
          <w:pgSz w:w="11906" w:h="16838"/>
          <w:pgMar w:top="1440" w:right="1800" w:bottom="1440" w:left="1800" w:header="851" w:footer="992" w:gutter="0"/>
          <w:pgNumType w:fmt="decimal" w:start="1"/>
          <w:cols w:space="720" w:num="1"/>
          <w:docGrid w:type="lines" w:linePitch="312" w:charSpace="0"/>
        </w:sectPr>
      </w:pPr>
    </w:p>
    <w:p>
      <w:pPr>
        <w:jc w:val="center"/>
        <w:rPr>
          <w:rFonts w:hint="eastAsia" w:ascii="黑体" w:hAnsi="黑体" w:eastAsia="黑体" w:cs="黑体"/>
          <w:color w:val="auto"/>
          <w:sz w:val="28"/>
          <w:szCs w:val="36"/>
          <w:lang w:val="en-US" w:eastAsia="zh-CN"/>
        </w:rPr>
      </w:pPr>
      <w:r>
        <w:rPr>
          <w:rFonts w:hint="eastAsia" w:ascii="黑体" w:hAnsi="黑体" w:eastAsia="黑体" w:cs="黑体"/>
          <w:color w:val="auto"/>
          <w:sz w:val="28"/>
          <w:szCs w:val="36"/>
          <w:lang w:val="en-US" w:eastAsia="zh-CN"/>
        </w:rPr>
        <w:t>一、建设项目基本情况</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246"/>
        <w:gridCol w:w="1448"/>
        <w:gridCol w:w="3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建设项目名称</w:t>
            </w:r>
          </w:p>
        </w:tc>
        <w:tc>
          <w:tcPr>
            <w:tcW w:w="73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年产10000吨水溶肥二期项目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项目代码</w:t>
            </w:r>
          </w:p>
        </w:tc>
        <w:tc>
          <w:tcPr>
            <w:tcW w:w="73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highlight w:val="none"/>
                <w:lang w:val="en-US" w:eastAsia="zh-CN"/>
              </w:rPr>
              <w:t>2203-411481-04-01-667780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建设单位联系人</w:t>
            </w:r>
          </w:p>
        </w:tc>
        <w:tc>
          <w:tcPr>
            <w:tcW w:w="22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p>
        </w:tc>
        <w:tc>
          <w:tcPr>
            <w:tcW w:w="14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联系方式</w:t>
            </w:r>
          </w:p>
        </w:tc>
        <w:tc>
          <w:tcPr>
            <w:tcW w:w="3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建设地点</w:t>
            </w:r>
          </w:p>
        </w:tc>
        <w:tc>
          <w:tcPr>
            <w:tcW w:w="73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永城市产业集聚区南外环与芒砀路南段交叉口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地理坐标</w:t>
            </w:r>
          </w:p>
        </w:tc>
        <w:tc>
          <w:tcPr>
            <w:tcW w:w="73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w:t>
            </w:r>
            <w:r>
              <w:rPr>
                <w:rFonts w:hint="default" w:ascii="Times New Roman" w:hAnsi="Times New Roman" w:eastAsia="宋体" w:cs="Times New Roman"/>
                <w:color w:val="auto"/>
                <w:sz w:val="24"/>
                <w:szCs w:val="32"/>
                <w:u w:val="single"/>
                <w:vertAlign w:val="baseline"/>
                <w:lang w:val="en-US" w:eastAsia="zh-CN"/>
              </w:rPr>
              <w:t>11</w:t>
            </w:r>
            <w:r>
              <w:rPr>
                <w:rFonts w:hint="eastAsia" w:ascii="Times New Roman" w:hAnsi="Times New Roman" w:cs="Times New Roman"/>
                <w:color w:val="auto"/>
                <w:sz w:val="24"/>
                <w:szCs w:val="32"/>
                <w:u w:val="single"/>
                <w:vertAlign w:val="baseline"/>
                <w:lang w:val="en-US" w:eastAsia="zh-CN"/>
              </w:rPr>
              <w:t>6</w:t>
            </w:r>
            <w:r>
              <w:rPr>
                <w:rFonts w:hint="default" w:ascii="Times New Roman" w:hAnsi="Times New Roman" w:eastAsia="宋体" w:cs="Times New Roman"/>
                <w:color w:val="auto"/>
                <w:sz w:val="24"/>
                <w:szCs w:val="32"/>
                <w:vertAlign w:val="baseline"/>
                <w:lang w:val="en-US" w:eastAsia="zh-CN"/>
              </w:rPr>
              <w:t>度</w:t>
            </w:r>
            <w:r>
              <w:rPr>
                <w:rFonts w:hint="eastAsia" w:ascii="Times New Roman" w:hAnsi="Times New Roman" w:cs="Times New Roman"/>
                <w:color w:val="auto"/>
                <w:sz w:val="24"/>
                <w:szCs w:val="32"/>
                <w:u w:val="single"/>
                <w:vertAlign w:val="baseline"/>
                <w:lang w:val="en-US" w:eastAsia="zh-CN"/>
              </w:rPr>
              <w:t>25</w:t>
            </w:r>
            <w:r>
              <w:rPr>
                <w:rFonts w:hint="default" w:ascii="Times New Roman" w:hAnsi="Times New Roman" w:eastAsia="宋体" w:cs="Times New Roman"/>
                <w:color w:val="auto"/>
                <w:sz w:val="24"/>
                <w:szCs w:val="32"/>
                <w:vertAlign w:val="baseline"/>
                <w:lang w:val="en-US" w:eastAsia="zh-CN"/>
              </w:rPr>
              <w:t>分</w:t>
            </w:r>
            <w:r>
              <w:rPr>
                <w:rFonts w:hint="eastAsia" w:ascii="Times New Roman" w:hAnsi="Times New Roman" w:cs="Times New Roman"/>
                <w:color w:val="auto"/>
                <w:sz w:val="24"/>
                <w:szCs w:val="32"/>
                <w:u w:val="single"/>
                <w:vertAlign w:val="baseline"/>
                <w:lang w:val="en-US" w:eastAsia="zh-CN"/>
              </w:rPr>
              <w:t>44.391</w:t>
            </w:r>
            <w:r>
              <w:rPr>
                <w:rFonts w:hint="default" w:ascii="Times New Roman" w:hAnsi="Times New Roman" w:eastAsia="宋体" w:cs="Times New Roman"/>
                <w:color w:val="auto"/>
                <w:sz w:val="24"/>
                <w:szCs w:val="32"/>
                <w:vertAlign w:val="baseline"/>
                <w:lang w:val="en-US" w:eastAsia="zh-CN"/>
              </w:rPr>
              <w:t>秒，</w:t>
            </w:r>
            <w:r>
              <w:rPr>
                <w:rFonts w:hint="default" w:ascii="Times New Roman" w:hAnsi="Times New Roman" w:eastAsia="宋体" w:cs="Times New Roman"/>
                <w:color w:val="auto"/>
                <w:sz w:val="24"/>
                <w:szCs w:val="32"/>
                <w:u w:val="single"/>
                <w:vertAlign w:val="baseline"/>
                <w:lang w:val="en-US" w:eastAsia="zh-CN"/>
              </w:rPr>
              <w:t>3</w:t>
            </w:r>
            <w:r>
              <w:rPr>
                <w:rFonts w:hint="eastAsia" w:ascii="Times New Roman" w:hAnsi="Times New Roman" w:cs="Times New Roman"/>
                <w:color w:val="auto"/>
                <w:sz w:val="24"/>
                <w:szCs w:val="32"/>
                <w:u w:val="single"/>
                <w:vertAlign w:val="baseline"/>
                <w:lang w:val="en-US" w:eastAsia="zh-CN"/>
              </w:rPr>
              <w:t>3</w:t>
            </w:r>
            <w:r>
              <w:rPr>
                <w:rFonts w:hint="default" w:ascii="Times New Roman" w:hAnsi="Times New Roman" w:eastAsia="宋体" w:cs="Times New Roman"/>
                <w:color w:val="auto"/>
                <w:sz w:val="24"/>
                <w:szCs w:val="32"/>
                <w:vertAlign w:val="baseline"/>
                <w:lang w:val="en-US" w:eastAsia="zh-CN"/>
              </w:rPr>
              <w:t>度</w:t>
            </w:r>
            <w:r>
              <w:rPr>
                <w:rFonts w:hint="eastAsia" w:ascii="Times New Roman" w:hAnsi="Times New Roman" w:cs="Times New Roman"/>
                <w:color w:val="auto"/>
                <w:sz w:val="24"/>
                <w:szCs w:val="32"/>
                <w:u w:val="single"/>
                <w:vertAlign w:val="baseline"/>
                <w:lang w:val="en-US" w:eastAsia="zh-CN"/>
              </w:rPr>
              <w:t>52</w:t>
            </w:r>
            <w:r>
              <w:rPr>
                <w:rFonts w:hint="default" w:ascii="Times New Roman" w:hAnsi="Times New Roman" w:eastAsia="宋体" w:cs="Times New Roman"/>
                <w:color w:val="auto"/>
                <w:sz w:val="24"/>
                <w:szCs w:val="32"/>
                <w:vertAlign w:val="baseline"/>
                <w:lang w:val="en-US" w:eastAsia="zh-CN"/>
              </w:rPr>
              <w:t>分</w:t>
            </w:r>
            <w:r>
              <w:rPr>
                <w:rFonts w:hint="eastAsia" w:ascii="Times New Roman" w:hAnsi="Times New Roman" w:cs="Times New Roman"/>
                <w:color w:val="auto"/>
                <w:sz w:val="24"/>
                <w:szCs w:val="32"/>
                <w:u w:val="single"/>
                <w:vertAlign w:val="baseline"/>
                <w:lang w:val="en-US" w:eastAsia="zh-CN"/>
              </w:rPr>
              <w:t>18.345</w:t>
            </w:r>
            <w:r>
              <w:rPr>
                <w:rFonts w:hint="default" w:ascii="Times New Roman" w:hAnsi="Times New Roman" w:eastAsia="宋体" w:cs="Times New Roman"/>
                <w:color w:val="auto"/>
                <w:sz w:val="24"/>
                <w:szCs w:val="32"/>
                <w:vertAlign w:val="baseline"/>
                <w:lang w:val="en-US" w:eastAsia="zh-CN"/>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国民经济行业类别</w:t>
            </w:r>
          </w:p>
        </w:tc>
        <w:tc>
          <w:tcPr>
            <w:tcW w:w="22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highlight w:val="none"/>
                <w:lang w:val="en-US" w:eastAsia="zh-CN"/>
              </w:rPr>
              <w:t>C</w:t>
            </w:r>
            <w:r>
              <w:rPr>
                <w:rFonts w:hint="eastAsia" w:ascii="Times New Roman" w:hAnsi="Times New Roman" w:cs="Times New Roman"/>
                <w:color w:val="auto"/>
                <w:sz w:val="24"/>
                <w:highlight w:val="none"/>
                <w:lang w:val="en-US" w:eastAsia="zh-CN"/>
              </w:rPr>
              <w:t>2629 其他肥料制造</w:t>
            </w:r>
          </w:p>
        </w:tc>
        <w:tc>
          <w:tcPr>
            <w:tcW w:w="14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建设项目行业类别</w:t>
            </w:r>
          </w:p>
        </w:tc>
        <w:tc>
          <w:tcPr>
            <w:tcW w:w="3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二十三、化学原料和化学制品制造业25，45、肥料制造262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建设性质</w:t>
            </w:r>
          </w:p>
        </w:tc>
        <w:tc>
          <w:tcPr>
            <w:tcW w:w="22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eastAsia="zh-CN"/>
              </w:rPr>
              <w:sym w:font="Wingdings 2" w:char="00A3"/>
            </w:r>
            <w:r>
              <w:rPr>
                <w:rFonts w:hint="default" w:ascii="Times New Roman" w:hAnsi="Times New Roman" w:eastAsia="宋体" w:cs="Times New Roman"/>
                <w:color w:val="auto"/>
                <w:sz w:val="24"/>
                <w:szCs w:val="24"/>
              </w:rPr>
              <w:t>新建（迁建）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改建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eastAsia="zh-CN"/>
              </w:rPr>
              <w:sym w:font="Wingdings 2" w:char="0052"/>
            </w:r>
            <w:r>
              <w:rPr>
                <w:rFonts w:hint="default" w:ascii="Times New Roman" w:hAnsi="Times New Roman" w:eastAsia="宋体" w:cs="Times New Roman"/>
                <w:color w:val="auto"/>
                <w:sz w:val="24"/>
                <w:szCs w:val="24"/>
              </w:rPr>
              <w:t>扩建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技术改造</w:t>
            </w:r>
          </w:p>
        </w:tc>
        <w:tc>
          <w:tcPr>
            <w:tcW w:w="14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建设项目申报情形</w:t>
            </w:r>
          </w:p>
        </w:tc>
        <w:tc>
          <w:tcPr>
            <w:tcW w:w="3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首次申报项目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不予批准后再次申报项目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超五年重新审核项目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5" w:hRule="atLeast"/>
        </w:trPr>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项目审批（核准/备案）部门（选填）</w:t>
            </w:r>
          </w:p>
        </w:tc>
        <w:tc>
          <w:tcPr>
            <w:tcW w:w="22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szCs w:val="24"/>
                <w:lang w:val="en-US" w:eastAsia="zh-CN"/>
              </w:rPr>
              <w:t>永城市产业集聚区管理委员会</w:t>
            </w:r>
          </w:p>
        </w:tc>
        <w:tc>
          <w:tcPr>
            <w:tcW w:w="14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项目审批（核准/备案）文号（选填）</w:t>
            </w:r>
          </w:p>
        </w:tc>
        <w:tc>
          <w:tcPr>
            <w:tcW w:w="3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2203-411481-04-01-667780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总投资（万元）</w:t>
            </w:r>
          </w:p>
        </w:tc>
        <w:tc>
          <w:tcPr>
            <w:tcW w:w="22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1</w:t>
            </w:r>
            <w:r>
              <w:rPr>
                <w:rFonts w:hint="default" w:ascii="Times New Roman" w:hAnsi="Times New Roman" w:eastAsia="宋体" w:cs="Times New Roman"/>
                <w:color w:val="auto"/>
                <w:sz w:val="24"/>
                <w:szCs w:val="32"/>
                <w:vertAlign w:val="baseline"/>
                <w:lang w:val="en-US" w:eastAsia="zh-CN"/>
              </w:rPr>
              <w:t>00</w:t>
            </w:r>
            <w:r>
              <w:rPr>
                <w:rFonts w:hint="eastAsia" w:ascii="Times New Roman" w:hAnsi="Times New Roman" w:cs="Times New Roman"/>
                <w:color w:val="auto"/>
                <w:sz w:val="24"/>
                <w:szCs w:val="32"/>
                <w:vertAlign w:val="baseline"/>
                <w:lang w:val="en-US" w:eastAsia="zh-CN"/>
              </w:rPr>
              <w:t>00</w:t>
            </w:r>
          </w:p>
        </w:tc>
        <w:tc>
          <w:tcPr>
            <w:tcW w:w="14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环保投资（万元）</w:t>
            </w:r>
          </w:p>
        </w:tc>
        <w:tc>
          <w:tcPr>
            <w:tcW w:w="3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环保投资占比（%）</w:t>
            </w:r>
          </w:p>
        </w:tc>
        <w:tc>
          <w:tcPr>
            <w:tcW w:w="22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1</w:t>
            </w:r>
          </w:p>
        </w:tc>
        <w:tc>
          <w:tcPr>
            <w:tcW w:w="14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施工工期</w:t>
            </w:r>
          </w:p>
        </w:tc>
        <w:tc>
          <w:tcPr>
            <w:tcW w:w="3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90</w:t>
            </w:r>
            <w:r>
              <w:rPr>
                <w:rFonts w:hint="default" w:ascii="Times New Roman" w:hAnsi="Times New Roman" w:eastAsia="宋体" w:cs="Times New Roman"/>
                <w:color w:val="auto"/>
                <w:sz w:val="24"/>
                <w:szCs w:val="32"/>
                <w:vertAlign w:val="baseline"/>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是否开工建设</w:t>
            </w:r>
          </w:p>
        </w:tc>
        <w:tc>
          <w:tcPr>
            <w:tcW w:w="22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是：</w:t>
            </w:r>
            <w:r>
              <w:rPr>
                <w:rFonts w:hint="default" w:ascii="Times New Roman" w:hAnsi="Times New Roman" w:eastAsia="宋体" w:cs="Times New Roman"/>
                <w:color w:val="auto"/>
                <w:sz w:val="24"/>
                <w:szCs w:val="24"/>
                <w:u w:val="single"/>
              </w:rPr>
              <w:t xml:space="preserve">       </w:t>
            </w:r>
          </w:p>
        </w:tc>
        <w:tc>
          <w:tcPr>
            <w:tcW w:w="14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用地（用海）面积（m</w:t>
            </w:r>
            <w:r>
              <w:rPr>
                <w:rFonts w:hint="default" w:ascii="Times New Roman" w:hAnsi="Times New Roman" w:eastAsia="宋体" w:cs="Times New Roman"/>
                <w:b/>
                <w:bCs/>
                <w:color w:val="auto"/>
                <w:sz w:val="24"/>
                <w:szCs w:val="32"/>
                <w:vertAlign w:val="superscript"/>
                <w:lang w:val="en-US" w:eastAsia="zh-CN"/>
              </w:rPr>
              <w:t>2</w:t>
            </w:r>
            <w:r>
              <w:rPr>
                <w:rFonts w:hint="default" w:ascii="Times New Roman" w:hAnsi="Times New Roman" w:eastAsia="宋体" w:cs="Times New Roman"/>
                <w:b/>
                <w:bCs/>
                <w:color w:val="auto"/>
                <w:sz w:val="24"/>
                <w:szCs w:val="32"/>
                <w:vertAlign w:val="baseline"/>
                <w:lang w:val="en-US" w:eastAsia="zh-CN"/>
              </w:rPr>
              <w:t>）</w:t>
            </w:r>
          </w:p>
        </w:tc>
        <w:tc>
          <w:tcPr>
            <w:tcW w:w="3626" w:type="dxa"/>
            <w:noWrap w:val="0"/>
            <w:vAlign w:val="center"/>
          </w:tcPr>
          <w:p>
            <w:pPr>
              <w:keepNext w:val="0"/>
              <w:keepLines w:val="0"/>
              <w:widowControl/>
              <w:suppressLineNumbers w:val="0"/>
              <w:jc w:val="center"/>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不新增用地面积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专项评价设置情况</w:t>
            </w:r>
          </w:p>
        </w:tc>
        <w:tc>
          <w:tcPr>
            <w:tcW w:w="73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规划情况</w:t>
            </w:r>
          </w:p>
        </w:tc>
        <w:tc>
          <w:tcPr>
            <w:tcW w:w="7320" w:type="dxa"/>
            <w:gridSpan w:val="3"/>
            <w:noWrap w:val="0"/>
            <w:vAlign w:val="center"/>
          </w:tcPr>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永城市产业集聚区包括东、西两个片区。其中：东片区规划范围北起永淮路，南到沱河北岸，西至科源大道，东至神火东路，规划面积6.7平方公里；西片区规划范围北起沱河南路，南到龙沟路，东至东环路，西至青东路，规划面积19.12平方公里。河南省生态环境厅依《豫环函【2018】184号》号进行批复，《永城市产业集聚区发展规划调整（2012-2020）环境影响报告书》由苏州科太环境技术有限公司编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规划环境影响评价情况</w:t>
            </w:r>
          </w:p>
        </w:tc>
        <w:tc>
          <w:tcPr>
            <w:tcW w:w="7320"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《永城市产业集聚区发展规划调整（2012-2020）环境影响报告书》由苏州科太环境技术有限公司2018年2月编制完成。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规划及规划环境影响评价符合性分析</w:t>
            </w:r>
          </w:p>
        </w:tc>
        <w:tc>
          <w:tcPr>
            <w:tcW w:w="73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永城市产业集聚区发展定位：立足现有工业基础，在继续做大做强煤化工产业的基础上，延伸煤化工、铝精深加工和装备制造产业链，调整产业结构，转变经济增长方式，依靠创新和技术进步求发展。把“黑色经济”做深，不断向下游延伸；将三大主导产业密切支撑， 形成一个耦合的产业循环体系，不断提高产品的技术含量，树立产品品牌，提高效益，从战略高度谋划产业发展，抢占未来竞争制高点。按照永城市产业集聚区发展总体思路和理念，到2020年，永城市产业集聚区将成为：全国重要的煤化工生产基地、河南重要的铝精深加工基地、以矿山机械制造为主的装备制造业基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主导产业：西片区以煤化工、装备制造为主导产业，适当发展食品加工业作为辅助产业。东片区以铝精深加工为主导产业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总体布局：集聚区空间结构布局表现为“两轴、两区”空间架构。 两区：即东部铝精深加工产业区、西部装备制造、煤化工产业区、食品加工产业园。二轴：西区以永青铁路为主要发展轴线向东西两侧发展，东区以科源大道为主要发展轴线向东西两侧发展。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本项目与永城市产业集聚区项目准入条件相符性分析见下表</w:t>
            </w:r>
            <w:r>
              <w:rPr>
                <w:rFonts w:hint="eastAsia" w:ascii="Times New Roman" w:hAnsi="Times New Roman" w:cs="Times New Roman"/>
                <w:color w:val="auto"/>
                <w:sz w:val="24"/>
                <w:szCs w:val="32"/>
                <w:vertAlign w:val="baseline"/>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eastAsia="宋体" w:cs="Times New Roman"/>
                <w:b/>
                <w:bCs/>
                <w:color w:val="auto"/>
                <w:kern w:val="0"/>
                <w:sz w:val="21"/>
                <w:szCs w:val="21"/>
                <w:u w:val="none"/>
                <w:lang w:val="en-US" w:eastAsia="zh-CN"/>
              </w:rPr>
            </w:pPr>
            <w:r>
              <w:rPr>
                <w:rFonts w:hint="default" w:ascii="Times New Roman" w:hAnsi="Times New Roman" w:eastAsia="宋体" w:cs="Times New Roman"/>
                <w:b/>
                <w:bCs/>
                <w:color w:val="auto"/>
                <w:kern w:val="0"/>
                <w:sz w:val="21"/>
                <w:szCs w:val="21"/>
                <w:u w:val="none"/>
                <w:lang w:val="en-US" w:eastAsia="zh-CN"/>
              </w:rPr>
              <w:t>表1</w:t>
            </w:r>
            <w:r>
              <w:rPr>
                <w:rFonts w:hint="eastAsia" w:ascii="Times New Roman" w:hAnsi="Times New Roman" w:eastAsia="宋体" w:cs="Times New Roman"/>
                <w:b/>
                <w:bCs/>
                <w:color w:val="auto"/>
                <w:kern w:val="0"/>
                <w:sz w:val="21"/>
                <w:szCs w:val="21"/>
                <w:u w:val="none"/>
                <w:lang w:val="en-US" w:eastAsia="zh-CN"/>
              </w:rPr>
              <w:t>-1</w:t>
            </w:r>
            <w:r>
              <w:rPr>
                <w:rFonts w:hint="default" w:ascii="Times New Roman" w:hAnsi="Times New Roman" w:eastAsia="宋体" w:cs="Times New Roman"/>
                <w:b/>
                <w:bCs/>
                <w:color w:val="auto"/>
                <w:kern w:val="0"/>
                <w:sz w:val="21"/>
                <w:szCs w:val="21"/>
                <w:u w:val="none"/>
                <w:lang w:val="en-US" w:eastAsia="zh-CN"/>
              </w:rPr>
              <w:t xml:space="preserve">  永城市产业集聚区项目准入条件</w:t>
            </w:r>
          </w:p>
          <w:tbl>
            <w:tblPr>
              <w:tblStyle w:val="15"/>
              <w:tblW w:w="7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3149"/>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112" w:type="dxa"/>
                  <w:tcBorders>
                    <w:tl2br w:val="nil"/>
                    <w:tr2bl w:val="nil"/>
                  </w:tcBorders>
                  <w:noWrap w:val="0"/>
                  <w:vAlign w:val="center"/>
                </w:tcPr>
                <w:p>
                  <w:pPr>
                    <w:autoSpaceDE w:val="0"/>
                    <w:autoSpaceDN w:val="0"/>
                    <w:adjustRightInd w:val="0"/>
                    <w:snapToGrid w:val="0"/>
                    <w:jc w:val="center"/>
                    <w:rPr>
                      <w:rFonts w:hint="default" w:ascii="Times New Roman" w:hAnsi="Times New Roman" w:cs="Times New Roman"/>
                      <w:b/>
                      <w:bCs/>
                      <w:color w:val="auto"/>
                      <w:kern w:val="0"/>
                      <w:sz w:val="21"/>
                      <w:szCs w:val="21"/>
                      <w:u w:val="none"/>
                      <w:lang w:val="en-US" w:eastAsia="zh-CN"/>
                    </w:rPr>
                  </w:pPr>
                  <w:r>
                    <w:rPr>
                      <w:rFonts w:hint="default" w:ascii="Times New Roman" w:hAnsi="Times New Roman" w:cs="Times New Roman"/>
                      <w:b/>
                      <w:bCs/>
                      <w:color w:val="auto"/>
                      <w:kern w:val="0"/>
                      <w:sz w:val="21"/>
                      <w:szCs w:val="21"/>
                      <w:u w:val="none"/>
                      <w:lang w:val="en-US" w:eastAsia="zh-CN"/>
                    </w:rPr>
                    <w:t>类别</w:t>
                  </w:r>
                </w:p>
              </w:tc>
              <w:tc>
                <w:tcPr>
                  <w:tcW w:w="3149" w:type="dxa"/>
                  <w:tcBorders>
                    <w:tl2br w:val="nil"/>
                    <w:tr2bl w:val="nil"/>
                  </w:tcBorders>
                  <w:noWrap w:val="0"/>
                  <w:vAlign w:val="center"/>
                </w:tcPr>
                <w:p>
                  <w:pPr>
                    <w:autoSpaceDE w:val="0"/>
                    <w:autoSpaceDN w:val="0"/>
                    <w:adjustRightInd w:val="0"/>
                    <w:snapToGrid w:val="0"/>
                    <w:jc w:val="center"/>
                    <w:rPr>
                      <w:rFonts w:hint="default" w:ascii="Times New Roman" w:hAnsi="Times New Roman" w:cs="Times New Roman"/>
                      <w:b/>
                      <w:bCs/>
                      <w:color w:val="auto"/>
                      <w:kern w:val="0"/>
                      <w:sz w:val="21"/>
                      <w:szCs w:val="21"/>
                      <w:u w:val="none"/>
                      <w:lang w:val="en-US" w:eastAsia="zh-CN"/>
                    </w:rPr>
                  </w:pPr>
                  <w:r>
                    <w:rPr>
                      <w:rFonts w:hint="default" w:ascii="Times New Roman" w:hAnsi="Times New Roman" w:cs="Times New Roman"/>
                      <w:b/>
                      <w:bCs/>
                      <w:color w:val="auto"/>
                      <w:kern w:val="0"/>
                      <w:sz w:val="21"/>
                      <w:szCs w:val="21"/>
                      <w:u w:val="none"/>
                      <w:lang w:val="en-US" w:eastAsia="zh-CN"/>
                    </w:rPr>
                    <w:t>项目准入条件</w:t>
                  </w:r>
                </w:p>
              </w:tc>
              <w:tc>
                <w:tcPr>
                  <w:tcW w:w="2829" w:type="dxa"/>
                  <w:tcBorders>
                    <w:tl2br w:val="nil"/>
                    <w:tr2bl w:val="nil"/>
                  </w:tcBorders>
                  <w:noWrap w:val="0"/>
                  <w:vAlign w:val="center"/>
                </w:tcPr>
                <w:p>
                  <w:pPr>
                    <w:autoSpaceDE w:val="0"/>
                    <w:autoSpaceDN w:val="0"/>
                    <w:adjustRightInd w:val="0"/>
                    <w:snapToGrid w:val="0"/>
                    <w:jc w:val="center"/>
                    <w:rPr>
                      <w:rFonts w:hint="default" w:ascii="Times New Roman" w:hAnsi="Times New Roman" w:cs="Times New Roman"/>
                      <w:b/>
                      <w:bCs/>
                      <w:color w:val="auto"/>
                      <w:kern w:val="0"/>
                      <w:sz w:val="21"/>
                      <w:szCs w:val="21"/>
                      <w:u w:val="none"/>
                      <w:lang w:val="en-US" w:eastAsia="zh-CN"/>
                    </w:rPr>
                  </w:pPr>
                  <w:r>
                    <w:rPr>
                      <w:rFonts w:hint="default" w:ascii="Times New Roman" w:hAnsi="Times New Roman" w:cs="Times New Roman"/>
                      <w:b/>
                      <w:bCs/>
                      <w:color w:val="auto"/>
                      <w:kern w:val="0"/>
                      <w:sz w:val="21"/>
                      <w:szCs w:val="21"/>
                      <w:u w:val="none"/>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trPr>
              <w:tc>
                <w:tcPr>
                  <w:tcW w:w="1112" w:type="dxa"/>
                  <w:tcBorders>
                    <w:tl2br w:val="nil"/>
                    <w:tr2bl w:val="nil"/>
                  </w:tcBorders>
                  <w:noWrap w:val="0"/>
                  <w:vAlign w:val="center"/>
                </w:tcPr>
                <w:p>
                  <w:pPr>
                    <w:autoSpaceDE w:val="0"/>
                    <w:autoSpaceDN w:val="0"/>
                    <w:adjustRightInd w:val="0"/>
                    <w:snapToGrid w:val="0"/>
                    <w:jc w:val="center"/>
                    <w:rPr>
                      <w:rFonts w:hint="default" w:ascii="Times New Roman" w:hAnsi="Times New Roman" w:cs="Times New Roman"/>
                      <w:b w:val="0"/>
                      <w:bCs w:val="0"/>
                      <w:color w:val="auto"/>
                      <w:kern w:val="0"/>
                      <w:sz w:val="21"/>
                      <w:szCs w:val="21"/>
                      <w:u w:val="none"/>
                      <w:lang w:val="en-US" w:eastAsia="zh-CN"/>
                    </w:rPr>
                  </w:pPr>
                  <w:r>
                    <w:rPr>
                      <w:rFonts w:hint="default" w:ascii="Times New Roman" w:hAnsi="Times New Roman" w:cs="Times New Roman"/>
                      <w:b w:val="0"/>
                      <w:bCs w:val="0"/>
                      <w:color w:val="auto"/>
                      <w:kern w:val="0"/>
                      <w:sz w:val="21"/>
                      <w:szCs w:val="21"/>
                      <w:u w:val="none"/>
                      <w:lang w:val="en-US" w:eastAsia="zh-CN"/>
                    </w:rPr>
                    <w:t>产业</w:t>
                  </w:r>
                </w:p>
              </w:tc>
              <w:tc>
                <w:tcPr>
                  <w:tcW w:w="3149" w:type="dxa"/>
                  <w:tcBorders>
                    <w:tl2br w:val="nil"/>
                    <w:tr2bl w:val="nil"/>
                  </w:tcBorders>
                  <w:noWrap w:val="0"/>
                  <w:vAlign w:val="top"/>
                </w:tcPr>
                <w:p>
                  <w:pPr>
                    <w:autoSpaceDE w:val="0"/>
                    <w:autoSpaceDN w:val="0"/>
                    <w:adjustRightInd w:val="0"/>
                    <w:snapToGrid w:val="0"/>
                    <w:jc w:val="both"/>
                    <w:rPr>
                      <w:rFonts w:hint="default" w:ascii="Times New Roman" w:hAnsi="Times New Roman" w:cs="Times New Roman"/>
                      <w:b w:val="0"/>
                      <w:bCs w:val="0"/>
                      <w:color w:val="auto"/>
                      <w:kern w:val="0"/>
                      <w:sz w:val="21"/>
                      <w:szCs w:val="21"/>
                      <w:u w:val="none"/>
                      <w:lang w:val="en-US" w:eastAsia="zh-CN"/>
                    </w:rPr>
                  </w:pPr>
                  <w:r>
                    <w:rPr>
                      <w:rFonts w:hint="default" w:ascii="Times New Roman" w:hAnsi="Times New Roman" w:cs="Times New Roman"/>
                      <w:b w:val="0"/>
                      <w:bCs w:val="0"/>
                      <w:color w:val="auto"/>
                      <w:kern w:val="0"/>
                      <w:sz w:val="21"/>
                      <w:szCs w:val="21"/>
                      <w:u w:val="none"/>
                      <w:lang w:val="en-US" w:eastAsia="zh-CN"/>
                    </w:rPr>
                    <w:t>（1）集聚区规划产业的产业链相关项目优先入区。</w:t>
                  </w:r>
                </w:p>
                <w:p>
                  <w:pPr>
                    <w:autoSpaceDE w:val="0"/>
                    <w:autoSpaceDN w:val="0"/>
                    <w:adjustRightInd w:val="0"/>
                    <w:snapToGrid w:val="0"/>
                    <w:jc w:val="both"/>
                    <w:rPr>
                      <w:rFonts w:hint="default" w:ascii="Times New Roman" w:hAnsi="Times New Roman" w:cs="Times New Roman"/>
                      <w:b w:val="0"/>
                      <w:bCs w:val="0"/>
                      <w:color w:val="auto"/>
                      <w:kern w:val="0"/>
                      <w:sz w:val="21"/>
                      <w:szCs w:val="21"/>
                      <w:u w:val="none"/>
                      <w:lang w:val="en-US" w:eastAsia="zh-CN"/>
                    </w:rPr>
                  </w:pPr>
                  <w:r>
                    <w:rPr>
                      <w:rFonts w:hint="default" w:ascii="Times New Roman" w:hAnsi="Times New Roman" w:cs="Times New Roman"/>
                      <w:b w:val="0"/>
                      <w:bCs w:val="0"/>
                      <w:color w:val="auto"/>
                      <w:kern w:val="0"/>
                      <w:sz w:val="21"/>
                      <w:szCs w:val="21"/>
                      <w:u w:val="none"/>
                      <w:lang w:val="en-US" w:eastAsia="zh-CN"/>
                    </w:rPr>
                    <w:t>（2）永煤集团、神火集团进一步拉长产品链的精细化工产品项目应优先考虑进入产业集聚区；</w:t>
                  </w:r>
                </w:p>
                <w:p>
                  <w:pPr>
                    <w:autoSpaceDE w:val="0"/>
                    <w:autoSpaceDN w:val="0"/>
                    <w:adjustRightInd w:val="0"/>
                    <w:snapToGrid w:val="0"/>
                    <w:jc w:val="both"/>
                    <w:rPr>
                      <w:rFonts w:hint="default" w:ascii="Times New Roman" w:hAnsi="Times New Roman" w:cs="Times New Roman"/>
                      <w:b w:val="0"/>
                      <w:bCs w:val="0"/>
                      <w:color w:val="auto"/>
                      <w:kern w:val="0"/>
                      <w:sz w:val="21"/>
                      <w:szCs w:val="21"/>
                      <w:u w:val="none"/>
                      <w:lang w:val="en-US" w:eastAsia="zh-CN"/>
                    </w:rPr>
                  </w:pPr>
                  <w:r>
                    <w:rPr>
                      <w:rFonts w:hint="default" w:ascii="Times New Roman" w:hAnsi="Times New Roman" w:cs="Times New Roman"/>
                      <w:b w:val="0"/>
                      <w:bCs w:val="0"/>
                      <w:color w:val="auto"/>
                      <w:kern w:val="0"/>
                      <w:sz w:val="21"/>
                      <w:szCs w:val="21"/>
                      <w:u w:val="none"/>
                      <w:lang w:val="en-US" w:eastAsia="zh-CN"/>
                    </w:rPr>
                    <w:t>（3）按国家相关产业政策，严禁淘汰和限制类工业企业入区。</w:t>
                  </w:r>
                </w:p>
              </w:tc>
              <w:tc>
                <w:tcPr>
                  <w:tcW w:w="2829" w:type="dxa"/>
                  <w:tcBorders>
                    <w:tl2br w:val="nil"/>
                    <w:tr2bl w:val="nil"/>
                  </w:tcBorders>
                  <w:noWrap w:val="0"/>
                  <w:vAlign w:val="center"/>
                </w:tcPr>
                <w:p>
                  <w:pPr>
                    <w:autoSpaceDE w:val="0"/>
                    <w:autoSpaceDN w:val="0"/>
                    <w:adjustRightInd w:val="0"/>
                    <w:snapToGrid w:val="0"/>
                    <w:jc w:val="center"/>
                    <w:rPr>
                      <w:rFonts w:hint="default" w:ascii="Times New Roman" w:hAnsi="Times New Roman" w:cs="Times New Roman"/>
                      <w:b w:val="0"/>
                      <w:bCs w:val="0"/>
                      <w:color w:val="auto"/>
                      <w:kern w:val="0"/>
                      <w:sz w:val="21"/>
                      <w:szCs w:val="21"/>
                      <w:u w:val="none"/>
                      <w:lang w:val="en-US" w:eastAsia="zh-CN"/>
                    </w:rPr>
                  </w:pPr>
                  <w:r>
                    <w:rPr>
                      <w:rFonts w:hint="default" w:ascii="Times New Roman" w:hAnsi="Times New Roman" w:cs="Times New Roman"/>
                      <w:b w:val="0"/>
                      <w:bCs w:val="0"/>
                      <w:color w:val="auto"/>
                      <w:kern w:val="0"/>
                      <w:sz w:val="21"/>
                      <w:szCs w:val="21"/>
                      <w:u w:val="none"/>
                      <w:lang w:val="en-US" w:eastAsia="zh-CN"/>
                    </w:rPr>
                    <w:t>本项目位于</w:t>
                  </w:r>
                  <w:r>
                    <w:rPr>
                      <w:rFonts w:hint="eastAsia" w:ascii="Times New Roman" w:hAnsi="Times New Roman" w:cs="Times New Roman"/>
                      <w:b w:val="0"/>
                      <w:bCs w:val="0"/>
                      <w:color w:val="auto"/>
                      <w:kern w:val="0"/>
                      <w:sz w:val="21"/>
                      <w:szCs w:val="21"/>
                      <w:u w:val="none"/>
                      <w:lang w:val="en-US" w:eastAsia="zh-CN"/>
                    </w:rPr>
                    <w:t>永城市产业集聚区南外环与芒砀路南段交叉口</w:t>
                  </w:r>
                  <w:r>
                    <w:rPr>
                      <w:rFonts w:hint="default" w:ascii="Times New Roman" w:hAnsi="Times New Roman" w:cs="Times New Roman"/>
                      <w:b w:val="0"/>
                      <w:bCs w:val="0"/>
                      <w:color w:val="auto"/>
                      <w:kern w:val="0"/>
                      <w:sz w:val="21"/>
                      <w:szCs w:val="21"/>
                      <w:u w:val="none"/>
                      <w:lang w:val="en-US" w:eastAsia="zh-CN"/>
                    </w:rPr>
                    <w:t>，为</w:t>
                  </w:r>
                  <w:r>
                    <w:rPr>
                      <w:rFonts w:hint="eastAsia" w:ascii="Times New Roman" w:hAnsi="Times New Roman" w:cs="Times New Roman"/>
                      <w:b w:val="0"/>
                      <w:bCs w:val="0"/>
                      <w:color w:val="auto"/>
                      <w:kern w:val="0"/>
                      <w:sz w:val="21"/>
                      <w:szCs w:val="21"/>
                      <w:u w:val="none"/>
                      <w:lang w:val="en-US" w:eastAsia="zh-CN"/>
                    </w:rPr>
                    <w:t>鼓励</w:t>
                  </w:r>
                  <w:r>
                    <w:rPr>
                      <w:rFonts w:hint="default" w:ascii="Times New Roman" w:hAnsi="Times New Roman" w:cs="Times New Roman"/>
                      <w:b w:val="0"/>
                      <w:bCs w:val="0"/>
                      <w:color w:val="auto"/>
                      <w:kern w:val="0"/>
                      <w:sz w:val="21"/>
                      <w:szCs w:val="21"/>
                      <w:u w:val="none"/>
                      <w:lang w:val="en-US" w:eastAsia="zh-CN"/>
                    </w:rPr>
                    <w:t>类项目，符合国家产业政策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1112" w:type="dxa"/>
                  <w:tcBorders>
                    <w:tl2br w:val="nil"/>
                    <w:tr2bl w:val="nil"/>
                  </w:tcBorders>
                  <w:noWrap w:val="0"/>
                  <w:vAlign w:val="center"/>
                </w:tcPr>
                <w:p>
                  <w:pPr>
                    <w:autoSpaceDE w:val="0"/>
                    <w:autoSpaceDN w:val="0"/>
                    <w:adjustRightInd w:val="0"/>
                    <w:snapToGrid w:val="0"/>
                    <w:jc w:val="center"/>
                    <w:rPr>
                      <w:rFonts w:hint="default" w:ascii="Times New Roman" w:hAnsi="Times New Roman" w:cs="Times New Roman"/>
                      <w:b w:val="0"/>
                      <w:bCs w:val="0"/>
                      <w:color w:val="auto"/>
                      <w:kern w:val="0"/>
                      <w:sz w:val="21"/>
                      <w:szCs w:val="21"/>
                      <w:u w:val="none"/>
                      <w:lang w:val="en-US" w:eastAsia="zh-CN"/>
                    </w:rPr>
                  </w:pPr>
                  <w:r>
                    <w:rPr>
                      <w:rFonts w:hint="default" w:ascii="Times New Roman" w:hAnsi="Times New Roman" w:cs="Times New Roman"/>
                      <w:b w:val="0"/>
                      <w:bCs w:val="0"/>
                      <w:color w:val="auto"/>
                      <w:kern w:val="0"/>
                      <w:sz w:val="21"/>
                      <w:szCs w:val="21"/>
                      <w:u w:val="none"/>
                      <w:lang w:val="en-US" w:eastAsia="zh-CN"/>
                    </w:rPr>
                    <w:t>生产规模和工艺装备水平</w:t>
                  </w:r>
                </w:p>
              </w:tc>
              <w:tc>
                <w:tcPr>
                  <w:tcW w:w="3149" w:type="dxa"/>
                  <w:tcBorders>
                    <w:tl2br w:val="nil"/>
                    <w:tr2bl w:val="nil"/>
                  </w:tcBorders>
                  <w:noWrap w:val="0"/>
                  <w:vAlign w:val="top"/>
                </w:tcPr>
                <w:p>
                  <w:pPr>
                    <w:autoSpaceDE w:val="0"/>
                    <w:autoSpaceDN w:val="0"/>
                    <w:adjustRightInd w:val="0"/>
                    <w:snapToGrid w:val="0"/>
                    <w:jc w:val="both"/>
                    <w:rPr>
                      <w:rFonts w:hint="default" w:ascii="Times New Roman" w:hAnsi="Times New Roman" w:cs="Times New Roman"/>
                      <w:b w:val="0"/>
                      <w:bCs w:val="0"/>
                      <w:color w:val="auto"/>
                      <w:kern w:val="0"/>
                      <w:sz w:val="21"/>
                      <w:szCs w:val="21"/>
                      <w:u w:val="none"/>
                      <w:lang w:val="en-US" w:eastAsia="zh-CN"/>
                    </w:rPr>
                  </w:pPr>
                  <w:r>
                    <w:rPr>
                      <w:rFonts w:hint="default" w:ascii="Times New Roman" w:hAnsi="Times New Roman" w:cs="Times New Roman"/>
                      <w:b w:val="0"/>
                      <w:bCs w:val="0"/>
                      <w:color w:val="auto"/>
                      <w:kern w:val="0"/>
                      <w:sz w:val="21"/>
                      <w:szCs w:val="21"/>
                      <w:u w:val="none"/>
                      <w:lang w:val="en-US" w:eastAsia="zh-CN"/>
                    </w:rPr>
                    <w:t>（1）入区企业建设规模应符合国家产业攻策的最小经济规模要求；（2）在生产工艺技术水平上，要求入区项目达到国内行业清洁生产定量评价基准值</w:t>
                  </w:r>
                </w:p>
              </w:tc>
              <w:tc>
                <w:tcPr>
                  <w:tcW w:w="2829" w:type="dxa"/>
                  <w:tcBorders>
                    <w:tl2br w:val="nil"/>
                    <w:tr2bl w:val="nil"/>
                  </w:tcBorders>
                  <w:noWrap w:val="0"/>
                  <w:vAlign w:val="center"/>
                </w:tcPr>
                <w:p>
                  <w:pPr>
                    <w:autoSpaceDE w:val="0"/>
                    <w:autoSpaceDN w:val="0"/>
                    <w:adjustRightInd w:val="0"/>
                    <w:snapToGrid w:val="0"/>
                    <w:jc w:val="center"/>
                    <w:rPr>
                      <w:rFonts w:hint="default" w:ascii="Times New Roman" w:hAnsi="Times New Roman" w:cs="Times New Roman"/>
                      <w:b w:val="0"/>
                      <w:bCs w:val="0"/>
                      <w:color w:val="auto"/>
                      <w:kern w:val="0"/>
                      <w:sz w:val="21"/>
                      <w:szCs w:val="21"/>
                      <w:u w:val="none"/>
                      <w:lang w:val="en-US" w:eastAsia="zh-CN"/>
                    </w:rPr>
                  </w:pPr>
                  <w:r>
                    <w:rPr>
                      <w:rFonts w:hint="default" w:ascii="Times New Roman" w:hAnsi="Times New Roman" w:cs="Times New Roman"/>
                      <w:b w:val="0"/>
                      <w:bCs w:val="0"/>
                      <w:color w:val="auto"/>
                      <w:kern w:val="0"/>
                      <w:sz w:val="21"/>
                      <w:szCs w:val="21"/>
                      <w:u w:val="none"/>
                      <w:lang w:val="en-US" w:eastAsia="zh-CN"/>
                    </w:rPr>
                    <w:t>本项目总投资</w:t>
                  </w:r>
                  <w:r>
                    <w:rPr>
                      <w:rFonts w:hint="eastAsia" w:ascii="Times New Roman" w:hAnsi="Times New Roman" w:cs="Times New Roman"/>
                      <w:b w:val="0"/>
                      <w:bCs w:val="0"/>
                      <w:color w:val="auto"/>
                      <w:kern w:val="0"/>
                      <w:sz w:val="21"/>
                      <w:szCs w:val="21"/>
                      <w:u w:val="none"/>
                      <w:lang w:val="en-US" w:eastAsia="zh-CN"/>
                    </w:rPr>
                    <w:t>10000</w:t>
                  </w:r>
                  <w:r>
                    <w:rPr>
                      <w:rFonts w:hint="default" w:ascii="Times New Roman" w:hAnsi="Times New Roman" w:cs="Times New Roman"/>
                      <w:b w:val="0"/>
                      <w:bCs w:val="0"/>
                      <w:color w:val="auto"/>
                      <w:kern w:val="0"/>
                      <w:sz w:val="21"/>
                      <w:szCs w:val="21"/>
                      <w:u w:val="none"/>
                      <w:lang w:val="en-US" w:eastAsia="zh-CN"/>
                    </w:rPr>
                    <w:t>万元，建设规模及成产工艺能够满足相应要求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112" w:type="dxa"/>
                  <w:tcBorders>
                    <w:tl2br w:val="nil"/>
                    <w:tr2bl w:val="nil"/>
                  </w:tcBorders>
                  <w:noWrap w:val="0"/>
                  <w:vAlign w:val="center"/>
                </w:tcPr>
                <w:p>
                  <w:pPr>
                    <w:autoSpaceDE w:val="0"/>
                    <w:autoSpaceDN w:val="0"/>
                    <w:adjustRightInd w:val="0"/>
                    <w:snapToGrid w:val="0"/>
                    <w:jc w:val="center"/>
                    <w:rPr>
                      <w:rFonts w:hint="default" w:ascii="Times New Roman" w:hAnsi="Times New Roman" w:cs="Times New Roman"/>
                      <w:b w:val="0"/>
                      <w:bCs w:val="0"/>
                      <w:color w:val="auto"/>
                      <w:kern w:val="0"/>
                      <w:sz w:val="21"/>
                      <w:szCs w:val="21"/>
                      <w:u w:val="none"/>
                      <w:lang w:val="en-US" w:eastAsia="zh-CN"/>
                    </w:rPr>
                  </w:pPr>
                  <w:r>
                    <w:rPr>
                      <w:rFonts w:hint="default" w:ascii="Times New Roman" w:hAnsi="Times New Roman" w:cs="Times New Roman"/>
                      <w:b w:val="0"/>
                      <w:bCs w:val="0"/>
                      <w:color w:val="auto"/>
                      <w:kern w:val="0"/>
                      <w:sz w:val="21"/>
                      <w:szCs w:val="21"/>
                      <w:u w:val="none"/>
                      <w:lang w:val="en-US" w:eastAsia="zh-CN"/>
                    </w:rPr>
                    <w:t>清洁生产水平</w:t>
                  </w:r>
                </w:p>
              </w:tc>
              <w:tc>
                <w:tcPr>
                  <w:tcW w:w="3149" w:type="dxa"/>
                  <w:tcBorders>
                    <w:tl2br w:val="nil"/>
                    <w:tr2bl w:val="nil"/>
                  </w:tcBorders>
                  <w:noWrap w:val="0"/>
                  <w:vAlign w:val="top"/>
                </w:tcPr>
                <w:p>
                  <w:pPr>
                    <w:autoSpaceDE w:val="0"/>
                    <w:autoSpaceDN w:val="0"/>
                    <w:adjustRightInd w:val="0"/>
                    <w:snapToGrid w:val="0"/>
                    <w:jc w:val="both"/>
                    <w:rPr>
                      <w:rFonts w:hint="default" w:ascii="Times New Roman" w:hAnsi="Times New Roman" w:cs="Times New Roman"/>
                      <w:b w:val="0"/>
                      <w:bCs w:val="0"/>
                      <w:color w:val="auto"/>
                      <w:kern w:val="0"/>
                      <w:sz w:val="21"/>
                      <w:szCs w:val="21"/>
                      <w:u w:val="none"/>
                      <w:lang w:val="en-US" w:eastAsia="zh-CN"/>
                    </w:rPr>
                  </w:pPr>
                  <w:r>
                    <w:rPr>
                      <w:rFonts w:hint="default" w:ascii="Times New Roman" w:hAnsi="Times New Roman" w:cs="Times New Roman"/>
                      <w:b w:val="0"/>
                      <w:bCs w:val="0"/>
                      <w:color w:val="auto"/>
                      <w:kern w:val="0"/>
                      <w:sz w:val="21"/>
                      <w:szCs w:val="21"/>
                      <w:u w:val="none"/>
                      <w:lang w:val="en-US" w:eastAsia="zh-CN"/>
                    </w:rPr>
                    <w:t>入区项目在单位产品水耗、能耗、污染物排放量等清洁生产指标应达到国内同行业先进水平</w:t>
                  </w:r>
                </w:p>
              </w:tc>
              <w:tc>
                <w:tcPr>
                  <w:tcW w:w="2829" w:type="dxa"/>
                  <w:tcBorders>
                    <w:tl2br w:val="nil"/>
                    <w:tr2bl w:val="nil"/>
                  </w:tcBorders>
                  <w:noWrap w:val="0"/>
                  <w:vAlign w:val="center"/>
                </w:tcPr>
                <w:p>
                  <w:pPr>
                    <w:autoSpaceDE w:val="0"/>
                    <w:autoSpaceDN w:val="0"/>
                    <w:adjustRightInd w:val="0"/>
                    <w:snapToGrid w:val="0"/>
                    <w:jc w:val="center"/>
                    <w:rPr>
                      <w:rFonts w:hint="default" w:ascii="Times New Roman" w:hAnsi="Times New Roman" w:cs="Times New Roman"/>
                      <w:b w:val="0"/>
                      <w:bCs w:val="0"/>
                      <w:color w:val="auto"/>
                      <w:kern w:val="0"/>
                      <w:sz w:val="21"/>
                      <w:szCs w:val="21"/>
                      <w:u w:val="none"/>
                      <w:lang w:val="en-US" w:eastAsia="zh-CN"/>
                    </w:rPr>
                  </w:pPr>
                  <w:r>
                    <w:rPr>
                      <w:rFonts w:hint="default" w:ascii="Times New Roman" w:hAnsi="Times New Roman" w:cs="Times New Roman"/>
                      <w:b w:val="0"/>
                      <w:bCs w:val="0"/>
                      <w:color w:val="auto"/>
                      <w:kern w:val="0"/>
                      <w:sz w:val="21"/>
                      <w:szCs w:val="21"/>
                      <w:u w:val="none"/>
                      <w:lang w:val="en-US" w:eastAsia="zh-CN"/>
                    </w:rPr>
                    <w:t>本项目在单位产品水耗、能耗、污染物排放量等清洁生产指标能够到国内同行业先进水平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8" w:hRule="atLeast"/>
              </w:trPr>
              <w:tc>
                <w:tcPr>
                  <w:tcW w:w="1112" w:type="dxa"/>
                  <w:tcBorders>
                    <w:tl2br w:val="nil"/>
                    <w:tr2bl w:val="nil"/>
                  </w:tcBorders>
                  <w:noWrap w:val="0"/>
                  <w:vAlign w:val="center"/>
                </w:tcPr>
                <w:p>
                  <w:pPr>
                    <w:autoSpaceDE w:val="0"/>
                    <w:autoSpaceDN w:val="0"/>
                    <w:adjustRightInd w:val="0"/>
                    <w:snapToGrid w:val="0"/>
                    <w:jc w:val="center"/>
                    <w:rPr>
                      <w:rFonts w:hint="default" w:ascii="Times New Roman" w:hAnsi="Times New Roman" w:cs="Times New Roman"/>
                      <w:b w:val="0"/>
                      <w:bCs w:val="0"/>
                      <w:color w:val="auto"/>
                      <w:kern w:val="0"/>
                      <w:sz w:val="21"/>
                      <w:szCs w:val="21"/>
                      <w:u w:val="none"/>
                      <w:lang w:val="en-US" w:eastAsia="zh-CN"/>
                    </w:rPr>
                  </w:pPr>
                  <w:r>
                    <w:rPr>
                      <w:rFonts w:hint="default" w:ascii="Times New Roman" w:hAnsi="Times New Roman" w:cs="Times New Roman"/>
                      <w:b w:val="0"/>
                      <w:bCs w:val="0"/>
                      <w:color w:val="auto"/>
                      <w:kern w:val="0"/>
                      <w:sz w:val="21"/>
                      <w:szCs w:val="21"/>
                      <w:u w:val="none"/>
                      <w:lang w:val="en-US" w:eastAsia="zh-CN"/>
                    </w:rPr>
                    <w:t>污染物排放总量控制</w:t>
                  </w:r>
                </w:p>
              </w:tc>
              <w:tc>
                <w:tcPr>
                  <w:tcW w:w="3149" w:type="dxa"/>
                  <w:tcBorders>
                    <w:tl2br w:val="nil"/>
                    <w:tr2bl w:val="nil"/>
                  </w:tcBorders>
                  <w:noWrap w:val="0"/>
                  <w:vAlign w:val="top"/>
                </w:tcPr>
                <w:p>
                  <w:pPr>
                    <w:autoSpaceDE w:val="0"/>
                    <w:autoSpaceDN w:val="0"/>
                    <w:adjustRightInd w:val="0"/>
                    <w:snapToGrid w:val="0"/>
                    <w:jc w:val="both"/>
                    <w:rPr>
                      <w:rFonts w:hint="default" w:ascii="Times New Roman" w:hAnsi="Times New Roman" w:cs="Times New Roman"/>
                      <w:b w:val="0"/>
                      <w:bCs w:val="0"/>
                      <w:color w:val="auto"/>
                      <w:kern w:val="0"/>
                      <w:sz w:val="21"/>
                      <w:szCs w:val="21"/>
                      <w:u w:val="none"/>
                      <w:lang w:val="en-US" w:eastAsia="zh-CN"/>
                    </w:rPr>
                  </w:pPr>
                  <w:r>
                    <w:rPr>
                      <w:rFonts w:hint="default" w:ascii="Times New Roman" w:hAnsi="Times New Roman" w:cs="Times New Roman"/>
                      <w:b w:val="0"/>
                      <w:bCs w:val="0"/>
                      <w:color w:val="auto"/>
                      <w:kern w:val="0"/>
                      <w:sz w:val="21"/>
                      <w:szCs w:val="21"/>
                      <w:u w:val="none"/>
                      <w:lang w:val="en-US" w:eastAsia="zh-CN"/>
                    </w:rPr>
                    <w:t>（1）新建项目的污染物排放指标必须在提高区域现有工业污染负荷减量中调剂做到区城增产减污；（2）禁止发展无污染治理技术或污染治理技术在技术经济上根本不可行的项目。</w:t>
                  </w:r>
                </w:p>
              </w:tc>
              <w:tc>
                <w:tcPr>
                  <w:tcW w:w="2829" w:type="dxa"/>
                  <w:tcBorders>
                    <w:tl2br w:val="nil"/>
                    <w:tr2bl w:val="nil"/>
                  </w:tcBorders>
                  <w:noWrap w:val="0"/>
                  <w:vAlign w:val="center"/>
                </w:tcPr>
                <w:p>
                  <w:pPr>
                    <w:autoSpaceDE w:val="0"/>
                    <w:autoSpaceDN w:val="0"/>
                    <w:adjustRightInd w:val="0"/>
                    <w:snapToGrid w:val="0"/>
                    <w:jc w:val="center"/>
                    <w:rPr>
                      <w:rFonts w:hint="default" w:ascii="Times New Roman" w:hAnsi="Times New Roman" w:cs="Times New Roman"/>
                      <w:b w:val="0"/>
                      <w:bCs w:val="0"/>
                      <w:color w:val="auto"/>
                      <w:kern w:val="0"/>
                      <w:sz w:val="21"/>
                      <w:szCs w:val="21"/>
                      <w:u w:val="none"/>
                      <w:lang w:val="en-US" w:eastAsia="zh-CN"/>
                    </w:rPr>
                  </w:pPr>
                  <w:r>
                    <w:rPr>
                      <w:rFonts w:hint="default" w:ascii="Times New Roman" w:hAnsi="Times New Roman" w:cs="Times New Roman"/>
                      <w:b w:val="0"/>
                      <w:bCs w:val="0"/>
                      <w:color w:val="auto"/>
                      <w:kern w:val="0"/>
                      <w:sz w:val="21"/>
                      <w:szCs w:val="21"/>
                      <w:u w:val="none"/>
                      <w:lang w:val="en-US" w:eastAsia="zh-CN"/>
                    </w:rPr>
                    <w:t>本项目污染物排放指标必须在提高区域现有工业污染负荷减量中调剂做到区城增产减污，污染治理技术成熟可行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1112" w:type="dxa"/>
                  <w:tcBorders>
                    <w:tl2br w:val="nil"/>
                    <w:tr2bl w:val="nil"/>
                  </w:tcBorders>
                  <w:noWrap w:val="0"/>
                  <w:vAlign w:val="center"/>
                </w:tcPr>
                <w:p>
                  <w:pPr>
                    <w:autoSpaceDE w:val="0"/>
                    <w:autoSpaceDN w:val="0"/>
                    <w:adjustRightInd w:val="0"/>
                    <w:snapToGrid w:val="0"/>
                    <w:jc w:val="center"/>
                    <w:rPr>
                      <w:rFonts w:hint="default" w:ascii="Times New Roman" w:hAnsi="Times New Roman" w:cs="Times New Roman"/>
                      <w:b w:val="0"/>
                      <w:bCs w:val="0"/>
                      <w:color w:val="auto"/>
                      <w:kern w:val="0"/>
                      <w:sz w:val="21"/>
                      <w:szCs w:val="21"/>
                      <w:u w:val="none"/>
                      <w:lang w:val="en-US" w:eastAsia="zh-CN"/>
                    </w:rPr>
                  </w:pPr>
                  <w:r>
                    <w:rPr>
                      <w:rFonts w:hint="default" w:ascii="Times New Roman" w:hAnsi="Times New Roman" w:cs="Times New Roman"/>
                      <w:b w:val="0"/>
                      <w:bCs w:val="0"/>
                      <w:color w:val="auto"/>
                      <w:kern w:val="0"/>
                      <w:sz w:val="21"/>
                      <w:szCs w:val="21"/>
                      <w:u w:val="none"/>
                      <w:lang w:val="en-US" w:eastAsia="zh-CN"/>
                    </w:rPr>
                    <w:t>土地利用</w:t>
                  </w:r>
                </w:p>
              </w:tc>
              <w:tc>
                <w:tcPr>
                  <w:tcW w:w="3149" w:type="dxa"/>
                  <w:tcBorders>
                    <w:tl2br w:val="nil"/>
                    <w:tr2bl w:val="nil"/>
                  </w:tcBorders>
                  <w:noWrap w:val="0"/>
                  <w:vAlign w:val="top"/>
                </w:tcPr>
                <w:p>
                  <w:pPr>
                    <w:autoSpaceDE w:val="0"/>
                    <w:autoSpaceDN w:val="0"/>
                    <w:adjustRightInd w:val="0"/>
                    <w:snapToGrid w:val="0"/>
                    <w:jc w:val="both"/>
                    <w:rPr>
                      <w:rFonts w:hint="default" w:ascii="Times New Roman" w:hAnsi="Times New Roman" w:cs="Times New Roman"/>
                      <w:b w:val="0"/>
                      <w:bCs w:val="0"/>
                      <w:color w:val="auto"/>
                      <w:kern w:val="0"/>
                      <w:sz w:val="21"/>
                      <w:szCs w:val="21"/>
                      <w:u w:val="none"/>
                      <w:lang w:val="en-US" w:eastAsia="zh-CN"/>
                    </w:rPr>
                  </w:pPr>
                  <w:r>
                    <w:rPr>
                      <w:rFonts w:hint="default" w:ascii="Times New Roman" w:hAnsi="Times New Roman" w:cs="Times New Roman"/>
                      <w:b w:val="0"/>
                      <w:bCs w:val="0"/>
                      <w:color w:val="auto"/>
                      <w:kern w:val="0"/>
                      <w:sz w:val="21"/>
                      <w:szCs w:val="21"/>
                      <w:u w:val="none"/>
                      <w:lang w:val="en-US" w:eastAsia="zh-CN"/>
                    </w:rPr>
                    <w:t>（1）入区项目用地必须符合集聚区土地利用规划要求；（2）入区项目必须达到《河南省工业项目建设用地控制指标》要求</w:t>
                  </w:r>
                </w:p>
              </w:tc>
              <w:tc>
                <w:tcPr>
                  <w:tcW w:w="2829" w:type="dxa"/>
                  <w:tcBorders>
                    <w:tl2br w:val="nil"/>
                    <w:tr2bl w:val="nil"/>
                  </w:tcBorders>
                  <w:noWrap w:val="0"/>
                  <w:vAlign w:val="center"/>
                </w:tcPr>
                <w:p>
                  <w:pPr>
                    <w:autoSpaceDE w:val="0"/>
                    <w:autoSpaceDN w:val="0"/>
                    <w:adjustRightInd w:val="0"/>
                    <w:snapToGrid w:val="0"/>
                    <w:jc w:val="center"/>
                    <w:rPr>
                      <w:rFonts w:hint="default" w:ascii="Times New Roman" w:hAnsi="Times New Roman" w:cs="Times New Roman"/>
                      <w:b w:val="0"/>
                      <w:bCs w:val="0"/>
                      <w:color w:val="auto"/>
                      <w:kern w:val="0"/>
                      <w:sz w:val="21"/>
                      <w:szCs w:val="21"/>
                      <w:u w:val="none"/>
                      <w:lang w:val="en-US" w:eastAsia="zh-CN"/>
                    </w:rPr>
                  </w:pPr>
                  <w:r>
                    <w:rPr>
                      <w:rFonts w:hint="default" w:ascii="Times New Roman" w:hAnsi="Times New Roman" w:cs="Times New Roman"/>
                      <w:b w:val="0"/>
                      <w:bCs w:val="0"/>
                      <w:color w:val="auto"/>
                      <w:kern w:val="0"/>
                      <w:sz w:val="21"/>
                      <w:szCs w:val="21"/>
                      <w:u w:val="none"/>
                      <w:lang w:val="en-US" w:eastAsia="zh-CN"/>
                    </w:rPr>
                    <w:t>本项目为工业用地，能够满足集聚区土地利用规划相关要求</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cs="Times New Roman"/>
                <w:b w:val="0"/>
                <w:bCs w:val="0"/>
                <w:color w:val="auto"/>
                <w:kern w:val="0"/>
                <w:sz w:val="24"/>
                <w:u w:val="none"/>
                <w:lang w:val="en-US" w:eastAsia="zh-CN"/>
              </w:rPr>
              <w:t>由上表可知，本项目在产业布局、用地规划、准入条件等方面能够满足《永城市产业集聚区发展规划调整（2012-2020）环境影响报告书》相关要求</w:t>
            </w:r>
            <w:r>
              <w:rPr>
                <w:rFonts w:hint="eastAsia" w:ascii="Times New Roman" w:hAnsi="Times New Roman" w:cs="Times New Roman"/>
                <w:b w:val="0"/>
                <w:bCs w:val="0"/>
                <w:color w:val="auto"/>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9" w:hRule="atLeast"/>
        </w:trPr>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其他符合性分析</w:t>
            </w:r>
          </w:p>
        </w:tc>
        <w:tc>
          <w:tcPr>
            <w:tcW w:w="73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（1）产业政策合理性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根据《市场准入负面清单(2019年版)》，本项目不在禁止准入类事项之列。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经查国家发展和改革委员会发布的《产业结构调整指导目录（2019年本）》，本项目</w:t>
            </w:r>
            <w:r>
              <w:rPr>
                <w:rFonts w:hint="eastAsia" w:ascii="Times New Roman" w:hAnsi="Times New Roman" w:cs="Times New Roman"/>
                <w:color w:val="auto"/>
                <w:sz w:val="24"/>
                <w:szCs w:val="32"/>
                <w:vertAlign w:val="baseline"/>
                <w:lang w:val="en-US" w:eastAsia="zh-CN"/>
              </w:rPr>
              <w:t>为第一类鼓励类，十一、石化化工，5、优质钾肥及各种专用肥、水溶肥、液体肥、中微量元素肥、硝基肥、缓控释肥的生产，磷石膏综合利用技术开发与应用，</w:t>
            </w:r>
            <w:r>
              <w:rPr>
                <w:rFonts w:hint="default" w:ascii="Times New Roman" w:hAnsi="Times New Roman" w:eastAsia="宋体" w:cs="Times New Roman"/>
                <w:color w:val="auto"/>
                <w:sz w:val="24"/>
                <w:szCs w:val="32"/>
                <w:vertAlign w:val="baseline"/>
                <w:lang w:val="en-US" w:eastAsia="zh-CN"/>
              </w:rPr>
              <w:t>属于鼓励类建设项目。且根据《部分工业行业淘汰落后生产工艺装备和产品指导目录（2010年本）》，本项目无淘汰落后生产工艺、设备和产品。</w:t>
            </w:r>
            <w:r>
              <w:rPr>
                <w:rFonts w:hint="eastAsia" w:ascii="Times New Roman" w:hAnsi="Times New Roman" w:cs="Times New Roman"/>
                <w:color w:val="auto"/>
                <w:sz w:val="24"/>
                <w:szCs w:val="32"/>
                <w:vertAlign w:val="baseline"/>
                <w:lang w:val="en-US" w:eastAsia="zh-CN"/>
              </w:rPr>
              <w:t>上海大井生物工程有限公司永城分公司年产10000吨水溶肥二期项目</w:t>
            </w:r>
            <w:r>
              <w:rPr>
                <w:rFonts w:hint="default" w:ascii="Times New Roman" w:hAnsi="Times New Roman" w:eastAsia="宋体" w:cs="Times New Roman"/>
                <w:color w:val="auto"/>
                <w:sz w:val="24"/>
                <w:szCs w:val="32"/>
                <w:vertAlign w:val="baseline"/>
                <w:lang w:val="en-US" w:eastAsia="zh-CN"/>
              </w:rPr>
              <w:t>已取得</w:t>
            </w:r>
            <w:r>
              <w:rPr>
                <w:rFonts w:hint="eastAsia" w:ascii="Times New Roman" w:hAnsi="Times New Roman" w:cs="Times New Roman"/>
                <w:color w:val="auto"/>
                <w:sz w:val="24"/>
                <w:szCs w:val="32"/>
                <w:vertAlign w:val="baseline"/>
                <w:lang w:val="en-US" w:eastAsia="zh-CN"/>
              </w:rPr>
              <w:t>永城市产业集聚区管理委员会</w:t>
            </w:r>
            <w:r>
              <w:rPr>
                <w:rFonts w:hint="default" w:ascii="Times New Roman" w:hAnsi="Times New Roman" w:eastAsia="宋体" w:cs="Times New Roman"/>
                <w:color w:val="auto"/>
                <w:sz w:val="24"/>
                <w:szCs w:val="32"/>
                <w:vertAlign w:val="baseline"/>
                <w:lang w:val="en-US" w:eastAsia="zh-CN"/>
              </w:rPr>
              <w:t>的备案（项目代码</w:t>
            </w:r>
            <w:r>
              <w:rPr>
                <w:rFonts w:hint="eastAsia" w:ascii="Times New Roman" w:hAnsi="Times New Roman" w:cs="Times New Roman"/>
                <w:color w:val="auto"/>
                <w:sz w:val="24"/>
                <w:szCs w:val="32"/>
                <w:vertAlign w:val="baseline"/>
                <w:lang w:val="en-US" w:eastAsia="zh-CN"/>
              </w:rPr>
              <w:t>2203-411481-04-01-667780</w:t>
            </w:r>
            <w:r>
              <w:rPr>
                <w:rFonts w:hint="default" w:ascii="Times New Roman" w:hAnsi="Times New Roman" w:eastAsia="宋体" w:cs="Times New Roman"/>
                <w:color w:val="auto"/>
                <w:sz w:val="24"/>
                <w:szCs w:val="32"/>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（2）“三线一单”相符性分析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《河南省人民政府关于实施“三线一单”生态环境分区管控的意见》豫政[2020]37号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32"/>
                <w:u w:val="none"/>
                <w:vertAlign w:val="baseline"/>
                <w:lang w:val="en-US" w:eastAsia="zh-CN"/>
              </w:rPr>
            </w:pPr>
            <w:r>
              <w:rPr>
                <w:rFonts w:hint="default" w:ascii="Times New Roman" w:hAnsi="Times New Roman" w:eastAsia="宋体" w:cs="Times New Roman"/>
                <w:b w:val="0"/>
                <w:bCs w:val="0"/>
                <w:color w:val="auto"/>
                <w:sz w:val="24"/>
                <w:szCs w:val="32"/>
                <w:u w:val="none"/>
                <w:vertAlign w:val="baseline"/>
                <w:lang w:val="en-US" w:eastAsia="zh-CN"/>
              </w:rPr>
              <w:t>①与生态红线符合性分析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32"/>
                <w:u w:val="none"/>
                <w:vertAlign w:val="baseline"/>
                <w:lang w:val="en-US" w:eastAsia="zh-CN"/>
              </w:rPr>
            </w:pPr>
            <w:r>
              <w:rPr>
                <w:rFonts w:hint="default" w:ascii="Times New Roman" w:hAnsi="Times New Roman" w:eastAsia="宋体" w:cs="Times New Roman"/>
                <w:b w:val="0"/>
                <w:bCs w:val="0"/>
                <w:color w:val="auto"/>
                <w:sz w:val="24"/>
                <w:szCs w:val="32"/>
                <w:u w:val="none"/>
                <w:vertAlign w:val="baseline"/>
                <w:lang w:val="en-US" w:eastAsia="zh-CN"/>
              </w:rPr>
              <w:t>本项目位于</w:t>
            </w:r>
            <w:r>
              <w:rPr>
                <w:rFonts w:hint="eastAsia" w:ascii="Times New Roman" w:hAnsi="Times New Roman" w:cs="Times New Roman"/>
                <w:b w:val="0"/>
                <w:bCs w:val="0"/>
                <w:color w:val="auto"/>
                <w:sz w:val="24"/>
                <w:szCs w:val="32"/>
                <w:u w:val="none"/>
                <w:vertAlign w:val="baseline"/>
                <w:lang w:val="en-US" w:eastAsia="zh-CN"/>
              </w:rPr>
              <w:t>永城市产业集聚区南外环与芒砀路南段交叉口</w:t>
            </w:r>
            <w:r>
              <w:rPr>
                <w:rFonts w:hint="default" w:ascii="Times New Roman" w:hAnsi="Times New Roman" w:eastAsia="宋体" w:cs="Times New Roman"/>
                <w:b w:val="0"/>
                <w:bCs w:val="0"/>
                <w:color w:val="auto"/>
                <w:sz w:val="24"/>
                <w:szCs w:val="32"/>
                <w:u w:val="none"/>
                <w:vertAlign w:val="baseline"/>
                <w:lang w:val="en-US" w:eastAsia="zh-CN"/>
              </w:rPr>
              <w:t>，不属于永城市拟定的生态红线范围内。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32"/>
                <w:u w:val="none"/>
                <w:vertAlign w:val="baseline"/>
                <w:lang w:val="en-US" w:eastAsia="zh-CN"/>
              </w:rPr>
            </w:pPr>
            <w:r>
              <w:rPr>
                <w:rFonts w:hint="default" w:ascii="Times New Roman" w:hAnsi="Times New Roman" w:eastAsia="宋体" w:cs="Times New Roman"/>
                <w:b w:val="0"/>
                <w:bCs w:val="0"/>
                <w:color w:val="auto"/>
                <w:sz w:val="24"/>
                <w:szCs w:val="32"/>
                <w:u w:val="none"/>
                <w:vertAlign w:val="baseline"/>
                <w:lang w:val="en-US" w:eastAsia="zh-CN"/>
              </w:rPr>
              <w:t>②与资源利用上线符合性分析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32"/>
                <w:u w:val="none"/>
                <w:vertAlign w:val="baseline"/>
                <w:lang w:val="en-US" w:eastAsia="zh-CN"/>
              </w:rPr>
            </w:pPr>
            <w:r>
              <w:rPr>
                <w:rFonts w:hint="default" w:ascii="Times New Roman" w:hAnsi="Times New Roman" w:eastAsia="宋体" w:cs="Times New Roman"/>
                <w:b w:val="0"/>
                <w:bCs w:val="0"/>
                <w:color w:val="auto"/>
                <w:sz w:val="24"/>
                <w:szCs w:val="32"/>
                <w:u w:val="none"/>
                <w:vertAlign w:val="baseline"/>
                <w:lang w:val="en-US" w:eastAsia="zh-CN"/>
              </w:rPr>
              <w:t>本项目为</w:t>
            </w:r>
            <w:r>
              <w:rPr>
                <w:rFonts w:hint="eastAsia" w:ascii="Times New Roman" w:hAnsi="Times New Roman" w:cs="Times New Roman"/>
                <w:b w:val="0"/>
                <w:bCs w:val="0"/>
                <w:color w:val="auto"/>
                <w:sz w:val="24"/>
                <w:szCs w:val="32"/>
                <w:u w:val="none"/>
                <w:vertAlign w:val="baseline"/>
                <w:lang w:val="en-US" w:eastAsia="zh-CN"/>
              </w:rPr>
              <w:t>肥料制造</w:t>
            </w:r>
            <w:r>
              <w:rPr>
                <w:rFonts w:hint="default" w:ascii="Times New Roman" w:hAnsi="Times New Roman" w:eastAsia="宋体" w:cs="Times New Roman"/>
                <w:b w:val="0"/>
                <w:bCs w:val="0"/>
                <w:color w:val="auto"/>
                <w:sz w:val="24"/>
                <w:szCs w:val="32"/>
                <w:u w:val="none"/>
                <w:vertAlign w:val="baseline"/>
                <w:lang w:val="en-US" w:eastAsia="zh-CN"/>
              </w:rPr>
              <w:t>项目，项目营运期会消耗一定量的水、电等能源，项目资源消耗相对区域资源利用总量较少，符合资源利用上限要求。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32"/>
                <w:u w:val="none"/>
                <w:vertAlign w:val="baseline"/>
                <w:lang w:val="en-US" w:eastAsia="zh-CN"/>
              </w:rPr>
            </w:pPr>
            <w:r>
              <w:rPr>
                <w:rFonts w:hint="default" w:ascii="Times New Roman" w:hAnsi="Times New Roman" w:eastAsia="宋体" w:cs="Times New Roman"/>
                <w:b w:val="0"/>
                <w:bCs w:val="0"/>
                <w:color w:val="auto"/>
                <w:sz w:val="24"/>
                <w:szCs w:val="32"/>
                <w:u w:val="none"/>
                <w:vertAlign w:val="baseline"/>
                <w:lang w:val="en-US" w:eastAsia="zh-CN"/>
              </w:rPr>
              <w:t>③与环境质量底线符合性分析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32"/>
                <w:u w:val="none"/>
                <w:vertAlign w:val="baseline"/>
                <w:lang w:val="en-US" w:eastAsia="zh-CN"/>
              </w:rPr>
            </w:pPr>
            <w:r>
              <w:rPr>
                <w:rFonts w:hint="default" w:ascii="Times New Roman" w:hAnsi="Times New Roman" w:eastAsia="宋体" w:cs="Times New Roman"/>
                <w:b w:val="0"/>
                <w:bCs w:val="0"/>
                <w:color w:val="auto"/>
                <w:sz w:val="24"/>
                <w:szCs w:val="32"/>
                <w:u w:val="none"/>
                <w:vertAlign w:val="baseline"/>
                <w:lang w:val="en-US" w:eastAsia="zh-CN"/>
              </w:rPr>
              <w:t>本项目位于永城市境内，根据项目区域环境质量现状调查，项目所在区域大气环境、声环境、地表水环境质量监测结果显示，项目区域大气环境、声环境、水环境均符合相应类别要求，有一定环境容量，能够接纳本项目产生的污染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32"/>
                <w:u w:val="none"/>
                <w:vertAlign w:val="baseline"/>
                <w:lang w:val="en-US" w:eastAsia="zh-CN"/>
              </w:rPr>
            </w:pPr>
            <w:r>
              <w:rPr>
                <w:rFonts w:hint="default" w:ascii="Times New Roman" w:hAnsi="Times New Roman" w:eastAsia="宋体" w:cs="Times New Roman"/>
                <w:b w:val="0"/>
                <w:bCs w:val="0"/>
                <w:color w:val="auto"/>
                <w:sz w:val="24"/>
                <w:szCs w:val="32"/>
                <w:u w:val="none"/>
                <w:vertAlign w:val="baseline"/>
                <w:lang w:val="en-US" w:eastAsia="zh-CN"/>
              </w:rPr>
              <w:t>④环境准入负面清单符合性分析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32"/>
                <w:u w:val="none"/>
                <w:vertAlign w:val="baseline"/>
                <w:lang w:val="en-US" w:eastAsia="zh-CN"/>
              </w:rPr>
            </w:pPr>
            <w:r>
              <w:rPr>
                <w:rFonts w:hint="default" w:ascii="Times New Roman" w:hAnsi="Times New Roman" w:eastAsia="宋体" w:cs="Times New Roman"/>
                <w:b w:val="0"/>
                <w:bCs w:val="0"/>
                <w:color w:val="auto"/>
                <w:sz w:val="24"/>
                <w:szCs w:val="32"/>
                <w:u w:val="none"/>
                <w:vertAlign w:val="baseline"/>
                <w:lang w:val="en-US" w:eastAsia="zh-CN"/>
              </w:rPr>
              <w:t>本项目属于</w:t>
            </w:r>
            <w:r>
              <w:rPr>
                <w:rFonts w:hint="eastAsia" w:ascii="Times New Roman" w:hAnsi="Times New Roman" w:cs="Times New Roman"/>
                <w:b w:val="0"/>
                <w:bCs w:val="0"/>
                <w:color w:val="auto"/>
                <w:sz w:val="24"/>
                <w:szCs w:val="32"/>
                <w:u w:val="none"/>
                <w:vertAlign w:val="baseline"/>
                <w:lang w:val="en-US" w:eastAsia="zh-CN"/>
              </w:rPr>
              <w:t>肥料制造项目</w:t>
            </w:r>
            <w:r>
              <w:rPr>
                <w:rFonts w:hint="default" w:ascii="Times New Roman" w:hAnsi="Times New Roman" w:eastAsia="宋体" w:cs="Times New Roman"/>
                <w:b w:val="0"/>
                <w:bCs w:val="0"/>
                <w:color w:val="auto"/>
                <w:sz w:val="24"/>
                <w:szCs w:val="32"/>
                <w:u w:val="none"/>
                <w:vertAlign w:val="baseline"/>
                <w:lang w:val="en-US" w:eastAsia="zh-CN"/>
              </w:rPr>
              <w:t>，项目符合国家当前产业政策，符合永城市</w:t>
            </w:r>
            <w:r>
              <w:rPr>
                <w:rFonts w:hint="eastAsia" w:ascii="Times New Roman" w:hAnsi="Times New Roman" w:cs="Times New Roman"/>
                <w:b w:val="0"/>
                <w:bCs w:val="0"/>
                <w:color w:val="auto"/>
                <w:sz w:val="24"/>
                <w:szCs w:val="32"/>
                <w:u w:val="none"/>
                <w:vertAlign w:val="baseline"/>
                <w:lang w:val="en-US" w:eastAsia="zh-CN"/>
              </w:rPr>
              <w:t>产业集聚区</w:t>
            </w:r>
            <w:r>
              <w:rPr>
                <w:rFonts w:hint="default" w:ascii="Times New Roman" w:hAnsi="Times New Roman" w:eastAsia="宋体" w:cs="Times New Roman"/>
                <w:b w:val="0"/>
                <w:bCs w:val="0"/>
                <w:color w:val="auto"/>
                <w:sz w:val="24"/>
                <w:szCs w:val="32"/>
                <w:u w:val="none"/>
                <w:vertAlign w:val="baseline"/>
                <w:lang w:val="en-US" w:eastAsia="zh-CN"/>
              </w:rPr>
              <w:t>总体规划，项目不处于永城市拟定的生态红线范围内，有一定的环境容量。因此，项目不属于永城市环境准入负面清单范围。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32"/>
                <w:u w:val="none"/>
                <w:vertAlign w:val="baseline"/>
                <w:lang w:val="en-US" w:eastAsia="zh-CN"/>
              </w:rPr>
            </w:pPr>
            <w:r>
              <w:rPr>
                <w:rFonts w:hint="default" w:ascii="Times New Roman" w:hAnsi="Times New Roman" w:eastAsia="宋体" w:cs="Times New Roman"/>
                <w:b w:val="0"/>
                <w:bCs w:val="0"/>
                <w:color w:val="auto"/>
                <w:sz w:val="24"/>
                <w:szCs w:val="32"/>
                <w:u w:val="none"/>
                <w:vertAlign w:val="baseline"/>
                <w:lang w:val="en-US" w:eastAsia="zh-CN"/>
              </w:rPr>
              <w:t>根据《河南省生态环境准入清单》（河南省生态环境厅，2020年12月）商丘市永城市环境管控单元生态环境准入清单，管控要求具体如下表</w:t>
            </w:r>
            <w:r>
              <w:rPr>
                <w:rFonts w:hint="eastAsia" w:ascii="Times New Roman" w:hAnsi="Times New Roman" w:cs="Times New Roman"/>
                <w:b w:val="0"/>
                <w:bCs w:val="0"/>
                <w:color w:val="auto"/>
                <w:sz w:val="24"/>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bCs/>
                <w:color w:val="auto"/>
                <w:sz w:val="21"/>
                <w:szCs w:val="24"/>
                <w:vertAlign w:val="baseline"/>
                <w:lang w:val="en-US" w:eastAsia="zh-CN"/>
              </w:rPr>
            </w:pPr>
            <w:r>
              <w:rPr>
                <w:rFonts w:hint="default" w:ascii="Times New Roman" w:hAnsi="Times New Roman" w:eastAsia="宋体" w:cs="Times New Roman"/>
                <w:b/>
                <w:bCs/>
                <w:color w:val="auto"/>
                <w:sz w:val="21"/>
                <w:szCs w:val="24"/>
                <w:vertAlign w:val="baseline"/>
                <w:lang w:val="en-US" w:eastAsia="zh-CN"/>
              </w:rPr>
              <w:t>表1-</w:t>
            </w:r>
            <w:r>
              <w:rPr>
                <w:rFonts w:hint="eastAsia" w:ascii="Times New Roman" w:hAnsi="Times New Roman" w:cs="Times New Roman"/>
                <w:b/>
                <w:bCs/>
                <w:color w:val="auto"/>
                <w:sz w:val="21"/>
                <w:szCs w:val="24"/>
                <w:vertAlign w:val="baseline"/>
                <w:lang w:val="en-US" w:eastAsia="zh-CN"/>
              </w:rPr>
              <w:t>2</w:t>
            </w:r>
            <w:r>
              <w:rPr>
                <w:rFonts w:hint="default" w:ascii="Times New Roman" w:hAnsi="Times New Roman" w:eastAsia="宋体" w:cs="Times New Roman"/>
                <w:b/>
                <w:bCs/>
                <w:color w:val="auto"/>
                <w:sz w:val="21"/>
                <w:szCs w:val="24"/>
                <w:vertAlign w:val="baseline"/>
                <w:lang w:val="en-US" w:eastAsia="zh-CN"/>
              </w:rPr>
              <w:t xml:space="preserve">  与《环境管控单元生态环境准入清单》相符性分析</w:t>
            </w:r>
          </w:p>
          <w:tbl>
            <w:tblPr>
              <w:tblStyle w:val="14"/>
              <w:tblW w:w="7094" w:type="dxa"/>
              <w:jc w:val="center"/>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887"/>
              <w:gridCol w:w="714"/>
              <w:gridCol w:w="3287"/>
              <w:gridCol w:w="1715"/>
              <w:gridCol w:w="491"/>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87" w:type="dxa"/>
                  <w:noWrap w:val="0"/>
                  <w:vAlign w:val="center"/>
                </w:tcPr>
                <w:p>
                  <w:pPr>
                    <w:adjustRightInd w:val="0"/>
                    <w:snapToGrid w:val="0"/>
                    <w:spacing w:line="360" w:lineRule="exact"/>
                    <w:jc w:val="center"/>
                    <w:rPr>
                      <w:b/>
                      <w:bCs/>
                      <w:color w:val="auto"/>
                      <w:sz w:val="21"/>
                      <w:szCs w:val="21"/>
                      <w:u w:val="none"/>
                    </w:rPr>
                  </w:pPr>
                  <w:r>
                    <w:rPr>
                      <w:b/>
                      <w:bCs/>
                      <w:color w:val="auto"/>
                      <w:sz w:val="21"/>
                      <w:szCs w:val="21"/>
                      <w:u w:val="none"/>
                    </w:rPr>
                    <w:t>环境管控单元名称</w:t>
                  </w:r>
                </w:p>
              </w:tc>
              <w:tc>
                <w:tcPr>
                  <w:tcW w:w="4001" w:type="dxa"/>
                  <w:gridSpan w:val="2"/>
                  <w:noWrap w:val="0"/>
                  <w:vAlign w:val="center"/>
                </w:tcPr>
                <w:p>
                  <w:pPr>
                    <w:adjustRightInd w:val="0"/>
                    <w:snapToGrid w:val="0"/>
                    <w:spacing w:line="360" w:lineRule="exact"/>
                    <w:jc w:val="center"/>
                    <w:rPr>
                      <w:b/>
                      <w:bCs/>
                      <w:color w:val="auto"/>
                      <w:sz w:val="21"/>
                      <w:szCs w:val="21"/>
                      <w:u w:val="none"/>
                    </w:rPr>
                  </w:pPr>
                  <w:r>
                    <w:rPr>
                      <w:b/>
                      <w:bCs/>
                      <w:color w:val="auto"/>
                      <w:sz w:val="21"/>
                      <w:szCs w:val="21"/>
                      <w:u w:val="none"/>
                    </w:rPr>
                    <w:t>管控要求</w:t>
                  </w:r>
                </w:p>
              </w:tc>
              <w:tc>
                <w:tcPr>
                  <w:tcW w:w="1715" w:type="dxa"/>
                  <w:noWrap w:val="0"/>
                  <w:vAlign w:val="center"/>
                </w:tcPr>
                <w:p>
                  <w:pPr>
                    <w:adjustRightInd w:val="0"/>
                    <w:snapToGrid w:val="0"/>
                    <w:spacing w:line="360" w:lineRule="exact"/>
                    <w:jc w:val="center"/>
                    <w:rPr>
                      <w:b/>
                      <w:bCs/>
                      <w:color w:val="auto"/>
                      <w:sz w:val="21"/>
                      <w:szCs w:val="21"/>
                      <w:u w:val="none"/>
                    </w:rPr>
                  </w:pPr>
                  <w:r>
                    <w:rPr>
                      <w:b/>
                      <w:bCs/>
                      <w:color w:val="auto"/>
                      <w:sz w:val="21"/>
                      <w:szCs w:val="21"/>
                      <w:u w:val="none"/>
                    </w:rPr>
                    <w:t>本项目情况</w:t>
                  </w:r>
                </w:p>
              </w:tc>
              <w:tc>
                <w:tcPr>
                  <w:tcW w:w="491" w:type="dxa"/>
                  <w:noWrap w:val="0"/>
                  <w:vAlign w:val="center"/>
                </w:tcPr>
                <w:p>
                  <w:pPr>
                    <w:adjustRightInd w:val="0"/>
                    <w:snapToGrid w:val="0"/>
                    <w:spacing w:line="360" w:lineRule="exact"/>
                    <w:jc w:val="center"/>
                    <w:rPr>
                      <w:b/>
                      <w:bCs/>
                      <w:color w:val="auto"/>
                      <w:sz w:val="21"/>
                      <w:szCs w:val="21"/>
                      <w:u w:val="none"/>
                    </w:rPr>
                  </w:pPr>
                  <w:r>
                    <w:rPr>
                      <w:b/>
                      <w:bCs/>
                      <w:color w:val="auto"/>
                      <w:sz w:val="21"/>
                      <w:szCs w:val="21"/>
                      <w:u w:val="none"/>
                    </w:rPr>
                    <w:t>相符性</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1162" w:hRule="atLeast"/>
                <w:jc w:val="center"/>
              </w:trPr>
              <w:tc>
                <w:tcPr>
                  <w:tcW w:w="887" w:type="dxa"/>
                  <w:vMerge w:val="restart"/>
                  <w:noWrap w:val="0"/>
                  <w:vAlign w:val="center"/>
                </w:tcPr>
                <w:p>
                  <w:pPr>
                    <w:adjustRightInd w:val="0"/>
                    <w:snapToGrid w:val="0"/>
                    <w:spacing w:line="360" w:lineRule="exact"/>
                    <w:jc w:val="center"/>
                    <w:rPr>
                      <w:rFonts w:hint="eastAsia" w:eastAsia="宋体"/>
                      <w:b w:val="0"/>
                      <w:bCs w:val="0"/>
                      <w:color w:val="auto"/>
                      <w:sz w:val="21"/>
                      <w:szCs w:val="21"/>
                      <w:u w:val="none"/>
                      <w:lang w:eastAsia="zh-CN"/>
                    </w:rPr>
                  </w:pPr>
                  <w:r>
                    <w:rPr>
                      <w:rFonts w:hint="eastAsia"/>
                      <w:b w:val="0"/>
                      <w:bCs w:val="0"/>
                      <w:color w:val="auto"/>
                      <w:sz w:val="21"/>
                      <w:szCs w:val="21"/>
                      <w:u w:val="none"/>
                      <w:lang w:val="en-US" w:eastAsia="zh-CN"/>
                    </w:rPr>
                    <w:t>永城</w:t>
                  </w:r>
                  <w:r>
                    <w:rPr>
                      <w:b w:val="0"/>
                      <w:bCs w:val="0"/>
                      <w:color w:val="auto"/>
                      <w:sz w:val="21"/>
                      <w:szCs w:val="21"/>
                      <w:u w:val="none"/>
                    </w:rPr>
                    <w:t>市</w:t>
                  </w:r>
                  <w:r>
                    <w:rPr>
                      <w:rFonts w:hint="eastAsia"/>
                      <w:b w:val="0"/>
                      <w:bCs w:val="0"/>
                      <w:color w:val="auto"/>
                      <w:sz w:val="21"/>
                      <w:szCs w:val="21"/>
                      <w:u w:val="none"/>
                      <w:lang w:val="en-US" w:eastAsia="zh-CN"/>
                    </w:rPr>
                    <w:t>产业集聚区</w:t>
                  </w:r>
                </w:p>
              </w:tc>
              <w:tc>
                <w:tcPr>
                  <w:tcW w:w="714" w:type="dxa"/>
                  <w:tcBorders>
                    <w:bottom w:val="single" w:color="auto" w:sz="4" w:space="0"/>
                  </w:tcBorders>
                  <w:noWrap w:val="0"/>
                  <w:vAlign w:val="center"/>
                </w:tcPr>
                <w:p>
                  <w:pPr>
                    <w:adjustRightInd w:val="0"/>
                    <w:snapToGrid w:val="0"/>
                    <w:spacing w:line="360" w:lineRule="exact"/>
                    <w:jc w:val="center"/>
                    <w:rPr>
                      <w:rFonts w:hint="default" w:eastAsia="宋体"/>
                      <w:b w:val="0"/>
                      <w:bCs w:val="0"/>
                      <w:color w:val="auto"/>
                      <w:sz w:val="21"/>
                      <w:szCs w:val="21"/>
                      <w:u w:val="none"/>
                      <w:lang w:val="en-US" w:eastAsia="zh-CN"/>
                    </w:rPr>
                  </w:pPr>
                  <w:r>
                    <w:rPr>
                      <w:b w:val="0"/>
                      <w:bCs w:val="0"/>
                      <w:color w:val="auto"/>
                      <w:sz w:val="21"/>
                      <w:szCs w:val="21"/>
                      <w:u w:val="none"/>
                    </w:rPr>
                    <w:t>空间布局约束</w:t>
                  </w:r>
                </w:p>
              </w:tc>
              <w:tc>
                <w:tcPr>
                  <w:tcW w:w="3287" w:type="dxa"/>
                  <w:tcBorders>
                    <w:bottom w:val="single" w:color="auto" w:sz="4" w:space="0"/>
                  </w:tcBorders>
                  <w:noWrap w:val="0"/>
                  <w:vAlign w:val="center"/>
                </w:tcPr>
                <w:p>
                  <w:pPr>
                    <w:adjustRightInd w:val="0"/>
                    <w:snapToGrid w:val="0"/>
                    <w:spacing w:line="360" w:lineRule="exact"/>
                    <w:rPr>
                      <w:rFonts w:hint="eastAsia"/>
                      <w:b w:val="0"/>
                      <w:bCs w:val="0"/>
                      <w:color w:val="auto"/>
                      <w:sz w:val="21"/>
                      <w:szCs w:val="21"/>
                      <w:u w:val="none"/>
                    </w:rPr>
                  </w:pPr>
                  <w:r>
                    <w:rPr>
                      <w:rFonts w:hint="eastAsia"/>
                      <w:b w:val="0"/>
                      <w:bCs w:val="0"/>
                      <w:color w:val="auto"/>
                      <w:sz w:val="21"/>
                      <w:szCs w:val="21"/>
                      <w:u w:val="none"/>
                    </w:rPr>
                    <w:t>1、鼓励发展主导产业，不断完善产业链条，煤化工产业以现有项目为基础，优先发展煤化工行业下游精细化工产品和高附加值产品，禁止单纯新建直接以煤为原料进行生产的煤化工项目。</w:t>
                  </w:r>
                </w:p>
                <w:p>
                  <w:pPr>
                    <w:adjustRightInd w:val="0"/>
                    <w:snapToGrid w:val="0"/>
                    <w:spacing w:line="360" w:lineRule="exact"/>
                    <w:rPr>
                      <w:rFonts w:hint="eastAsia"/>
                      <w:b w:val="0"/>
                      <w:bCs w:val="0"/>
                      <w:color w:val="auto"/>
                      <w:sz w:val="21"/>
                      <w:szCs w:val="21"/>
                      <w:u w:val="none"/>
                    </w:rPr>
                  </w:pPr>
                  <w:r>
                    <w:rPr>
                      <w:rFonts w:hint="eastAsia"/>
                      <w:b w:val="0"/>
                      <w:bCs w:val="0"/>
                      <w:color w:val="auto"/>
                      <w:sz w:val="21"/>
                      <w:szCs w:val="21"/>
                      <w:u w:val="none"/>
                    </w:rPr>
                    <w:t>2、铝精深加工禁止不符合《铝行业规范条件》的项目；食品加工项目禁止屠宰、含酿造工艺的酿酒、味精、柠檬酸等项目入驻。</w:t>
                  </w:r>
                </w:p>
                <w:p>
                  <w:pPr>
                    <w:adjustRightInd w:val="0"/>
                    <w:snapToGrid w:val="0"/>
                    <w:spacing w:line="360" w:lineRule="exact"/>
                    <w:rPr>
                      <w:b w:val="0"/>
                      <w:bCs w:val="0"/>
                      <w:color w:val="auto"/>
                      <w:sz w:val="21"/>
                      <w:szCs w:val="21"/>
                      <w:u w:val="none"/>
                    </w:rPr>
                  </w:pPr>
                  <w:r>
                    <w:rPr>
                      <w:rFonts w:hint="eastAsia"/>
                      <w:b w:val="0"/>
                      <w:bCs w:val="0"/>
                      <w:color w:val="auto"/>
                      <w:sz w:val="21"/>
                      <w:szCs w:val="21"/>
                      <w:u w:val="none"/>
                    </w:rPr>
                    <w:t>3、严格落实规划环评及审查意见要求，规划调整修编时应同步开展规划环评。</w:t>
                  </w:r>
                </w:p>
              </w:tc>
              <w:tc>
                <w:tcPr>
                  <w:tcW w:w="1715" w:type="dxa"/>
                  <w:tcBorders>
                    <w:bottom w:val="single" w:color="auto" w:sz="4" w:space="0"/>
                  </w:tcBorders>
                  <w:noWrap w:val="0"/>
                  <w:vAlign w:val="center"/>
                </w:tcPr>
                <w:p>
                  <w:pPr>
                    <w:adjustRightInd w:val="0"/>
                    <w:snapToGrid w:val="0"/>
                    <w:spacing w:line="360" w:lineRule="exact"/>
                    <w:jc w:val="center"/>
                    <w:rPr>
                      <w:b w:val="0"/>
                      <w:bCs w:val="0"/>
                      <w:color w:val="auto"/>
                      <w:sz w:val="21"/>
                      <w:szCs w:val="21"/>
                      <w:u w:val="none"/>
                    </w:rPr>
                  </w:pPr>
                  <w:r>
                    <w:rPr>
                      <w:rFonts w:hint="eastAsia"/>
                      <w:b w:val="0"/>
                      <w:bCs w:val="0"/>
                      <w:color w:val="auto"/>
                      <w:sz w:val="21"/>
                      <w:szCs w:val="21"/>
                      <w:u w:val="none"/>
                    </w:rPr>
                    <w:t>本项目</w:t>
                  </w:r>
                  <w:r>
                    <w:rPr>
                      <w:rFonts w:hint="eastAsia"/>
                      <w:b w:val="0"/>
                      <w:bCs w:val="0"/>
                      <w:color w:val="auto"/>
                      <w:sz w:val="21"/>
                      <w:szCs w:val="21"/>
                      <w:u w:val="none"/>
                      <w:lang w:val="en-US" w:eastAsia="zh-CN"/>
                    </w:rPr>
                    <w:t>位于永城市产业集聚区装备制造组团区</w:t>
                  </w:r>
                  <w:r>
                    <w:rPr>
                      <w:rFonts w:hint="eastAsia"/>
                      <w:b w:val="0"/>
                      <w:bCs w:val="0"/>
                      <w:color w:val="auto"/>
                      <w:sz w:val="21"/>
                      <w:szCs w:val="21"/>
                      <w:u w:val="none"/>
                    </w:rPr>
                    <w:t>。</w:t>
                  </w:r>
                </w:p>
              </w:tc>
              <w:tc>
                <w:tcPr>
                  <w:tcW w:w="491" w:type="dxa"/>
                  <w:tcBorders>
                    <w:bottom w:val="single" w:color="auto" w:sz="4" w:space="0"/>
                  </w:tcBorders>
                  <w:noWrap w:val="0"/>
                  <w:vAlign w:val="center"/>
                </w:tcPr>
                <w:p>
                  <w:pPr>
                    <w:adjustRightInd w:val="0"/>
                    <w:snapToGrid w:val="0"/>
                    <w:spacing w:line="360" w:lineRule="exact"/>
                    <w:jc w:val="center"/>
                    <w:rPr>
                      <w:b/>
                      <w:bCs/>
                      <w:color w:val="auto"/>
                      <w:sz w:val="21"/>
                      <w:szCs w:val="21"/>
                      <w:u w:val="none"/>
                    </w:rPr>
                  </w:pPr>
                  <w:r>
                    <w:rPr>
                      <w:rFonts w:hint="eastAsia"/>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jc w:val="center"/>
              </w:trPr>
              <w:tc>
                <w:tcPr>
                  <w:tcW w:w="887" w:type="dxa"/>
                  <w:vMerge w:val="continue"/>
                  <w:noWrap w:val="0"/>
                  <w:vAlign w:val="center"/>
                </w:tcPr>
                <w:p>
                  <w:pPr>
                    <w:adjustRightInd w:val="0"/>
                    <w:snapToGrid w:val="0"/>
                    <w:spacing w:line="360" w:lineRule="exact"/>
                    <w:jc w:val="center"/>
                    <w:rPr>
                      <w:rFonts w:hint="eastAsia"/>
                      <w:b w:val="0"/>
                      <w:bCs w:val="0"/>
                      <w:color w:val="auto"/>
                      <w:sz w:val="21"/>
                      <w:szCs w:val="21"/>
                      <w:u w:val="none"/>
                      <w:lang w:val="en-US" w:eastAsia="zh-CN"/>
                    </w:rPr>
                  </w:pPr>
                </w:p>
              </w:tc>
              <w:tc>
                <w:tcPr>
                  <w:tcW w:w="714" w:type="dxa"/>
                  <w:tcBorders>
                    <w:top w:val="single" w:color="auto" w:sz="4" w:space="0"/>
                    <w:bottom w:val="single" w:color="auto" w:sz="4" w:space="0"/>
                  </w:tcBorders>
                  <w:noWrap w:val="0"/>
                  <w:vAlign w:val="center"/>
                </w:tcPr>
                <w:p>
                  <w:pPr>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color w:val="auto"/>
                      <w:u w:val="none"/>
                    </w:rPr>
                    <w:t>污染物排放管控</w:t>
                  </w:r>
                </w:p>
              </w:tc>
              <w:tc>
                <w:tcPr>
                  <w:tcW w:w="3287" w:type="dxa"/>
                  <w:tcBorders>
                    <w:top w:val="single" w:color="auto" w:sz="4" w:space="0"/>
                    <w:bottom w:val="single" w:color="auto" w:sz="4" w:space="0"/>
                  </w:tcBorders>
                  <w:noWrap w:val="0"/>
                  <w:vAlign w:val="center"/>
                </w:tcPr>
                <w:p>
                  <w:pPr>
                    <w:jc w:val="both"/>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1、集聚区内企业废水实现全收集、全处理。排入集聚区污水处理厂的企业废水执行国家、我省行业间接排放标准或符合污水处理厂的收水要求。</w:t>
                  </w:r>
                </w:p>
                <w:p>
                  <w:pPr>
                    <w:jc w:val="both"/>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2、集中污水处理厂排水必须达到或优于《城镇污水处理厂污染物排放标准》（GB18918-2002）一级A标准。</w:t>
                  </w:r>
                </w:p>
                <w:p>
                  <w:pPr>
                    <w:jc w:val="both"/>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3、重点行业二氧化硫、氮氧化物、颗粒物、VOCs全面执行大气污染物特别排放限值。</w:t>
                  </w:r>
                </w:p>
                <w:p>
                  <w:pPr>
                    <w:jc w:val="both"/>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color w:val="auto"/>
                      <w:u w:val="none"/>
                    </w:rPr>
                    <w:t>4、新改扩建设项目主要污染物排放应满足总量减排要求。</w:t>
                  </w:r>
                </w:p>
              </w:tc>
              <w:tc>
                <w:tcPr>
                  <w:tcW w:w="1715" w:type="dxa"/>
                  <w:tcBorders>
                    <w:top w:val="single" w:color="auto" w:sz="4" w:space="0"/>
                    <w:bottom w:val="single" w:color="auto" w:sz="4" w:space="0"/>
                  </w:tcBorders>
                  <w:noWrap w:val="0"/>
                  <w:vAlign w:val="center"/>
                </w:tcPr>
                <w:p>
                  <w:pPr>
                    <w:adjustRightInd w:val="0"/>
                    <w:snapToGrid w:val="0"/>
                    <w:spacing w:line="360" w:lineRule="exact"/>
                    <w:jc w:val="center"/>
                    <w:rPr>
                      <w:rFonts w:hint="default" w:eastAsia="宋体"/>
                      <w:b w:val="0"/>
                      <w:bCs w:val="0"/>
                      <w:color w:val="auto"/>
                      <w:sz w:val="21"/>
                      <w:szCs w:val="21"/>
                      <w:u w:val="none"/>
                      <w:lang w:val="en-US" w:eastAsia="zh-CN"/>
                    </w:rPr>
                  </w:pPr>
                  <w:r>
                    <w:rPr>
                      <w:rFonts w:hint="eastAsia"/>
                      <w:b w:val="0"/>
                      <w:bCs w:val="0"/>
                      <w:color w:val="auto"/>
                      <w:sz w:val="21"/>
                      <w:szCs w:val="21"/>
                      <w:u w:val="none"/>
                      <w:lang w:val="en-US" w:eastAsia="zh-CN"/>
                    </w:rPr>
                    <w:t>本项目无新增生活污水，设备清洗水回用于生产，生产过程添加水，部分以水蒸气形式损失，部分随产品带走，因此本项目无废水外排。</w:t>
                  </w:r>
                </w:p>
              </w:tc>
              <w:tc>
                <w:tcPr>
                  <w:tcW w:w="491" w:type="dxa"/>
                  <w:tcBorders>
                    <w:top w:val="single" w:color="auto" w:sz="4" w:space="0"/>
                    <w:bottom w:val="single" w:color="auto" w:sz="4" w:space="0"/>
                  </w:tcBorders>
                  <w:noWrap w:val="0"/>
                  <w:vAlign w:val="center"/>
                </w:tcPr>
                <w:p>
                  <w:pPr>
                    <w:adjustRightInd w:val="0"/>
                    <w:snapToGrid w:val="0"/>
                    <w:spacing w:line="360" w:lineRule="exact"/>
                    <w:jc w:val="center"/>
                    <w:rPr>
                      <w:rFonts w:hint="eastAsia"/>
                      <w:b/>
                      <w:bCs/>
                      <w:color w:val="auto"/>
                      <w:sz w:val="21"/>
                      <w:szCs w:val="21"/>
                      <w:u w:val="none"/>
                    </w:rPr>
                  </w:pPr>
                  <w:r>
                    <w:rPr>
                      <w:rFonts w:hint="eastAsia"/>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jc w:val="center"/>
              </w:trPr>
              <w:tc>
                <w:tcPr>
                  <w:tcW w:w="887" w:type="dxa"/>
                  <w:vMerge w:val="continue"/>
                  <w:noWrap w:val="0"/>
                  <w:vAlign w:val="center"/>
                </w:tcPr>
                <w:p>
                  <w:pPr>
                    <w:adjustRightInd w:val="0"/>
                    <w:snapToGrid w:val="0"/>
                    <w:spacing w:line="360" w:lineRule="exact"/>
                    <w:jc w:val="center"/>
                    <w:rPr>
                      <w:rFonts w:hint="eastAsia"/>
                      <w:b w:val="0"/>
                      <w:bCs w:val="0"/>
                      <w:color w:val="auto"/>
                      <w:sz w:val="21"/>
                      <w:szCs w:val="21"/>
                      <w:u w:val="none"/>
                      <w:lang w:val="en-US" w:eastAsia="zh-CN"/>
                    </w:rPr>
                  </w:pPr>
                </w:p>
              </w:tc>
              <w:tc>
                <w:tcPr>
                  <w:tcW w:w="714" w:type="dxa"/>
                  <w:tcBorders>
                    <w:top w:val="single" w:color="auto" w:sz="4" w:space="0"/>
                    <w:bottom w:val="single" w:color="auto" w:sz="4" w:space="0"/>
                  </w:tcBorders>
                  <w:noWrap w:val="0"/>
                  <w:vAlign w:val="center"/>
                </w:tcPr>
                <w:p>
                  <w:pPr>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color w:val="auto"/>
                      <w:u w:val="none"/>
                    </w:rPr>
                    <w:t>环境风险防控</w:t>
                  </w:r>
                </w:p>
              </w:tc>
              <w:tc>
                <w:tcPr>
                  <w:tcW w:w="3287" w:type="dxa"/>
                  <w:tcBorders>
                    <w:top w:val="single" w:color="auto" w:sz="4" w:space="0"/>
                    <w:bottom w:val="single" w:color="auto" w:sz="4" w:space="0"/>
                  </w:tcBorders>
                  <w:noWrap w:val="0"/>
                  <w:vAlign w:val="center"/>
                </w:tcPr>
                <w:p>
                  <w:pPr>
                    <w:pStyle w:val="33"/>
                    <w:jc w:val="both"/>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1、制定环境风险应急预案，落实环境风险防范和应急措施，强化环境风险防范及应急处置能力，建立“企业-园区-政府”三级环境风险应急联动机制。</w:t>
                  </w:r>
                </w:p>
                <w:p>
                  <w:pPr>
                    <w:pStyle w:val="33"/>
                    <w:jc w:val="both"/>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2、有色金属冶炼、铅酸蓄电池、石油加工、化工、电镀、制革和微信化学品生产、储存、使用等企业在拆除生产设施设备、污染治理设施时，要事先制定残留污染物清理和安全处置方案。</w:t>
                  </w:r>
                </w:p>
                <w:p>
                  <w:pPr>
                    <w:pStyle w:val="33"/>
                    <w:jc w:val="both"/>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color w:val="auto"/>
                      <w:u w:val="none"/>
                    </w:rPr>
                    <w:t>3、对高关注地块划分污染风险等级，纳入优先管控名录。</w:t>
                  </w:r>
                </w:p>
              </w:tc>
              <w:tc>
                <w:tcPr>
                  <w:tcW w:w="1715" w:type="dxa"/>
                  <w:tcBorders>
                    <w:top w:val="single" w:color="auto" w:sz="4" w:space="0"/>
                    <w:bottom w:val="single" w:color="auto" w:sz="4" w:space="0"/>
                  </w:tcBorders>
                  <w:noWrap w:val="0"/>
                  <w:vAlign w:val="center"/>
                </w:tcPr>
                <w:p>
                  <w:pPr>
                    <w:adjustRightInd w:val="0"/>
                    <w:snapToGrid w:val="0"/>
                    <w:spacing w:line="360" w:lineRule="exact"/>
                    <w:jc w:val="center"/>
                    <w:rPr>
                      <w:rFonts w:hint="default" w:eastAsia="宋体"/>
                      <w:b w:val="0"/>
                      <w:bCs w:val="0"/>
                      <w:color w:val="auto"/>
                      <w:sz w:val="21"/>
                      <w:szCs w:val="21"/>
                      <w:u w:val="none"/>
                      <w:lang w:val="en-US" w:eastAsia="zh-CN"/>
                    </w:rPr>
                  </w:pPr>
                  <w:r>
                    <w:rPr>
                      <w:rFonts w:hint="eastAsia"/>
                      <w:b w:val="0"/>
                      <w:bCs w:val="0"/>
                      <w:color w:val="auto"/>
                      <w:sz w:val="21"/>
                      <w:szCs w:val="21"/>
                      <w:u w:val="none"/>
                      <w:lang w:val="en-US" w:eastAsia="zh-CN"/>
                    </w:rPr>
                    <w:t>建议企业制定环境风险应急预案</w:t>
                  </w:r>
                </w:p>
              </w:tc>
              <w:tc>
                <w:tcPr>
                  <w:tcW w:w="491" w:type="dxa"/>
                  <w:tcBorders>
                    <w:top w:val="single" w:color="auto" w:sz="4" w:space="0"/>
                    <w:bottom w:val="single" w:color="auto" w:sz="4" w:space="0"/>
                  </w:tcBorders>
                  <w:noWrap w:val="0"/>
                  <w:vAlign w:val="center"/>
                </w:tcPr>
                <w:p>
                  <w:pPr>
                    <w:adjustRightInd w:val="0"/>
                    <w:snapToGrid w:val="0"/>
                    <w:spacing w:line="360" w:lineRule="exact"/>
                    <w:jc w:val="center"/>
                    <w:rPr>
                      <w:rFonts w:hint="eastAsia"/>
                      <w:b/>
                      <w:bCs/>
                      <w:color w:val="auto"/>
                      <w:sz w:val="21"/>
                      <w:szCs w:val="21"/>
                      <w:u w:val="none"/>
                    </w:rPr>
                  </w:pPr>
                  <w:r>
                    <w:rPr>
                      <w:rFonts w:hint="eastAsia"/>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jc w:val="center"/>
              </w:trPr>
              <w:tc>
                <w:tcPr>
                  <w:tcW w:w="887" w:type="dxa"/>
                  <w:vMerge w:val="continue"/>
                  <w:noWrap w:val="0"/>
                  <w:vAlign w:val="center"/>
                </w:tcPr>
                <w:p>
                  <w:pPr>
                    <w:adjustRightInd w:val="0"/>
                    <w:snapToGrid w:val="0"/>
                    <w:spacing w:line="360" w:lineRule="exact"/>
                    <w:jc w:val="center"/>
                    <w:rPr>
                      <w:rFonts w:hint="eastAsia"/>
                      <w:b w:val="0"/>
                      <w:bCs w:val="0"/>
                      <w:color w:val="auto"/>
                      <w:sz w:val="21"/>
                      <w:szCs w:val="21"/>
                      <w:u w:val="none"/>
                      <w:lang w:val="en-US" w:eastAsia="zh-CN"/>
                    </w:rPr>
                  </w:pPr>
                </w:p>
              </w:tc>
              <w:tc>
                <w:tcPr>
                  <w:tcW w:w="714" w:type="dxa"/>
                  <w:tcBorders>
                    <w:top w:val="single" w:color="auto" w:sz="4" w:space="0"/>
                  </w:tcBorders>
                  <w:noWrap w:val="0"/>
                  <w:vAlign w:val="center"/>
                </w:tcPr>
                <w:p>
                  <w:pPr>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color w:val="auto"/>
                      <w:u w:val="none"/>
                    </w:rPr>
                    <w:t>资源利用效率要求</w:t>
                  </w:r>
                </w:p>
              </w:tc>
              <w:tc>
                <w:tcPr>
                  <w:tcW w:w="3287" w:type="dxa"/>
                  <w:tcBorders>
                    <w:top w:val="single" w:color="auto" w:sz="4" w:space="0"/>
                  </w:tcBorders>
                  <w:noWrap w:val="0"/>
                  <w:vAlign w:val="center"/>
                </w:tcPr>
                <w:p>
                  <w:pPr>
                    <w:jc w:val="both"/>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1、企业应不断提高资源能源利用效率，新改扩建建设项目的清洁生产水平应达到国内先进水平。</w:t>
                  </w:r>
                </w:p>
                <w:p>
                  <w:pPr>
                    <w:jc w:val="both"/>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color w:val="auto"/>
                      <w:u w:val="none"/>
                    </w:rPr>
                    <w:t>2、企业、园区应加大污水回用力度，建设再生水回用配套设施，提高再生水利用率。</w:t>
                  </w:r>
                </w:p>
              </w:tc>
              <w:tc>
                <w:tcPr>
                  <w:tcW w:w="1715" w:type="dxa"/>
                  <w:tcBorders>
                    <w:top w:val="single" w:color="auto" w:sz="4" w:space="0"/>
                  </w:tcBorders>
                  <w:noWrap w:val="0"/>
                  <w:vAlign w:val="center"/>
                </w:tcPr>
                <w:p>
                  <w:pPr>
                    <w:adjustRightInd w:val="0"/>
                    <w:snapToGrid w:val="0"/>
                    <w:spacing w:line="360" w:lineRule="exact"/>
                    <w:jc w:val="center"/>
                    <w:rPr>
                      <w:rFonts w:hint="eastAsia"/>
                      <w:b w:val="0"/>
                      <w:bCs w:val="0"/>
                      <w:color w:val="auto"/>
                      <w:sz w:val="21"/>
                      <w:szCs w:val="21"/>
                      <w:u w:val="none"/>
                    </w:rPr>
                  </w:pPr>
                  <w:r>
                    <w:rPr>
                      <w:rFonts w:hint="default" w:ascii="Times New Roman" w:hAnsi="Times New Roman" w:cs="Times New Roman"/>
                      <w:b w:val="0"/>
                      <w:bCs w:val="0"/>
                      <w:color w:val="auto"/>
                      <w:kern w:val="0"/>
                      <w:sz w:val="21"/>
                      <w:szCs w:val="21"/>
                      <w:u w:val="none"/>
                      <w:lang w:val="en-US" w:eastAsia="zh-CN"/>
                    </w:rPr>
                    <w:t>本项目在单位产品水耗、能耗、污染物排放量等清洁生产指标能够到国内同行业先进水平</w:t>
                  </w:r>
                </w:p>
              </w:tc>
              <w:tc>
                <w:tcPr>
                  <w:tcW w:w="491" w:type="dxa"/>
                  <w:tcBorders>
                    <w:top w:val="single" w:color="auto" w:sz="4" w:space="0"/>
                  </w:tcBorders>
                  <w:noWrap w:val="0"/>
                  <w:vAlign w:val="center"/>
                </w:tcPr>
                <w:p>
                  <w:pPr>
                    <w:adjustRightInd w:val="0"/>
                    <w:snapToGrid w:val="0"/>
                    <w:spacing w:line="360" w:lineRule="exact"/>
                    <w:jc w:val="center"/>
                    <w:rPr>
                      <w:rFonts w:hint="eastAsia"/>
                      <w:b/>
                      <w:bCs/>
                      <w:color w:val="auto"/>
                      <w:sz w:val="21"/>
                      <w:szCs w:val="21"/>
                      <w:u w:val="none"/>
                    </w:rPr>
                  </w:pPr>
                  <w:r>
                    <w:rPr>
                      <w:rFonts w:hint="eastAsia"/>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87" w:type="dxa"/>
                  <w:noWrap w:val="0"/>
                  <w:vAlign w:val="center"/>
                </w:tcPr>
                <w:p>
                  <w:pPr>
                    <w:adjustRightInd w:val="0"/>
                    <w:snapToGrid w:val="0"/>
                    <w:spacing w:line="360" w:lineRule="exact"/>
                    <w:jc w:val="center"/>
                    <w:rPr>
                      <w:b w:val="0"/>
                      <w:bCs w:val="0"/>
                      <w:color w:val="auto"/>
                      <w:sz w:val="21"/>
                      <w:szCs w:val="21"/>
                      <w:u w:val="none"/>
                    </w:rPr>
                  </w:pPr>
                  <w:r>
                    <w:rPr>
                      <w:rFonts w:hint="eastAsia"/>
                      <w:b w:val="0"/>
                      <w:bCs w:val="0"/>
                      <w:color w:val="auto"/>
                      <w:sz w:val="21"/>
                      <w:szCs w:val="21"/>
                      <w:u w:val="none"/>
                      <w:lang w:val="en-US" w:eastAsia="zh-CN"/>
                    </w:rPr>
                    <w:t>永城</w:t>
                  </w:r>
                  <w:r>
                    <w:rPr>
                      <w:b w:val="0"/>
                      <w:bCs w:val="0"/>
                      <w:color w:val="auto"/>
                      <w:sz w:val="21"/>
                      <w:szCs w:val="21"/>
                      <w:u w:val="none"/>
                    </w:rPr>
                    <w:t>市水环境优先保护单元</w:t>
                  </w:r>
                </w:p>
              </w:tc>
              <w:tc>
                <w:tcPr>
                  <w:tcW w:w="714" w:type="dxa"/>
                  <w:noWrap w:val="0"/>
                  <w:vAlign w:val="center"/>
                </w:tcPr>
                <w:p>
                  <w:pPr>
                    <w:adjustRightInd w:val="0"/>
                    <w:snapToGrid w:val="0"/>
                    <w:spacing w:line="360" w:lineRule="exact"/>
                    <w:jc w:val="center"/>
                    <w:rPr>
                      <w:b w:val="0"/>
                      <w:bCs w:val="0"/>
                      <w:color w:val="auto"/>
                      <w:sz w:val="21"/>
                      <w:szCs w:val="21"/>
                      <w:u w:val="none"/>
                    </w:rPr>
                  </w:pPr>
                  <w:r>
                    <w:rPr>
                      <w:b w:val="0"/>
                      <w:bCs w:val="0"/>
                      <w:color w:val="auto"/>
                      <w:sz w:val="21"/>
                      <w:szCs w:val="21"/>
                      <w:u w:val="none"/>
                    </w:rPr>
                    <w:t>空间布局约束</w:t>
                  </w:r>
                </w:p>
              </w:tc>
              <w:tc>
                <w:tcPr>
                  <w:tcW w:w="3287" w:type="dxa"/>
                  <w:noWrap w:val="0"/>
                  <w:vAlign w:val="center"/>
                </w:tcPr>
                <w:p>
                  <w:pPr>
                    <w:adjustRightInd w:val="0"/>
                    <w:snapToGrid w:val="0"/>
                    <w:spacing w:line="360" w:lineRule="exact"/>
                    <w:rPr>
                      <w:b w:val="0"/>
                      <w:bCs w:val="0"/>
                      <w:color w:val="auto"/>
                      <w:sz w:val="21"/>
                      <w:szCs w:val="21"/>
                      <w:u w:val="none"/>
                    </w:rPr>
                  </w:pPr>
                  <w:r>
                    <w:rPr>
                      <w:b w:val="0"/>
                      <w:bCs w:val="0"/>
                      <w:color w:val="auto"/>
                      <w:sz w:val="21"/>
                      <w:szCs w:val="21"/>
                      <w:u w:val="none"/>
                    </w:rPr>
                    <w:t>1、湿地保护范围内禁止设立开发区、产业园区。</w:t>
                  </w:r>
                </w:p>
              </w:tc>
              <w:tc>
                <w:tcPr>
                  <w:tcW w:w="1715" w:type="dxa"/>
                  <w:noWrap w:val="0"/>
                  <w:vAlign w:val="center"/>
                </w:tcPr>
                <w:p>
                  <w:pPr>
                    <w:adjustRightInd w:val="0"/>
                    <w:snapToGrid w:val="0"/>
                    <w:spacing w:line="360" w:lineRule="exact"/>
                    <w:jc w:val="center"/>
                    <w:rPr>
                      <w:b w:val="0"/>
                      <w:bCs w:val="0"/>
                      <w:color w:val="auto"/>
                      <w:sz w:val="21"/>
                      <w:szCs w:val="21"/>
                      <w:u w:val="none"/>
                    </w:rPr>
                  </w:pPr>
                  <w:r>
                    <w:rPr>
                      <w:rFonts w:hint="eastAsia"/>
                      <w:b w:val="0"/>
                      <w:bCs w:val="0"/>
                      <w:color w:val="auto"/>
                      <w:sz w:val="21"/>
                      <w:szCs w:val="21"/>
                      <w:u w:val="none"/>
                    </w:rPr>
                    <w:t>1、本项目不位于</w:t>
                  </w:r>
                  <w:r>
                    <w:rPr>
                      <w:b w:val="0"/>
                      <w:bCs w:val="0"/>
                      <w:color w:val="auto"/>
                      <w:sz w:val="21"/>
                      <w:szCs w:val="21"/>
                      <w:u w:val="none"/>
                    </w:rPr>
                    <w:t>湿地保护范围内</w:t>
                  </w:r>
                  <w:r>
                    <w:rPr>
                      <w:rFonts w:hint="eastAsia"/>
                      <w:b w:val="0"/>
                      <w:bCs w:val="0"/>
                      <w:color w:val="auto"/>
                      <w:sz w:val="21"/>
                      <w:szCs w:val="21"/>
                      <w:u w:val="none"/>
                    </w:rPr>
                    <w:t>。</w:t>
                  </w:r>
                </w:p>
              </w:tc>
              <w:tc>
                <w:tcPr>
                  <w:tcW w:w="491" w:type="dxa"/>
                  <w:noWrap w:val="0"/>
                  <w:vAlign w:val="center"/>
                </w:tcPr>
                <w:p>
                  <w:pPr>
                    <w:adjustRightInd w:val="0"/>
                    <w:snapToGrid w:val="0"/>
                    <w:spacing w:line="360" w:lineRule="exact"/>
                    <w:jc w:val="center"/>
                    <w:rPr>
                      <w:b/>
                      <w:bCs/>
                      <w:color w:val="auto"/>
                      <w:sz w:val="21"/>
                      <w:szCs w:val="21"/>
                      <w:u w:val="none"/>
                    </w:rPr>
                  </w:pPr>
                  <w:r>
                    <w:rPr>
                      <w:rFonts w:hint="eastAsia"/>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87" w:type="dxa"/>
                  <w:noWrap w:val="0"/>
                  <w:vAlign w:val="center"/>
                </w:tcPr>
                <w:p>
                  <w:pPr>
                    <w:adjustRightInd w:val="0"/>
                    <w:snapToGrid w:val="0"/>
                    <w:spacing w:line="360" w:lineRule="exact"/>
                    <w:jc w:val="center"/>
                    <w:rPr>
                      <w:b w:val="0"/>
                      <w:bCs w:val="0"/>
                      <w:color w:val="auto"/>
                      <w:sz w:val="21"/>
                      <w:szCs w:val="21"/>
                      <w:u w:val="none"/>
                    </w:rPr>
                  </w:pPr>
                  <w:r>
                    <w:rPr>
                      <w:rFonts w:hint="eastAsia"/>
                      <w:b w:val="0"/>
                      <w:bCs w:val="0"/>
                      <w:color w:val="auto"/>
                      <w:sz w:val="21"/>
                      <w:szCs w:val="21"/>
                      <w:u w:val="none"/>
                      <w:lang w:val="en-US" w:eastAsia="zh-CN"/>
                    </w:rPr>
                    <w:t>永城</w:t>
                  </w:r>
                  <w:r>
                    <w:rPr>
                      <w:b w:val="0"/>
                      <w:bCs w:val="0"/>
                      <w:color w:val="auto"/>
                      <w:sz w:val="21"/>
                      <w:szCs w:val="21"/>
                      <w:u w:val="none"/>
                    </w:rPr>
                    <w:t>市一般生态空间</w:t>
                  </w:r>
                </w:p>
              </w:tc>
              <w:tc>
                <w:tcPr>
                  <w:tcW w:w="714" w:type="dxa"/>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空间布局约束</w:t>
                  </w:r>
                </w:p>
              </w:tc>
              <w:tc>
                <w:tcPr>
                  <w:tcW w:w="3287" w:type="dxa"/>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1、严格控制生态空间转为城镇空间和农业空间。严格控制新增建设用地占用一般生态空间。防止过度垦殖、放牧、采伐、取水、渔猎、旅游等对生态功能造成损害，确保自然生态系统的稳定。</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2、湿地保育区除开展保护、监测、科学研究等必需的保护管理活动外，不得进行任何与湿地生态系统保护和管理无关的其他活动。在湿地保护范围内禁止围垦湿地、填埋湿地等活动。</w:t>
                  </w:r>
                </w:p>
              </w:tc>
              <w:tc>
                <w:tcPr>
                  <w:tcW w:w="1715" w:type="dxa"/>
                  <w:noWrap w:val="0"/>
                  <w:vAlign w:val="center"/>
                </w:tcPr>
                <w:p>
                  <w:pPr>
                    <w:adjustRightInd w:val="0"/>
                    <w:snapToGrid w:val="0"/>
                    <w:spacing w:line="360" w:lineRule="exact"/>
                    <w:jc w:val="center"/>
                    <w:rPr>
                      <w:b w:val="0"/>
                      <w:bCs w:val="0"/>
                      <w:color w:val="auto"/>
                      <w:sz w:val="21"/>
                      <w:szCs w:val="21"/>
                      <w:u w:val="none"/>
                    </w:rPr>
                  </w:pPr>
                  <w:r>
                    <w:rPr>
                      <w:rFonts w:hint="eastAsia"/>
                      <w:b w:val="0"/>
                      <w:bCs w:val="0"/>
                      <w:color w:val="auto"/>
                      <w:sz w:val="21"/>
                      <w:szCs w:val="21"/>
                      <w:u w:val="none"/>
                    </w:rPr>
                    <w:t>本项目不位于</w:t>
                  </w:r>
                  <w:r>
                    <w:rPr>
                      <w:rFonts w:hint="eastAsia"/>
                      <w:b w:val="0"/>
                      <w:bCs w:val="0"/>
                      <w:color w:val="auto"/>
                      <w:sz w:val="21"/>
                      <w:szCs w:val="21"/>
                      <w:u w:val="none"/>
                      <w:lang w:val="en-US" w:eastAsia="zh-CN"/>
                    </w:rPr>
                    <w:t>永城</w:t>
                  </w:r>
                  <w:r>
                    <w:rPr>
                      <w:b w:val="0"/>
                      <w:bCs w:val="0"/>
                      <w:color w:val="auto"/>
                      <w:sz w:val="21"/>
                      <w:szCs w:val="21"/>
                      <w:u w:val="none"/>
                    </w:rPr>
                    <w:t>市一般生态空间</w:t>
                  </w:r>
                  <w:r>
                    <w:rPr>
                      <w:rFonts w:hint="eastAsia"/>
                      <w:b w:val="0"/>
                      <w:bCs w:val="0"/>
                      <w:color w:val="auto"/>
                      <w:sz w:val="21"/>
                      <w:szCs w:val="21"/>
                      <w:u w:val="none"/>
                    </w:rPr>
                    <w:t>内。</w:t>
                  </w:r>
                </w:p>
              </w:tc>
              <w:tc>
                <w:tcPr>
                  <w:tcW w:w="491" w:type="dxa"/>
                  <w:noWrap w:val="0"/>
                  <w:vAlign w:val="center"/>
                </w:tcPr>
                <w:p>
                  <w:pPr>
                    <w:adjustRightInd w:val="0"/>
                    <w:snapToGrid w:val="0"/>
                    <w:spacing w:line="360" w:lineRule="exact"/>
                    <w:jc w:val="center"/>
                    <w:rPr>
                      <w:b/>
                      <w:bCs/>
                      <w:color w:val="auto"/>
                      <w:sz w:val="21"/>
                      <w:szCs w:val="21"/>
                      <w:u w:val="none"/>
                    </w:rPr>
                  </w:pPr>
                  <w:r>
                    <w:rPr>
                      <w:rFonts w:hint="eastAsia"/>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87" w:type="dxa"/>
                  <w:vMerge w:val="restart"/>
                  <w:noWrap w:val="0"/>
                  <w:vAlign w:val="center"/>
                </w:tcPr>
                <w:p>
                  <w:pPr>
                    <w:adjustRightInd w:val="0"/>
                    <w:snapToGrid w:val="0"/>
                    <w:spacing w:line="360" w:lineRule="exact"/>
                    <w:jc w:val="center"/>
                    <w:rPr>
                      <w:b w:val="0"/>
                      <w:bCs w:val="0"/>
                      <w:color w:val="auto"/>
                      <w:sz w:val="21"/>
                      <w:szCs w:val="21"/>
                      <w:u w:val="none"/>
                    </w:rPr>
                  </w:pPr>
                  <w:r>
                    <w:rPr>
                      <w:rFonts w:hint="eastAsia"/>
                      <w:b w:val="0"/>
                      <w:bCs w:val="0"/>
                      <w:color w:val="auto"/>
                      <w:sz w:val="21"/>
                      <w:szCs w:val="21"/>
                      <w:u w:val="none"/>
                      <w:lang w:val="en-US" w:eastAsia="zh-CN"/>
                    </w:rPr>
                    <w:t>永城</w:t>
                  </w:r>
                  <w:r>
                    <w:rPr>
                      <w:b w:val="0"/>
                      <w:bCs w:val="0"/>
                      <w:color w:val="auto"/>
                      <w:sz w:val="21"/>
                      <w:szCs w:val="21"/>
                      <w:u w:val="none"/>
                    </w:rPr>
                    <w:t>市城镇重点单元</w:t>
                  </w:r>
                </w:p>
              </w:tc>
              <w:tc>
                <w:tcPr>
                  <w:tcW w:w="714" w:type="dxa"/>
                  <w:noWrap w:val="0"/>
                  <w:vAlign w:val="center"/>
                </w:tcPr>
                <w:p>
                  <w:pPr>
                    <w:adjustRightInd w:val="0"/>
                    <w:snapToGrid w:val="0"/>
                    <w:spacing w:line="360" w:lineRule="exact"/>
                    <w:jc w:val="center"/>
                    <w:rPr>
                      <w:b w:val="0"/>
                      <w:bCs w:val="0"/>
                      <w:color w:val="auto"/>
                      <w:sz w:val="21"/>
                      <w:szCs w:val="21"/>
                      <w:u w:val="none"/>
                    </w:rPr>
                  </w:pPr>
                  <w:r>
                    <w:rPr>
                      <w:b w:val="0"/>
                      <w:bCs w:val="0"/>
                      <w:color w:val="auto"/>
                      <w:sz w:val="21"/>
                      <w:szCs w:val="21"/>
                      <w:u w:val="none"/>
                    </w:rPr>
                    <w:t>空间布局约束</w:t>
                  </w:r>
                </w:p>
              </w:tc>
              <w:tc>
                <w:tcPr>
                  <w:tcW w:w="3287" w:type="dxa"/>
                  <w:noWrap w:val="0"/>
                  <w:vAlign w:val="center"/>
                </w:tcPr>
                <w:p>
                  <w:pPr>
                    <w:rPr>
                      <w:rFonts w:cs="Times New Roman"/>
                      <w:b w:val="0"/>
                      <w:bCs w:val="0"/>
                      <w:color w:val="auto"/>
                      <w:sz w:val="21"/>
                      <w:szCs w:val="21"/>
                      <w:u w:val="none"/>
                    </w:rPr>
                  </w:pPr>
                  <w:r>
                    <w:rPr>
                      <w:rFonts w:cs="Times New Roman"/>
                      <w:b w:val="0"/>
                      <w:bCs w:val="0"/>
                      <w:color w:val="auto"/>
                      <w:sz w:val="21"/>
                      <w:szCs w:val="21"/>
                      <w:u w:val="none"/>
                    </w:rPr>
                    <w:t>1、禁止新建、改建及扩建高污染、高风险建设项目。</w:t>
                  </w:r>
                </w:p>
                <w:p>
                  <w:pPr>
                    <w:adjustRightInd w:val="0"/>
                    <w:snapToGrid w:val="0"/>
                    <w:spacing w:line="360" w:lineRule="exact"/>
                    <w:rPr>
                      <w:b w:val="0"/>
                      <w:bCs w:val="0"/>
                      <w:color w:val="auto"/>
                      <w:sz w:val="21"/>
                      <w:szCs w:val="21"/>
                      <w:u w:val="none"/>
                    </w:rPr>
                  </w:pPr>
                  <w:r>
                    <w:rPr>
                      <w:rFonts w:cs="Times New Roman"/>
                      <w:b w:val="0"/>
                      <w:bCs w:val="0"/>
                      <w:color w:val="auto"/>
                      <w:sz w:val="21"/>
                      <w:szCs w:val="21"/>
                      <w:u w:val="none"/>
                    </w:rPr>
                    <w:t>2、鼓励该区域内现有工业企业退城入园。</w:t>
                  </w:r>
                </w:p>
              </w:tc>
              <w:tc>
                <w:tcPr>
                  <w:tcW w:w="1715" w:type="dxa"/>
                  <w:noWrap w:val="0"/>
                  <w:vAlign w:val="center"/>
                </w:tcPr>
                <w:p>
                  <w:pPr>
                    <w:adjustRightInd w:val="0"/>
                    <w:snapToGrid w:val="0"/>
                    <w:spacing w:line="360" w:lineRule="exact"/>
                    <w:jc w:val="center"/>
                    <w:rPr>
                      <w:rFonts w:hint="eastAsia" w:eastAsia="宋体"/>
                      <w:b w:val="0"/>
                      <w:bCs w:val="0"/>
                      <w:color w:val="auto"/>
                      <w:sz w:val="21"/>
                      <w:szCs w:val="21"/>
                      <w:u w:val="none"/>
                      <w:lang w:val="en-US" w:eastAsia="zh-CN"/>
                    </w:rPr>
                  </w:pPr>
                  <w:r>
                    <w:rPr>
                      <w:rFonts w:hint="eastAsia"/>
                      <w:b w:val="0"/>
                      <w:bCs w:val="0"/>
                      <w:color w:val="auto"/>
                      <w:sz w:val="21"/>
                      <w:szCs w:val="21"/>
                      <w:u w:val="none"/>
                    </w:rPr>
                    <w:t>1、本项目不位于</w:t>
                  </w:r>
                  <w:r>
                    <w:rPr>
                      <w:rFonts w:hint="eastAsia"/>
                      <w:b w:val="0"/>
                      <w:bCs w:val="0"/>
                      <w:color w:val="auto"/>
                      <w:sz w:val="21"/>
                      <w:szCs w:val="21"/>
                      <w:u w:val="none"/>
                      <w:lang w:val="en-US" w:eastAsia="zh-CN"/>
                    </w:rPr>
                    <w:t>永城</w:t>
                  </w:r>
                  <w:r>
                    <w:rPr>
                      <w:b w:val="0"/>
                      <w:bCs w:val="0"/>
                      <w:color w:val="auto"/>
                      <w:sz w:val="21"/>
                      <w:szCs w:val="21"/>
                      <w:u w:val="none"/>
                    </w:rPr>
                    <w:t>市空间布局约束</w:t>
                  </w:r>
                  <w:r>
                    <w:rPr>
                      <w:rFonts w:hint="eastAsia"/>
                      <w:b w:val="0"/>
                      <w:bCs w:val="0"/>
                      <w:color w:val="auto"/>
                      <w:sz w:val="21"/>
                      <w:szCs w:val="21"/>
                      <w:u w:val="none"/>
                      <w:lang w:val="en-US" w:eastAsia="zh-CN"/>
                    </w:rPr>
                    <w:t>区域</w:t>
                  </w:r>
                </w:p>
              </w:tc>
              <w:tc>
                <w:tcPr>
                  <w:tcW w:w="491" w:type="dxa"/>
                  <w:noWrap w:val="0"/>
                  <w:vAlign w:val="center"/>
                </w:tcPr>
                <w:p>
                  <w:pPr>
                    <w:adjustRightInd w:val="0"/>
                    <w:snapToGrid w:val="0"/>
                    <w:spacing w:line="360" w:lineRule="exact"/>
                    <w:jc w:val="center"/>
                    <w:rPr>
                      <w:b/>
                      <w:bCs/>
                      <w:color w:val="auto"/>
                      <w:sz w:val="21"/>
                      <w:szCs w:val="21"/>
                      <w:u w:val="none"/>
                    </w:rPr>
                  </w:pPr>
                  <w:r>
                    <w:rPr>
                      <w:rFonts w:hint="eastAsia"/>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87" w:type="dxa"/>
                  <w:vMerge w:val="continue"/>
                  <w:noWrap w:val="0"/>
                  <w:vAlign w:val="center"/>
                </w:tcPr>
                <w:p>
                  <w:pPr>
                    <w:adjustRightInd w:val="0"/>
                    <w:snapToGrid w:val="0"/>
                    <w:spacing w:line="360" w:lineRule="exact"/>
                    <w:jc w:val="center"/>
                    <w:rPr>
                      <w:b w:val="0"/>
                      <w:bCs w:val="0"/>
                      <w:color w:val="auto"/>
                      <w:sz w:val="21"/>
                      <w:szCs w:val="21"/>
                      <w:u w:val="none"/>
                    </w:rPr>
                  </w:pPr>
                </w:p>
              </w:tc>
              <w:tc>
                <w:tcPr>
                  <w:tcW w:w="714" w:type="dxa"/>
                  <w:noWrap w:val="0"/>
                  <w:vAlign w:val="center"/>
                </w:tcPr>
                <w:p>
                  <w:pPr>
                    <w:adjustRightInd w:val="0"/>
                    <w:snapToGrid w:val="0"/>
                    <w:spacing w:line="360" w:lineRule="exact"/>
                    <w:jc w:val="center"/>
                    <w:rPr>
                      <w:b w:val="0"/>
                      <w:bCs w:val="0"/>
                      <w:color w:val="auto"/>
                      <w:sz w:val="21"/>
                      <w:szCs w:val="21"/>
                      <w:u w:val="none"/>
                    </w:rPr>
                  </w:pPr>
                  <w:r>
                    <w:rPr>
                      <w:b w:val="0"/>
                      <w:bCs w:val="0"/>
                      <w:color w:val="auto"/>
                      <w:sz w:val="21"/>
                      <w:szCs w:val="21"/>
                      <w:u w:val="none"/>
                    </w:rPr>
                    <w:t>污染物排放管控</w:t>
                  </w:r>
                </w:p>
              </w:tc>
              <w:tc>
                <w:tcPr>
                  <w:tcW w:w="3287" w:type="dxa"/>
                  <w:noWrap w:val="0"/>
                  <w:vAlign w:val="center"/>
                </w:tcPr>
                <w:p>
                  <w:pPr>
                    <w:rPr>
                      <w:rFonts w:cs="Times New Roman"/>
                      <w:b w:val="0"/>
                      <w:bCs w:val="0"/>
                      <w:color w:val="auto"/>
                      <w:sz w:val="21"/>
                      <w:szCs w:val="21"/>
                      <w:u w:val="none"/>
                    </w:rPr>
                  </w:pPr>
                  <w:r>
                    <w:rPr>
                      <w:rFonts w:cs="Times New Roman"/>
                      <w:b w:val="0"/>
                      <w:bCs w:val="0"/>
                      <w:color w:val="auto"/>
                      <w:sz w:val="21"/>
                      <w:szCs w:val="21"/>
                      <w:u w:val="none"/>
                    </w:rPr>
                    <w:t>1、持续开展“散乱污”企业动态清零，实现平原地区散煤取暖基本清零，开展城市清洁行动，全面提升“三散”污染治理水平。</w:t>
                  </w:r>
                </w:p>
                <w:p>
                  <w:pPr>
                    <w:adjustRightInd w:val="0"/>
                    <w:snapToGrid w:val="0"/>
                    <w:spacing w:line="360" w:lineRule="exact"/>
                    <w:rPr>
                      <w:b w:val="0"/>
                      <w:bCs w:val="0"/>
                      <w:color w:val="auto"/>
                      <w:sz w:val="21"/>
                      <w:szCs w:val="21"/>
                      <w:u w:val="none"/>
                    </w:rPr>
                  </w:pPr>
                  <w:r>
                    <w:rPr>
                      <w:rFonts w:cs="Times New Roman"/>
                      <w:b w:val="0"/>
                      <w:bCs w:val="0"/>
                      <w:color w:val="auto"/>
                      <w:sz w:val="21"/>
                      <w:szCs w:val="21"/>
                      <w:u w:val="none"/>
                    </w:rPr>
                    <w:t>2、优先发展城市公共交通，推广新能源汽车，鼓励公众绿色出行。根据大气环境质量状况，采取机动车限行，重型货车绕行等措施，减少机动车污染。</w:t>
                  </w:r>
                </w:p>
              </w:tc>
              <w:tc>
                <w:tcPr>
                  <w:tcW w:w="1715" w:type="dxa"/>
                  <w:noWrap w:val="0"/>
                  <w:vAlign w:val="center"/>
                </w:tcPr>
                <w:p>
                  <w:pPr>
                    <w:adjustRightInd w:val="0"/>
                    <w:snapToGrid w:val="0"/>
                    <w:spacing w:line="360" w:lineRule="exact"/>
                    <w:jc w:val="center"/>
                    <w:rPr>
                      <w:rFonts w:hint="eastAsia"/>
                      <w:b w:val="0"/>
                      <w:bCs w:val="0"/>
                      <w:color w:val="auto"/>
                      <w:sz w:val="21"/>
                      <w:szCs w:val="21"/>
                      <w:u w:val="none"/>
                    </w:rPr>
                  </w:pPr>
                  <w:r>
                    <w:rPr>
                      <w:rFonts w:hint="eastAsia"/>
                      <w:b w:val="0"/>
                      <w:bCs w:val="0"/>
                      <w:color w:val="auto"/>
                      <w:sz w:val="21"/>
                      <w:szCs w:val="21"/>
                      <w:u w:val="none"/>
                    </w:rPr>
                    <w:t>1、本项目</w:t>
                  </w:r>
                  <w:r>
                    <w:rPr>
                      <w:rFonts w:hint="eastAsia"/>
                      <w:b w:val="0"/>
                      <w:bCs w:val="0"/>
                      <w:color w:val="auto"/>
                      <w:sz w:val="21"/>
                      <w:szCs w:val="21"/>
                      <w:u w:val="none"/>
                      <w:lang w:val="en-US" w:eastAsia="zh-CN"/>
                    </w:rPr>
                    <w:t>不属于“散乱污”企业，不涉及煤取暖</w:t>
                  </w:r>
                  <w:r>
                    <w:rPr>
                      <w:rFonts w:hint="eastAsia"/>
                      <w:b w:val="0"/>
                      <w:bCs w:val="0"/>
                      <w:color w:val="auto"/>
                      <w:sz w:val="21"/>
                      <w:szCs w:val="21"/>
                      <w:u w:val="none"/>
                    </w:rPr>
                    <w:t>。</w:t>
                  </w:r>
                </w:p>
                <w:p>
                  <w:pPr>
                    <w:adjustRightInd w:val="0"/>
                    <w:snapToGrid w:val="0"/>
                    <w:spacing w:line="360" w:lineRule="exact"/>
                    <w:jc w:val="center"/>
                    <w:rPr>
                      <w:b w:val="0"/>
                      <w:bCs w:val="0"/>
                      <w:color w:val="auto"/>
                      <w:sz w:val="21"/>
                      <w:szCs w:val="21"/>
                      <w:u w:val="none"/>
                    </w:rPr>
                  </w:pPr>
                  <w:r>
                    <w:rPr>
                      <w:rFonts w:hint="eastAsia"/>
                      <w:b w:val="0"/>
                      <w:bCs w:val="0"/>
                      <w:color w:val="auto"/>
                      <w:sz w:val="21"/>
                      <w:szCs w:val="21"/>
                      <w:u w:val="none"/>
                    </w:rPr>
                    <w:t>2、本项目采用清洁能源机械。</w:t>
                  </w:r>
                </w:p>
              </w:tc>
              <w:tc>
                <w:tcPr>
                  <w:tcW w:w="491" w:type="dxa"/>
                  <w:noWrap w:val="0"/>
                  <w:vAlign w:val="center"/>
                </w:tcPr>
                <w:p>
                  <w:pPr>
                    <w:adjustRightInd w:val="0"/>
                    <w:snapToGrid w:val="0"/>
                    <w:spacing w:line="360" w:lineRule="exact"/>
                    <w:jc w:val="center"/>
                    <w:rPr>
                      <w:b/>
                      <w:bCs/>
                      <w:color w:val="auto"/>
                      <w:sz w:val="21"/>
                      <w:szCs w:val="21"/>
                      <w:u w:val="none"/>
                    </w:rPr>
                  </w:pPr>
                  <w:r>
                    <w:rPr>
                      <w:rFonts w:hint="eastAsia"/>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87" w:type="dxa"/>
                  <w:vMerge w:val="continue"/>
                  <w:noWrap w:val="0"/>
                  <w:vAlign w:val="center"/>
                </w:tcPr>
                <w:p>
                  <w:pPr>
                    <w:adjustRightInd w:val="0"/>
                    <w:snapToGrid w:val="0"/>
                    <w:spacing w:line="360" w:lineRule="exact"/>
                    <w:jc w:val="center"/>
                    <w:rPr>
                      <w:b w:val="0"/>
                      <w:bCs w:val="0"/>
                      <w:color w:val="auto"/>
                      <w:sz w:val="21"/>
                      <w:szCs w:val="21"/>
                      <w:u w:val="none"/>
                    </w:rPr>
                  </w:pPr>
                </w:p>
              </w:tc>
              <w:tc>
                <w:tcPr>
                  <w:tcW w:w="714" w:type="dxa"/>
                  <w:noWrap w:val="0"/>
                  <w:vAlign w:val="center"/>
                </w:tcPr>
                <w:p>
                  <w:pPr>
                    <w:adjustRightInd w:val="0"/>
                    <w:snapToGrid w:val="0"/>
                    <w:spacing w:line="360" w:lineRule="exact"/>
                    <w:jc w:val="center"/>
                    <w:rPr>
                      <w:b w:val="0"/>
                      <w:bCs w:val="0"/>
                      <w:color w:val="auto"/>
                      <w:sz w:val="21"/>
                      <w:szCs w:val="21"/>
                      <w:u w:val="none"/>
                    </w:rPr>
                  </w:pPr>
                  <w:r>
                    <w:rPr>
                      <w:b w:val="0"/>
                      <w:bCs w:val="0"/>
                      <w:color w:val="auto"/>
                      <w:sz w:val="21"/>
                      <w:szCs w:val="21"/>
                      <w:u w:val="none"/>
                    </w:rPr>
                    <w:t>环境风险防控</w:t>
                  </w:r>
                </w:p>
              </w:tc>
              <w:tc>
                <w:tcPr>
                  <w:tcW w:w="3287" w:type="dxa"/>
                  <w:noWrap w:val="0"/>
                  <w:vAlign w:val="center"/>
                </w:tcPr>
                <w:p>
                  <w:pPr>
                    <w:adjustRightInd w:val="0"/>
                    <w:snapToGrid w:val="0"/>
                    <w:spacing w:line="360" w:lineRule="exact"/>
                    <w:rPr>
                      <w:b w:val="0"/>
                      <w:bCs w:val="0"/>
                      <w:color w:val="auto"/>
                      <w:sz w:val="21"/>
                      <w:szCs w:val="21"/>
                      <w:u w:val="none"/>
                    </w:rPr>
                  </w:pPr>
                  <w:r>
                    <w:rPr>
                      <w:b w:val="0"/>
                      <w:bCs w:val="0"/>
                      <w:color w:val="auto"/>
                      <w:sz w:val="21"/>
                      <w:szCs w:val="21"/>
                      <w:u w:val="none"/>
                    </w:rPr>
                    <w:t>1、对高关注地块划分污染风险等级，纳入优先管控名录。</w:t>
                  </w:r>
                </w:p>
              </w:tc>
              <w:tc>
                <w:tcPr>
                  <w:tcW w:w="1715" w:type="dxa"/>
                  <w:noWrap w:val="0"/>
                  <w:vAlign w:val="center"/>
                </w:tcPr>
                <w:p>
                  <w:pPr>
                    <w:adjustRightInd w:val="0"/>
                    <w:snapToGrid w:val="0"/>
                    <w:spacing w:line="360" w:lineRule="exact"/>
                    <w:jc w:val="center"/>
                    <w:rPr>
                      <w:b w:val="0"/>
                      <w:bCs w:val="0"/>
                      <w:color w:val="auto"/>
                      <w:sz w:val="21"/>
                      <w:szCs w:val="21"/>
                      <w:u w:val="none"/>
                    </w:rPr>
                  </w:pPr>
                  <w:r>
                    <w:rPr>
                      <w:rFonts w:hint="eastAsia"/>
                      <w:b w:val="0"/>
                      <w:bCs w:val="0"/>
                      <w:color w:val="auto"/>
                      <w:sz w:val="21"/>
                      <w:szCs w:val="21"/>
                      <w:u w:val="none"/>
                    </w:rPr>
                    <w:t>本项目不涉及风险物质。</w:t>
                  </w:r>
                </w:p>
              </w:tc>
              <w:tc>
                <w:tcPr>
                  <w:tcW w:w="491" w:type="dxa"/>
                  <w:noWrap w:val="0"/>
                  <w:vAlign w:val="center"/>
                </w:tcPr>
                <w:p>
                  <w:pPr>
                    <w:adjustRightInd w:val="0"/>
                    <w:snapToGrid w:val="0"/>
                    <w:spacing w:line="360" w:lineRule="exact"/>
                    <w:jc w:val="center"/>
                    <w:rPr>
                      <w:b/>
                      <w:bCs/>
                      <w:color w:val="auto"/>
                      <w:sz w:val="21"/>
                      <w:szCs w:val="21"/>
                      <w:u w:val="none"/>
                    </w:rPr>
                  </w:pPr>
                  <w:r>
                    <w:rPr>
                      <w:rFonts w:hint="eastAsia"/>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87" w:type="dxa"/>
                  <w:vMerge w:val="restart"/>
                  <w:noWrap w:val="0"/>
                  <w:vAlign w:val="center"/>
                </w:tcPr>
                <w:p>
                  <w:pPr>
                    <w:adjustRightInd w:val="0"/>
                    <w:snapToGrid w:val="0"/>
                    <w:spacing w:line="360" w:lineRule="exact"/>
                    <w:jc w:val="center"/>
                    <w:rPr>
                      <w:b/>
                      <w:bCs/>
                      <w:color w:val="auto"/>
                      <w:sz w:val="21"/>
                      <w:szCs w:val="21"/>
                      <w:u w:val="none"/>
                    </w:rPr>
                  </w:pPr>
                  <w:r>
                    <w:rPr>
                      <w:b w:val="0"/>
                      <w:bCs w:val="0"/>
                      <w:color w:val="auto"/>
                      <w:sz w:val="21"/>
                      <w:szCs w:val="21"/>
                      <w:u w:val="none"/>
                    </w:rPr>
                    <w:t>永城市大气重点单元</w:t>
                  </w:r>
                </w:p>
              </w:tc>
              <w:tc>
                <w:tcPr>
                  <w:tcW w:w="714" w:type="dxa"/>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空间布局约束</w:t>
                  </w:r>
                </w:p>
              </w:tc>
              <w:tc>
                <w:tcPr>
                  <w:tcW w:w="3287" w:type="dxa"/>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1、在居民住宅区等人口密集区域和医院、学校、幼儿固、养老院等其他需要特殊保护的区域及其周边，不得新建、改建和扩建石化、焦化、制药、油漆、塑料、橡胶、造纸、饲料等易产生恶臭气体的生产项目或者从事其他产生恶臭气体的生产经营活动。已建成的，应当逐步搬迁或者升级改造。</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2、禁止新建、改建及扩建高排放、高污染项目，包括钢铁、有色、水泥、化工、平板玻璃、建筑陶瓷等行业及其他排放重金属、持久性有机污染物、挥发性有机污染物等工业项目。</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3、禁止新建、扩建、改建燃用高污染燃料的项目（集中供热、热电联产设施除外）。</w:t>
                  </w:r>
                </w:p>
              </w:tc>
              <w:tc>
                <w:tcPr>
                  <w:tcW w:w="1715" w:type="dxa"/>
                  <w:noWrap w:val="0"/>
                  <w:vAlign w:val="center"/>
                </w:tcPr>
                <w:p>
                  <w:pPr>
                    <w:adjustRightInd w:val="0"/>
                    <w:snapToGrid w:val="0"/>
                    <w:spacing w:line="360" w:lineRule="exact"/>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rPr>
                    <w:t>1、本项目</w:t>
                  </w:r>
                  <w:r>
                    <w:rPr>
                      <w:rFonts w:hint="eastAsia" w:ascii="Times New Roman" w:hAnsi="Times New Roman" w:eastAsia="宋体" w:cs="Times New Roman"/>
                      <w:b w:val="0"/>
                      <w:bCs w:val="0"/>
                      <w:color w:val="auto"/>
                      <w:sz w:val="21"/>
                      <w:szCs w:val="21"/>
                      <w:u w:val="none"/>
                      <w:lang w:val="en-US" w:eastAsia="zh-CN"/>
                    </w:rPr>
                    <w:t>不位于需要特殊保护的区域及其周边</w:t>
                  </w:r>
                  <w:r>
                    <w:rPr>
                      <w:rFonts w:hint="eastAsia" w:ascii="Times New Roman" w:hAnsi="Times New Roman" w:eastAsia="宋体" w:cs="Times New Roman"/>
                      <w:b w:val="0"/>
                      <w:bCs w:val="0"/>
                      <w:color w:val="auto"/>
                      <w:sz w:val="21"/>
                      <w:szCs w:val="21"/>
                      <w:u w:val="none"/>
                    </w:rPr>
                    <w:t>。</w:t>
                  </w:r>
                </w:p>
                <w:p>
                  <w:pPr>
                    <w:adjustRightInd w:val="0"/>
                    <w:snapToGrid w:val="0"/>
                    <w:spacing w:line="360" w:lineRule="exact"/>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rPr>
                    <w:t>2、本项目</w:t>
                  </w:r>
                  <w:r>
                    <w:rPr>
                      <w:rFonts w:hint="eastAsia" w:ascii="Times New Roman" w:hAnsi="Times New Roman" w:eastAsia="宋体" w:cs="Times New Roman"/>
                      <w:b w:val="0"/>
                      <w:bCs w:val="0"/>
                      <w:color w:val="auto"/>
                      <w:sz w:val="21"/>
                      <w:szCs w:val="21"/>
                      <w:u w:val="none"/>
                      <w:lang w:val="en-US" w:eastAsia="zh-CN"/>
                    </w:rPr>
                    <w:t>不属于高排放、高污染项目</w:t>
                  </w:r>
                  <w:r>
                    <w:rPr>
                      <w:rFonts w:hint="eastAsia" w:ascii="Times New Roman" w:hAnsi="Times New Roman" w:eastAsia="宋体" w:cs="Times New Roman"/>
                      <w:b w:val="0"/>
                      <w:bCs w:val="0"/>
                      <w:color w:val="auto"/>
                      <w:sz w:val="21"/>
                      <w:szCs w:val="21"/>
                      <w:u w:val="none"/>
                    </w:rPr>
                    <w:t>。</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rPr>
                    <w:t>3、本项目</w:t>
                  </w:r>
                  <w:r>
                    <w:rPr>
                      <w:rFonts w:hint="eastAsia" w:ascii="Times New Roman" w:hAnsi="Times New Roman" w:eastAsia="宋体" w:cs="Times New Roman"/>
                      <w:b w:val="0"/>
                      <w:bCs w:val="0"/>
                      <w:color w:val="auto"/>
                      <w:sz w:val="21"/>
                      <w:szCs w:val="21"/>
                      <w:u w:val="none"/>
                      <w:lang w:val="en-US" w:eastAsia="zh-CN"/>
                    </w:rPr>
                    <w:t>不</w:t>
                  </w:r>
                  <w:r>
                    <w:rPr>
                      <w:rFonts w:hint="eastAsia" w:ascii="Times New Roman" w:hAnsi="Times New Roman" w:eastAsia="宋体" w:cs="Times New Roman"/>
                      <w:b w:val="0"/>
                      <w:bCs w:val="0"/>
                      <w:color w:val="auto"/>
                      <w:sz w:val="21"/>
                      <w:szCs w:val="21"/>
                      <w:u w:val="none"/>
                    </w:rPr>
                    <w:t>属于燃用高污染燃料的项目。</w:t>
                  </w:r>
                </w:p>
              </w:tc>
              <w:tc>
                <w:tcPr>
                  <w:tcW w:w="491" w:type="dxa"/>
                  <w:noWrap w:val="0"/>
                  <w:vAlign w:val="center"/>
                </w:tcPr>
                <w:p>
                  <w:pPr>
                    <w:adjustRightInd w:val="0"/>
                    <w:snapToGrid w:val="0"/>
                    <w:spacing w:line="360" w:lineRule="exact"/>
                    <w:jc w:val="center"/>
                    <w:rPr>
                      <w:b/>
                      <w:bCs/>
                      <w:color w:val="auto"/>
                      <w:sz w:val="21"/>
                      <w:szCs w:val="21"/>
                      <w:u w:val="none"/>
                    </w:rPr>
                  </w:pPr>
                  <w:r>
                    <w:rPr>
                      <w:rFonts w:hint="eastAsia"/>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87" w:type="dxa"/>
                  <w:vMerge w:val="continue"/>
                  <w:noWrap w:val="0"/>
                  <w:vAlign w:val="center"/>
                </w:tcPr>
                <w:p>
                  <w:pPr>
                    <w:adjustRightInd w:val="0"/>
                    <w:snapToGrid w:val="0"/>
                    <w:spacing w:line="360" w:lineRule="exact"/>
                    <w:jc w:val="center"/>
                    <w:rPr>
                      <w:b/>
                      <w:bCs/>
                      <w:color w:val="auto"/>
                      <w:sz w:val="21"/>
                      <w:szCs w:val="21"/>
                      <w:u w:val="none"/>
                    </w:rPr>
                  </w:pPr>
                </w:p>
              </w:tc>
              <w:tc>
                <w:tcPr>
                  <w:tcW w:w="714" w:type="dxa"/>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污染物排放管控</w:t>
                  </w:r>
                </w:p>
              </w:tc>
              <w:tc>
                <w:tcPr>
                  <w:tcW w:w="3287" w:type="dxa"/>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1、禁止销售、使用煤等高污染燃料，现有使用高污染燃料的单位和个人，应当按照市、县（市）人民政府规定的期限改用清洁能源或拆除使用高污染燃料的设施。</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2、重点行业二氧化硫、氮氧化物、颗粒物、VOCs全面执行大气污染物特别排放限值。</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3、禁止涉重企业含重金属废水进入城市生活污水处理厂。</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4、禁止填埋场渗滤液直排或超标排放。</w:t>
                  </w:r>
                </w:p>
              </w:tc>
              <w:tc>
                <w:tcPr>
                  <w:tcW w:w="1715" w:type="dxa"/>
                  <w:noWrap w:val="0"/>
                  <w:vAlign w:val="center"/>
                </w:tcPr>
                <w:p>
                  <w:pPr>
                    <w:adjustRightInd w:val="0"/>
                    <w:snapToGrid w:val="0"/>
                    <w:spacing w:line="360" w:lineRule="exact"/>
                    <w:rPr>
                      <w:rFonts w:hint="eastAsia"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1、本项目不使用煤等高污染燃料。</w:t>
                  </w:r>
                </w:p>
                <w:p>
                  <w:pPr>
                    <w:adjustRightInd w:val="0"/>
                    <w:snapToGrid w:val="0"/>
                    <w:spacing w:line="360" w:lineRule="exact"/>
                    <w:rPr>
                      <w:rFonts w:hint="eastAsia"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2、本项目</w:t>
                  </w:r>
                  <w:r>
                    <w:rPr>
                      <w:rFonts w:hint="eastAsia" w:ascii="Times New Roman" w:hAnsi="Times New Roman" w:cs="Times New Roman"/>
                      <w:b w:val="0"/>
                      <w:bCs w:val="0"/>
                      <w:color w:val="auto"/>
                      <w:sz w:val="21"/>
                      <w:szCs w:val="21"/>
                      <w:u w:val="none"/>
                      <w:lang w:val="en-US" w:eastAsia="zh-CN"/>
                    </w:rPr>
                    <w:t>无</w:t>
                  </w:r>
                  <w:r>
                    <w:rPr>
                      <w:rFonts w:hint="eastAsia" w:ascii="Times New Roman" w:hAnsi="Times New Roman" w:eastAsia="宋体" w:cs="Times New Roman"/>
                      <w:b w:val="0"/>
                      <w:bCs w:val="0"/>
                      <w:color w:val="auto"/>
                      <w:sz w:val="21"/>
                      <w:szCs w:val="21"/>
                      <w:u w:val="none"/>
                      <w:lang w:val="en-US" w:eastAsia="zh-CN"/>
                    </w:rPr>
                    <w:t>二氧化硫、氮氧化物、颗粒物、VOCs</w:t>
                  </w:r>
                  <w:r>
                    <w:rPr>
                      <w:rFonts w:hint="eastAsia" w:ascii="Times New Roman" w:hAnsi="Times New Roman" w:cs="Times New Roman"/>
                      <w:b w:val="0"/>
                      <w:bCs w:val="0"/>
                      <w:color w:val="auto"/>
                      <w:sz w:val="21"/>
                      <w:szCs w:val="21"/>
                      <w:u w:val="none"/>
                      <w:lang w:val="en-US" w:eastAsia="zh-CN"/>
                    </w:rPr>
                    <w:t>外排</w:t>
                  </w:r>
                  <w:r>
                    <w:rPr>
                      <w:rFonts w:hint="eastAsia" w:ascii="Times New Roman" w:hAnsi="Times New Roman" w:eastAsia="宋体" w:cs="Times New Roman"/>
                      <w:b w:val="0"/>
                      <w:bCs w:val="0"/>
                      <w:color w:val="auto"/>
                      <w:sz w:val="21"/>
                      <w:szCs w:val="21"/>
                      <w:u w:val="none"/>
                      <w:lang w:val="en-US" w:eastAsia="zh-CN"/>
                    </w:rPr>
                    <w:t>。</w:t>
                  </w:r>
                </w:p>
                <w:p>
                  <w:pPr>
                    <w:adjustRightInd w:val="0"/>
                    <w:snapToGrid w:val="0"/>
                    <w:spacing w:line="360" w:lineRule="exact"/>
                    <w:rPr>
                      <w:rFonts w:hint="eastAsia"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3、本项目不属于涉重企业。</w:t>
                  </w:r>
                </w:p>
                <w:p>
                  <w:pPr>
                    <w:adjustRightInd w:val="0"/>
                    <w:snapToGrid w:val="0"/>
                    <w:spacing w:line="360" w:lineRule="exact"/>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4、本项目不属于填埋场</w:t>
                  </w:r>
                </w:p>
              </w:tc>
              <w:tc>
                <w:tcPr>
                  <w:tcW w:w="491" w:type="dxa"/>
                  <w:noWrap w:val="0"/>
                  <w:vAlign w:val="center"/>
                </w:tcPr>
                <w:p>
                  <w:pPr>
                    <w:adjustRightInd w:val="0"/>
                    <w:snapToGrid w:val="0"/>
                    <w:spacing w:line="360" w:lineRule="exact"/>
                    <w:jc w:val="center"/>
                    <w:rPr>
                      <w:rFonts w:hint="eastAsia"/>
                      <w:b/>
                      <w:bCs/>
                      <w:color w:val="auto"/>
                      <w:sz w:val="21"/>
                      <w:szCs w:val="21"/>
                      <w:u w:val="none"/>
                    </w:rPr>
                  </w:pPr>
                  <w:r>
                    <w:rPr>
                      <w:rFonts w:hint="eastAsia"/>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87" w:type="dxa"/>
                  <w:vMerge w:val="continue"/>
                  <w:noWrap w:val="0"/>
                  <w:vAlign w:val="center"/>
                </w:tcPr>
                <w:p>
                  <w:pPr>
                    <w:adjustRightInd w:val="0"/>
                    <w:snapToGrid w:val="0"/>
                    <w:spacing w:line="360" w:lineRule="exact"/>
                    <w:jc w:val="center"/>
                    <w:rPr>
                      <w:b/>
                      <w:bCs/>
                      <w:color w:val="auto"/>
                      <w:sz w:val="21"/>
                      <w:szCs w:val="21"/>
                      <w:u w:val="none"/>
                    </w:rPr>
                  </w:pPr>
                </w:p>
              </w:tc>
              <w:tc>
                <w:tcPr>
                  <w:tcW w:w="714" w:type="dxa"/>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环境风险防控</w:t>
                  </w:r>
                </w:p>
              </w:tc>
              <w:tc>
                <w:tcPr>
                  <w:tcW w:w="3287" w:type="dxa"/>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1、有色金属冶炼、铅酸蓄电池、石油加工、化工、电镀、制革和危险化学品生产、储存、使用等企业在拆除生产设施设备、污染治理设施时，要事先制定残留污染物清理和安全处置方案。</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2、调查评估垃圾填埋场周边土壤环境状况，对周边土壤环境超过可接受风险的，应采取限制填埋废物进入、降低人体暴露健康风险等管控措施。</w:t>
                  </w:r>
                </w:p>
              </w:tc>
              <w:tc>
                <w:tcPr>
                  <w:tcW w:w="1715" w:type="dxa"/>
                  <w:noWrap w:val="0"/>
                  <w:vAlign w:val="center"/>
                </w:tcPr>
                <w:p>
                  <w:pPr>
                    <w:adjustRightInd w:val="0"/>
                    <w:snapToGrid w:val="0"/>
                    <w:spacing w:line="360" w:lineRule="exact"/>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lang w:val="en-US" w:eastAsia="zh-CN"/>
                    </w:rPr>
                    <w:t>1、</w:t>
                  </w:r>
                  <w:r>
                    <w:rPr>
                      <w:rFonts w:hint="eastAsia" w:ascii="Times New Roman" w:hAnsi="Times New Roman" w:eastAsia="宋体" w:cs="Times New Roman"/>
                      <w:b w:val="0"/>
                      <w:bCs w:val="0"/>
                      <w:color w:val="auto"/>
                      <w:sz w:val="21"/>
                      <w:szCs w:val="21"/>
                      <w:u w:val="none"/>
                    </w:rPr>
                    <w:t>本项目不</w:t>
                  </w:r>
                  <w:r>
                    <w:rPr>
                      <w:rFonts w:hint="eastAsia" w:ascii="Times New Roman" w:hAnsi="Times New Roman" w:eastAsia="宋体" w:cs="Times New Roman"/>
                      <w:b w:val="0"/>
                      <w:bCs w:val="0"/>
                      <w:color w:val="auto"/>
                      <w:sz w:val="21"/>
                      <w:szCs w:val="21"/>
                      <w:u w:val="none"/>
                      <w:lang w:val="en-US" w:eastAsia="zh-CN"/>
                    </w:rPr>
                    <w:t>属于有色金属冶炼、铅酸蓄电池、石油加工、化工、电镀、制革和危险化学品生产、储存、使用等企业</w:t>
                  </w:r>
                  <w:r>
                    <w:rPr>
                      <w:rFonts w:hint="eastAsia" w:ascii="Times New Roman" w:hAnsi="Times New Roman" w:eastAsia="宋体" w:cs="Times New Roman"/>
                      <w:b w:val="0"/>
                      <w:bCs w:val="0"/>
                      <w:color w:val="auto"/>
                      <w:sz w:val="21"/>
                      <w:szCs w:val="21"/>
                      <w:u w:val="none"/>
                    </w:rPr>
                    <w:t>。</w:t>
                  </w:r>
                </w:p>
                <w:p>
                  <w:pPr>
                    <w:adjustRightInd w:val="0"/>
                    <w:snapToGrid w:val="0"/>
                    <w:spacing w:line="360" w:lineRule="exact"/>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2、本项目周边无填埋场</w:t>
                  </w:r>
                </w:p>
              </w:tc>
              <w:tc>
                <w:tcPr>
                  <w:tcW w:w="491" w:type="dxa"/>
                  <w:noWrap w:val="0"/>
                  <w:vAlign w:val="center"/>
                </w:tcPr>
                <w:p>
                  <w:pPr>
                    <w:adjustRightInd w:val="0"/>
                    <w:snapToGrid w:val="0"/>
                    <w:spacing w:line="360" w:lineRule="exact"/>
                    <w:jc w:val="center"/>
                    <w:rPr>
                      <w:b/>
                      <w:bCs/>
                      <w:color w:val="auto"/>
                      <w:sz w:val="21"/>
                      <w:szCs w:val="21"/>
                      <w:u w:val="none"/>
                    </w:rPr>
                  </w:pPr>
                  <w:r>
                    <w:rPr>
                      <w:rFonts w:hint="eastAsia"/>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87" w:type="dxa"/>
                  <w:vMerge w:val="restart"/>
                  <w:noWrap w:val="0"/>
                  <w:vAlign w:val="center"/>
                </w:tcPr>
                <w:p>
                  <w:pPr>
                    <w:adjustRightInd w:val="0"/>
                    <w:snapToGrid w:val="0"/>
                    <w:spacing w:line="360" w:lineRule="exact"/>
                    <w:jc w:val="center"/>
                    <w:rPr>
                      <w:b/>
                      <w:bCs/>
                      <w:color w:val="auto"/>
                      <w:sz w:val="21"/>
                      <w:szCs w:val="21"/>
                      <w:u w:val="none"/>
                    </w:rPr>
                  </w:pPr>
                  <w:r>
                    <w:rPr>
                      <w:b w:val="0"/>
                      <w:bCs w:val="0"/>
                      <w:color w:val="auto"/>
                      <w:sz w:val="21"/>
                      <w:szCs w:val="21"/>
                      <w:u w:val="none"/>
                    </w:rPr>
                    <w:t>永城市深层承压水严重超采区</w:t>
                  </w:r>
                </w:p>
              </w:tc>
              <w:tc>
                <w:tcPr>
                  <w:tcW w:w="714" w:type="dxa"/>
                  <w:noWrap w:val="0"/>
                  <w:vAlign w:val="center"/>
                </w:tcPr>
                <w:p>
                  <w:pPr>
                    <w:jc w:val="center"/>
                    <w:rPr>
                      <w:b/>
                      <w:bCs/>
                      <w:color w:val="auto"/>
                      <w:sz w:val="21"/>
                      <w:szCs w:val="21"/>
                      <w:u w:val="none"/>
                    </w:rPr>
                  </w:pPr>
                  <w:r>
                    <w:rPr>
                      <w:rFonts w:cs="Times New Roman"/>
                      <w:bCs/>
                      <w:color w:val="auto"/>
                      <w:sz w:val="21"/>
                      <w:szCs w:val="21"/>
                      <w:u w:val="none"/>
                    </w:rPr>
                    <w:t>空间布局约束</w:t>
                  </w:r>
                </w:p>
              </w:tc>
              <w:tc>
                <w:tcPr>
                  <w:tcW w:w="3287" w:type="dxa"/>
                  <w:noWrap w:val="0"/>
                  <w:vAlign w:val="center"/>
                </w:tcPr>
                <w:p>
                  <w:pPr>
                    <w:pStyle w:val="33"/>
                    <w:rPr>
                      <w:b/>
                      <w:bCs/>
                      <w:color w:val="auto"/>
                      <w:sz w:val="21"/>
                      <w:szCs w:val="21"/>
                      <w:u w:val="none"/>
                    </w:rPr>
                  </w:pPr>
                  <w:r>
                    <w:rPr>
                      <w:bCs/>
                      <w:color w:val="auto"/>
                      <w:sz w:val="21"/>
                      <w:szCs w:val="21"/>
                      <w:u w:val="none"/>
                    </w:rPr>
                    <w:t>1、地下水严重超采区，严格控制高耗水新建、改建、扩建项目，推进高耗水企业向水资源条件允许的产业集聚区集中。</w:t>
                  </w:r>
                </w:p>
              </w:tc>
              <w:tc>
                <w:tcPr>
                  <w:tcW w:w="1715" w:type="dxa"/>
                  <w:noWrap w:val="0"/>
                  <w:vAlign w:val="center"/>
                </w:tcPr>
                <w:p>
                  <w:pPr>
                    <w:adjustRightInd w:val="0"/>
                    <w:snapToGrid w:val="0"/>
                    <w:spacing w:line="360" w:lineRule="exact"/>
                    <w:jc w:val="center"/>
                    <w:rPr>
                      <w:b w:val="0"/>
                      <w:bCs w:val="0"/>
                      <w:color w:val="auto"/>
                      <w:sz w:val="21"/>
                      <w:szCs w:val="21"/>
                      <w:u w:val="none"/>
                    </w:rPr>
                  </w:pPr>
                  <w:r>
                    <w:rPr>
                      <w:rFonts w:hint="eastAsia"/>
                      <w:b w:val="0"/>
                      <w:bCs w:val="0"/>
                      <w:color w:val="auto"/>
                      <w:sz w:val="21"/>
                      <w:szCs w:val="21"/>
                      <w:u w:val="none"/>
                    </w:rPr>
                    <w:t>本项目不</w:t>
                  </w:r>
                  <w:r>
                    <w:rPr>
                      <w:rFonts w:hint="eastAsia"/>
                      <w:b w:val="0"/>
                      <w:bCs w:val="0"/>
                      <w:color w:val="auto"/>
                      <w:sz w:val="21"/>
                      <w:szCs w:val="21"/>
                      <w:u w:val="none"/>
                      <w:lang w:val="en-US" w:eastAsia="zh-CN"/>
                    </w:rPr>
                    <w:t>属于高耗水项目</w:t>
                  </w:r>
                  <w:r>
                    <w:rPr>
                      <w:rFonts w:hint="eastAsia"/>
                      <w:b w:val="0"/>
                      <w:bCs w:val="0"/>
                      <w:color w:val="auto"/>
                      <w:sz w:val="21"/>
                      <w:szCs w:val="21"/>
                      <w:u w:val="none"/>
                    </w:rPr>
                    <w:t>。</w:t>
                  </w:r>
                </w:p>
              </w:tc>
              <w:tc>
                <w:tcPr>
                  <w:tcW w:w="491" w:type="dxa"/>
                  <w:noWrap w:val="0"/>
                  <w:vAlign w:val="center"/>
                </w:tcPr>
                <w:p>
                  <w:pPr>
                    <w:adjustRightInd w:val="0"/>
                    <w:snapToGrid w:val="0"/>
                    <w:spacing w:line="360" w:lineRule="exact"/>
                    <w:jc w:val="center"/>
                    <w:rPr>
                      <w:b/>
                      <w:bCs/>
                      <w:color w:val="auto"/>
                      <w:sz w:val="21"/>
                      <w:szCs w:val="21"/>
                      <w:u w:val="none"/>
                    </w:rPr>
                  </w:pPr>
                  <w:r>
                    <w:rPr>
                      <w:rFonts w:hint="eastAsia"/>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87" w:type="dxa"/>
                  <w:vMerge w:val="continue"/>
                  <w:noWrap w:val="0"/>
                  <w:vAlign w:val="center"/>
                </w:tcPr>
                <w:p>
                  <w:pPr>
                    <w:adjustRightInd w:val="0"/>
                    <w:snapToGrid w:val="0"/>
                    <w:spacing w:line="360" w:lineRule="exact"/>
                    <w:jc w:val="center"/>
                    <w:rPr>
                      <w:b w:val="0"/>
                      <w:bCs w:val="0"/>
                      <w:color w:val="auto"/>
                      <w:sz w:val="21"/>
                      <w:szCs w:val="21"/>
                      <w:u w:val="none"/>
                    </w:rPr>
                  </w:pPr>
                </w:p>
              </w:tc>
              <w:tc>
                <w:tcPr>
                  <w:tcW w:w="714" w:type="dxa"/>
                  <w:noWrap w:val="0"/>
                  <w:vAlign w:val="center"/>
                </w:tcPr>
                <w:p>
                  <w:pPr>
                    <w:jc w:val="center"/>
                    <w:rPr>
                      <w:b/>
                      <w:bCs/>
                      <w:color w:val="auto"/>
                      <w:sz w:val="21"/>
                      <w:szCs w:val="21"/>
                      <w:u w:val="none"/>
                    </w:rPr>
                  </w:pPr>
                  <w:r>
                    <w:rPr>
                      <w:rFonts w:cs="Times New Roman"/>
                      <w:bCs/>
                      <w:color w:val="auto"/>
                      <w:sz w:val="21"/>
                      <w:szCs w:val="21"/>
                      <w:u w:val="none"/>
                    </w:rPr>
                    <w:t>污染物排放管控</w:t>
                  </w:r>
                </w:p>
              </w:tc>
              <w:tc>
                <w:tcPr>
                  <w:tcW w:w="3287" w:type="dxa"/>
                  <w:noWrap w:val="0"/>
                  <w:vAlign w:val="center"/>
                </w:tcPr>
                <w:p>
                  <w:pPr>
                    <w:pStyle w:val="33"/>
                    <w:rPr>
                      <w:b/>
                      <w:bCs/>
                      <w:color w:val="auto"/>
                      <w:sz w:val="21"/>
                      <w:szCs w:val="21"/>
                      <w:u w:val="none"/>
                    </w:rPr>
                  </w:pPr>
                  <w:r>
                    <w:rPr>
                      <w:bCs/>
                      <w:color w:val="auto"/>
                      <w:sz w:val="21"/>
                      <w:szCs w:val="21"/>
                      <w:u w:val="none"/>
                    </w:rPr>
                    <w:t>1、推进城中村、老旧城区和城乡结合部污水处理配套管网建设和雨污分流系统改造，实现污水全收集、全处理。</w:t>
                  </w:r>
                </w:p>
              </w:tc>
              <w:tc>
                <w:tcPr>
                  <w:tcW w:w="1715" w:type="dxa"/>
                  <w:noWrap w:val="0"/>
                  <w:vAlign w:val="center"/>
                </w:tcPr>
                <w:p>
                  <w:pPr>
                    <w:adjustRightInd w:val="0"/>
                    <w:snapToGrid w:val="0"/>
                    <w:spacing w:line="360" w:lineRule="exact"/>
                    <w:jc w:val="center"/>
                    <w:rPr>
                      <w:rFonts w:hint="eastAsia" w:eastAsia="宋体"/>
                      <w:b/>
                      <w:bCs/>
                      <w:color w:val="auto"/>
                      <w:sz w:val="21"/>
                      <w:szCs w:val="21"/>
                      <w:u w:val="none"/>
                      <w:lang w:val="en-US" w:eastAsia="zh-CN"/>
                    </w:rPr>
                  </w:pPr>
                  <w:r>
                    <w:rPr>
                      <w:rFonts w:hint="eastAsia"/>
                      <w:b w:val="0"/>
                      <w:bCs w:val="0"/>
                      <w:color w:val="auto"/>
                      <w:sz w:val="21"/>
                      <w:szCs w:val="21"/>
                      <w:u w:val="none"/>
                      <w:lang w:val="en-US" w:eastAsia="zh-CN"/>
                    </w:rPr>
                    <w:t>本项目不位于</w:t>
                  </w:r>
                  <w:r>
                    <w:rPr>
                      <w:b w:val="0"/>
                      <w:bCs w:val="0"/>
                      <w:color w:val="auto"/>
                      <w:sz w:val="21"/>
                      <w:szCs w:val="21"/>
                      <w:u w:val="none"/>
                    </w:rPr>
                    <w:t>城中村、老旧城区和</w:t>
                  </w:r>
                  <w:r>
                    <w:rPr>
                      <w:bCs/>
                      <w:color w:val="auto"/>
                      <w:sz w:val="21"/>
                      <w:szCs w:val="21"/>
                      <w:u w:val="none"/>
                    </w:rPr>
                    <w:t>城乡</w:t>
                  </w:r>
                  <w:r>
                    <w:rPr>
                      <w:rFonts w:hint="eastAsia"/>
                      <w:bCs/>
                      <w:color w:val="auto"/>
                      <w:sz w:val="21"/>
                      <w:szCs w:val="21"/>
                      <w:u w:val="none"/>
                      <w:lang w:val="en-US" w:eastAsia="zh-CN"/>
                    </w:rPr>
                    <w:t>结合部</w:t>
                  </w:r>
                </w:p>
              </w:tc>
              <w:tc>
                <w:tcPr>
                  <w:tcW w:w="491" w:type="dxa"/>
                  <w:noWrap w:val="0"/>
                  <w:vAlign w:val="center"/>
                </w:tcPr>
                <w:p>
                  <w:pPr>
                    <w:adjustRightInd w:val="0"/>
                    <w:snapToGrid w:val="0"/>
                    <w:spacing w:line="360" w:lineRule="exact"/>
                    <w:jc w:val="center"/>
                    <w:rPr>
                      <w:rFonts w:hint="eastAsia"/>
                      <w:b/>
                      <w:bCs/>
                      <w:color w:val="auto"/>
                      <w:sz w:val="21"/>
                      <w:szCs w:val="21"/>
                      <w:u w:val="none"/>
                    </w:rPr>
                  </w:pPr>
                  <w:r>
                    <w:rPr>
                      <w:rFonts w:hint="eastAsia"/>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87" w:type="dxa"/>
                  <w:vMerge w:val="continue"/>
                  <w:noWrap w:val="0"/>
                  <w:vAlign w:val="center"/>
                </w:tcPr>
                <w:p>
                  <w:pPr>
                    <w:adjustRightInd w:val="0"/>
                    <w:snapToGrid w:val="0"/>
                    <w:spacing w:line="360" w:lineRule="exact"/>
                    <w:jc w:val="center"/>
                    <w:rPr>
                      <w:b/>
                      <w:bCs/>
                      <w:color w:val="auto"/>
                      <w:sz w:val="21"/>
                      <w:szCs w:val="21"/>
                      <w:u w:val="none"/>
                    </w:rPr>
                  </w:pPr>
                </w:p>
              </w:tc>
              <w:tc>
                <w:tcPr>
                  <w:tcW w:w="714" w:type="dxa"/>
                  <w:noWrap w:val="0"/>
                  <w:vAlign w:val="center"/>
                </w:tcPr>
                <w:p>
                  <w:pPr>
                    <w:jc w:val="center"/>
                    <w:rPr>
                      <w:b/>
                      <w:bCs/>
                      <w:color w:val="auto"/>
                      <w:sz w:val="21"/>
                      <w:szCs w:val="21"/>
                      <w:u w:val="none"/>
                    </w:rPr>
                  </w:pPr>
                  <w:r>
                    <w:rPr>
                      <w:rFonts w:cs="Times New Roman"/>
                      <w:bCs/>
                      <w:color w:val="auto"/>
                      <w:sz w:val="21"/>
                      <w:szCs w:val="21"/>
                      <w:u w:val="none"/>
                    </w:rPr>
                    <w:t>环境风险防控</w:t>
                  </w:r>
                </w:p>
              </w:tc>
              <w:tc>
                <w:tcPr>
                  <w:tcW w:w="3287" w:type="dxa"/>
                  <w:noWrap w:val="0"/>
                  <w:vAlign w:val="center"/>
                </w:tcPr>
                <w:p>
                  <w:pPr>
                    <w:pStyle w:val="33"/>
                    <w:rPr>
                      <w:b/>
                      <w:bCs/>
                      <w:color w:val="auto"/>
                      <w:sz w:val="21"/>
                      <w:szCs w:val="21"/>
                      <w:u w:val="none"/>
                    </w:rPr>
                  </w:pPr>
                  <w:r>
                    <w:rPr>
                      <w:rFonts w:hint="eastAsia"/>
                      <w:bCs/>
                      <w:color w:val="auto"/>
                      <w:sz w:val="21"/>
                      <w:szCs w:val="21"/>
                      <w:u w:val="none"/>
                      <w:lang w:val="en-US" w:eastAsia="zh-CN"/>
                    </w:rPr>
                    <w:t>1</w:t>
                  </w:r>
                  <w:r>
                    <w:rPr>
                      <w:bCs/>
                      <w:color w:val="auto"/>
                      <w:sz w:val="21"/>
                      <w:szCs w:val="21"/>
                      <w:u w:val="none"/>
                    </w:rPr>
                    <w:t>、高关注地块划分污染风险等级，纳入优先管控名录。</w:t>
                  </w:r>
                </w:p>
              </w:tc>
              <w:tc>
                <w:tcPr>
                  <w:tcW w:w="1715" w:type="dxa"/>
                  <w:noWrap w:val="0"/>
                  <w:vAlign w:val="center"/>
                </w:tcPr>
                <w:p>
                  <w:pPr>
                    <w:adjustRightInd w:val="0"/>
                    <w:snapToGrid w:val="0"/>
                    <w:spacing w:line="360" w:lineRule="exact"/>
                    <w:jc w:val="center"/>
                    <w:rPr>
                      <w:rFonts w:hint="eastAsia" w:eastAsia="宋体"/>
                      <w:b w:val="0"/>
                      <w:bCs w:val="0"/>
                      <w:color w:val="auto"/>
                      <w:sz w:val="21"/>
                      <w:szCs w:val="21"/>
                      <w:u w:val="none"/>
                      <w:lang w:val="en-US" w:eastAsia="zh-CN"/>
                    </w:rPr>
                  </w:pPr>
                  <w:r>
                    <w:rPr>
                      <w:rFonts w:hint="eastAsia"/>
                      <w:b w:val="0"/>
                      <w:bCs w:val="0"/>
                      <w:color w:val="auto"/>
                      <w:sz w:val="21"/>
                      <w:szCs w:val="21"/>
                      <w:u w:val="none"/>
                    </w:rPr>
                    <w:t>本项目不</w:t>
                  </w:r>
                  <w:r>
                    <w:rPr>
                      <w:rFonts w:hint="eastAsia"/>
                      <w:b w:val="0"/>
                      <w:bCs w:val="0"/>
                      <w:color w:val="auto"/>
                      <w:sz w:val="21"/>
                      <w:szCs w:val="21"/>
                      <w:u w:val="none"/>
                      <w:lang w:val="en-US" w:eastAsia="zh-CN"/>
                    </w:rPr>
                    <w:t>位于</w:t>
                  </w:r>
                  <w:r>
                    <w:rPr>
                      <w:b w:val="0"/>
                      <w:bCs w:val="0"/>
                      <w:color w:val="auto"/>
                      <w:sz w:val="21"/>
                      <w:szCs w:val="21"/>
                      <w:u w:val="none"/>
                    </w:rPr>
                    <w:t>高关注地块</w:t>
                  </w:r>
                </w:p>
              </w:tc>
              <w:tc>
                <w:tcPr>
                  <w:tcW w:w="491" w:type="dxa"/>
                  <w:noWrap w:val="0"/>
                  <w:vAlign w:val="center"/>
                </w:tcPr>
                <w:p>
                  <w:pPr>
                    <w:adjustRightInd w:val="0"/>
                    <w:snapToGrid w:val="0"/>
                    <w:spacing w:line="360" w:lineRule="exact"/>
                    <w:jc w:val="center"/>
                    <w:rPr>
                      <w:b/>
                      <w:bCs/>
                      <w:color w:val="auto"/>
                      <w:sz w:val="21"/>
                      <w:szCs w:val="21"/>
                      <w:u w:val="none"/>
                    </w:rPr>
                  </w:pPr>
                  <w:r>
                    <w:rPr>
                      <w:rFonts w:hint="eastAsia"/>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87" w:type="dxa"/>
                  <w:vMerge w:val="restart"/>
                  <w:noWrap w:val="0"/>
                  <w:vAlign w:val="center"/>
                </w:tcPr>
                <w:p>
                  <w:pPr>
                    <w:adjustRightInd w:val="0"/>
                    <w:snapToGrid w:val="0"/>
                    <w:spacing w:line="360" w:lineRule="exact"/>
                    <w:jc w:val="center"/>
                    <w:rPr>
                      <w:b/>
                      <w:bCs/>
                      <w:color w:val="auto"/>
                      <w:sz w:val="21"/>
                      <w:szCs w:val="21"/>
                      <w:u w:val="none"/>
                    </w:rPr>
                  </w:pPr>
                  <w:r>
                    <w:rPr>
                      <w:b w:val="0"/>
                      <w:bCs w:val="0"/>
                      <w:color w:val="auto"/>
                      <w:sz w:val="21"/>
                      <w:szCs w:val="21"/>
                      <w:u w:val="none"/>
                    </w:rPr>
                    <w:t>永城市大气重点、深层承压水严重超采区</w:t>
                  </w:r>
                </w:p>
              </w:tc>
              <w:tc>
                <w:tcPr>
                  <w:tcW w:w="714" w:type="dxa"/>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空间布局约束</w:t>
                  </w:r>
                </w:p>
              </w:tc>
              <w:tc>
                <w:tcPr>
                  <w:tcW w:w="3287" w:type="dxa"/>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1、地下水严重超采区，禁止工农业及服务业新增取用地下水。</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2、除经严格审批的应急供水、生活及特种需求供水外，其他供水禁止使用深层承压水。</w:t>
                  </w:r>
                </w:p>
              </w:tc>
              <w:tc>
                <w:tcPr>
                  <w:tcW w:w="1715" w:type="dxa"/>
                  <w:noWrap w:val="0"/>
                  <w:vAlign w:val="center"/>
                </w:tcPr>
                <w:p>
                  <w:pPr>
                    <w:adjustRightInd w:val="0"/>
                    <w:snapToGrid w:val="0"/>
                    <w:spacing w:line="360" w:lineRule="exact"/>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lang w:val="en-US" w:eastAsia="zh-CN"/>
                    </w:rPr>
                    <w:t>1、</w:t>
                  </w:r>
                  <w:r>
                    <w:rPr>
                      <w:rFonts w:hint="eastAsia" w:ascii="Times New Roman" w:hAnsi="Times New Roman" w:eastAsia="宋体" w:cs="Times New Roman"/>
                      <w:b w:val="0"/>
                      <w:bCs w:val="0"/>
                      <w:color w:val="auto"/>
                      <w:sz w:val="21"/>
                      <w:szCs w:val="21"/>
                      <w:u w:val="none"/>
                    </w:rPr>
                    <w:t>本项目不涉及新增取用地下水。</w:t>
                  </w:r>
                </w:p>
                <w:p>
                  <w:pPr>
                    <w:adjustRightInd w:val="0"/>
                    <w:snapToGrid w:val="0"/>
                    <w:spacing w:line="360" w:lineRule="exact"/>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2、本项目不使用</w:t>
                  </w:r>
                  <w:r>
                    <w:rPr>
                      <w:rFonts w:ascii="Times New Roman" w:hAnsi="Times New Roman" w:eastAsia="宋体" w:cs="Times New Roman"/>
                      <w:b w:val="0"/>
                      <w:bCs w:val="0"/>
                      <w:color w:val="auto"/>
                      <w:sz w:val="21"/>
                      <w:szCs w:val="21"/>
                      <w:u w:val="none"/>
                    </w:rPr>
                    <w:t>深层承压水。</w:t>
                  </w:r>
                </w:p>
              </w:tc>
              <w:tc>
                <w:tcPr>
                  <w:tcW w:w="491" w:type="dxa"/>
                  <w:noWrap w:val="0"/>
                  <w:vAlign w:val="center"/>
                </w:tcPr>
                <w:p>
                  <w:pPr>
                    <w:adjustRightInd w:val="0"/>
                    <w:snapToGrid w:val="0"/>
                    <w:spacing w:line="360" w:lineRule="exact"/>
                    <w:rPr>
                      <w:rFonts w:ascii="Times New Roman" w:hAnsi="Times New Roman" w:eastAsia="宋体" w:cs="Times New Roman"/>
                      <w:b/>
                      <w:bCs/>
                      <w:color w:val="auto"/>
                      <w:sz w:val="21"/>
                      <w:szCs w:val="21"/>
                      <w:u w:val="none"/>
                    </w:rPr>
                  </w:pPr>
                  <w:r>
                    <w:rPr>
                      <w:rFonts w:hint="eastAsia" w:ascii="Times New Roman" w:hAnsi="Times New Roman" w:eastAsia="宋体" w:cs="Times New Roman"/>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87" w:type="dxa"/>
                  <w:vMerge w:val="continue"/>
                  <w:noWrap w:val="0"/>
                  <w:vAlign w:val="center"/>
                </w:tcPr>
                <w:p>
                  <w:pPr>
                    <w:adjustRightInd w:val="0"/>
                    <w:snapToGrid w:val="0"/>
                    <w:spacing w:line="360" w:lineRule="exact"/>
                    <w:jc w:val="center"/>
                    <w:rPr>
                      <w:b/>
                      <w:bCs/>
                      <w:color w:val="auto"/>
                      <w:sz w:val="21"/>
                      <w:szCs w:val="21"/>
                      <w:u w:val="none"/>
                    </w:rPr>
                  </w:pPr>
                </w:p>
              </w:tc>
              <w:tc>
                <w:tcPr>
                  <w:tcW w:w="714" w:type="dxa"/>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污染物排放管控</w:t>
                  </w:r>
                </w:p>
              </w:tc>
              <w:tc>
                <w:tcPr>
                  <w:tcW w:w="3287" w:type="dxa"/>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1、重点行业二氧化硫、氮氧化物、颗粒物、VOCs全面执行大气污染物特别排放限值。</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2、禁止填埋场渗滤液直排或超标排放。</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3、加快城市建成区排水管网清污分流、污水处理厂提质增效，新建或扩建城镇污水处理厂必须达到或优于《城镇污水处理厂污染物排放标准》（GB18918-2002）一级A排放标准。</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4、优化调整货物运输结构，逐步淘汰国三及以下排放标准柴油货车，持续开展车辆更新工作。</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5、禁止销售、使用煤等高污染燃料，现有使用高污染燃料的单位和个人，应当按照市、县（市）人民政府规定的期限改用清洁能源或拆除使用高污染燃料的设施。</w:t>
                  </w:r>
                </w:p>
              </w:tc>
              <w:tc>
                <w:tcPr>
                  <w:tcW w:w="1715" w:type="dxa"/>
                  <w:noWrap w:val="0"/>
                  <w:vAlign w:val="center"/>
                </w:tcPr>
                <w:p>
                  <w:pPr>
                    <w:adjustRightInd w:val="0"/>
                    <w:snapToGrid w:val="0"/>
                    <w:spacing w:line="360" w:lineRule="exact"/>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rPr>
                    <w:t>1、</w:t>
                  </w:r>
                  <w:r>
                    <w:rPr>
                      <w:rFonts w:hint="eastAsia" w:ascii="Times New Roman" w:hAnsi="Times New Roman" w:eastAsia="宋体" w:cs="Times New Roman"/>
                      <w:b w:val="0"/>
                      <w:bCs w:val="0"/>
                      <w:color w:val="auto"/>
                      <w:sz w:val="21"/>
                      <w:szCs w:val="21"/>
                      <w:u w:val="none"/>
                      <w:lang w:val="en-US" w:eastAsia="zh-CN"/>
                    </w:rPr>
                    <w:t>本项目</w:t>
                  </w:r>
                  <w:r>
                    <w:rPr>
                      <w:rFonts w:hint="eastAsia" w:ascii="Times New Roman" w:hAnsi="Times New Roman" w:cs="Times New Roman"/>
                      <w:b w:val="0"/>
                      <w:bCs w:val="0"/>
                      <w:color w:val="auto"/>
                      <w:sz w:val="21"/>
                      <w:szCs w:val="21"/>
                      <w:u w:val="none"/>
                      <w:lang w:val="en-US" w:eastAsia="zh-CN"/>
                    </w:rPr>
                    <w:t>无</w:t>
                  </w:r>
                  <w:r>
                    <w:rPr>
                      <w:rFonts w:hint="eastAsia" w:ascii="Times New Roman" w:hAnsi="Times New Roman" w:eastAsia="宋体" w:cs="Times New Roman"/>
                      <w:b w:val="0"/>
                      <w:bCs w:val="0"/>
                      <w:color w:val="auto"/>
                      <w:sz w:val="21"/>
                      <w:szCs w:val="21"/>
                      <w:u w:val="none"/>
                      <w:lang w:val="en-US" w:eastAsia="zh-CN"/>
                    </w:rPr>
                    <w:t>二氧化硫、氮氧化物、颗粒物、VOCs</w:t>
                  </w:r>
                  <w:r>
                    <w:rPr>
                      <w:rFonts w:hint="eastAsia" w:ascii="Times New Roman" w:hAnsi="Times New Roman" w:cs="Times New Roman"/>
                      <w:b w:val="0"/>
                      <w:bCs w:val="0"/>
                      <w:color w:val="auto"/>
                      <w:sz w:val="21"/>
                      <w:szCs w:val="21"/>
                      <w:u w:val="none"/>
                      <w:lang w:val="en-US" w:eastAsia="zh-CN"/>
                    </w:rPr>
                    <w:t>外排</w:t>
                  </w:r>
                  <w:r>
                    <w:rPr>
                      <w:rFonts w:hint="eastAsia" w:ascii="Times New Roman" w:hAnsi="Times New Roman" w:eastAsia="宋体" w:cs="Times New Roman"/>
                      <w:b w:val="0"/>
                      <w:bCs w:val="0"/>
                      <w:color w:val="auto"/>
                      <w:sz w:val="21"/>
                      <w:szCs w:val="21"/>
                      <w:u w:val="none"/>
                      <w:lang w:val="en-US" w:eastAsia="zh-CN"/>
                    </w:rPr>
                    <w:t>。</w:t>
                  </w:r>
                </w:p>
                <w:p>
                  <w:pPr>
                    <w:adjustRightInd w:val="0"/>
                    <w:snapToGrid w:val="0"/>
                    <w:spacing w:line="360" w:lineRule="exact"/>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rPr>
                    <w:t>2、本项目</w:t>
                  </w:r>
                  <w:r>
                    <w:rPr>
                      <w:rFonts w:hint="eastAsia" w:ascii="Times New Roman" w:hAnsi="Times New Roman" w:eastAsia="宋体" w:cs="Times New Roman"/>
                      <w:b w:val="0"/>
                      <w:bCs w:val="0"/>
                      <w:color w:val="auto"/>
                      <w:sz w:val="21"/>
                      <w:szCs w:val="21"/>
                      <w:u w:val="none"/>
                      <w:lang w:val="en-US" w:eastAsia="zh-CN"/>
                    </w:rPr>
                    <w:t>不属于填埋场</w:t>
                  </w:r>
                  <w:r>
                    <w:rPr>
                      <w:rFonts w:hint="eastAsia" w:ascii="Times New Roman" w:hAnsi="Times New Roman" w:eastAsia="宋体" w:cs="Times New Roman"/>
                      <w:b w:val="0"/>
                      <w:bCs w:val="0"/>
                      <w:color w:val="auto"/>
                      <w:sz w:val="21"/>
                      <w:szCs w:val="21"/>
                      <w:u w:val="none"/>
                    </w:rPr>
                    <w:t>。</w:t>
                  </w:r>
                </w:p>
                <w:p>
                  <w:pPr>
                    <w:adjustRightInd w:val="0"/>
                    <w:snapToGrid w:val="0"/>
                    <w:spacing w:line="360" w:lineRule="exact"/>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rPr>
                    <w:t>3、本项目</w:t>
                  </w:r>
                  <w:r>
                    <w:rPr>
                      <w:rFonts w:hint="eastAsia" w:ascii="Times New Roman" w:hAnsi="Times New Roman" w:eastAsia="宋体" w:cs="Times New Roman"/>
                      <w:b w:val="0"/>
                      <w:bCs w:val="0"/>
                      <w:color w:val="auto"/>
                      <w:sz w:val="21"/>
                      <w:szCs w:val="21"/>
                      <w:u w:val="none"/>
                      <w:lang w:val="en-US" w:eastAsia="zh-CN"/>
                    </w:rPr>
                    <w:t>不在城市建成区</w:t>
                  </w:r>
                  <w:r>
                    <w:rPr>
                      <w:rFonts w:hint="eastAsia" w:ascii="Times New Roman" w:hAnsi="Times New Roman" w:eastAsia="宋体" w:cs="Times New Roman"/>
                      <w:b w:val="0"/>
                      <w:bCs w:val="0"/>
                      <w:color w:val="auto"/>
                      <w:sz w:val="21"/>
                      <w:szCs w:val="21"/>
                      <w:u w:val="none"/>
                    </w:rPr>
                    <w:t>。</w:t>
                  </w:r>
                </w:p>
                <w:p>
                  <w:pPr>
                    <w:adjustRightInd w:val="0"/>
                    <w:snapToGrid w:val="0"/>
                    <w:spacing w:line="360" w:lineRule="exact"/>
                    <w:rPr>
                      <w:rFonts w:hint="eastAsia" w:ascii="Times New Roman" w:hAnsi="Times New Roman" w:eastAsia="宋体" w:cs="Times New Roman"/>
                      <w:b w:val="0"/>
                      <w:bCs w:val="0"/>
                      <w:color w:val="auto"/>
                      <w:sz w:val="21"/>
                      <w:szCs w:val="21"/>
                      <w:u w:val="none"/>
                      <w:lang w:eastAsia="zh-CN"/>
                    </w:rPr>
                  </w:pPr>
                  <w:r>
                    <w:rPr>
                      <w:rFonts w:hint="eastAsia" w:ascii="Times New Roman" w:hAnsi="Times New Roman" w:eastAsia="宋体" w:cs="Times New Roman"/>
                      <w:b w:val="0"/>
                      <w:bCs w:val="0"/>
                      <w:color w:val="auto"/>
                      <w:sz w:val="21"/>
                      <w:szCs w:val="21"/>
                      <w:u w:val="none"/>
                      <w:lang w:val="en-US" w:eastAsia="zh-CN"/>
                    </w:rPr>
                    <w:t>4、本项目不涉及国三</w:t>
                  </w:r>
                  <w:r>
                    <w:rPr>
                      <w:rFonts w:ascii="Times New Roman" w:hAnsi="Times New Roman" w:eastAsia="宋体" w:cs="Times New Roman"/>
                      <w:b w:val="0"/>
                      <w:bCs w:val="0"/>
                      <w:color w:val="auto"/>
                      <w:sz w:val="21"/>
                      <w:szCs w:val="21"/>
                      <w:u w:val="none"/>
                    </w:rPr>
                    <w:t>及以下排放标准柴油货车</w:t>
                  </w:r>
                  <w:r>
                    <w:rPr>
                      <w:rFonts w:hint="eastAsia" w:ascii="Times New Roman" w:hAnsi="Times New Roman" w:eastAsia="宋体" w:cs="Times New Roman"/>
                      <w:b w:val="0"/>
                      <w:bCs w:val="0"/>
                      <w:color w:val="auto"/>
                      <w:sz w:val="21"/>
                      <w:szCs w:val="21"/>
                      <w:u w:val="none"/>
                      <w:lang w:eastAsia="zh-CN"/>
                    </w:rPr>
                    <w:t>。</w:t>
                  </w:r>
                </w:p>
                <w:p>
                  <w:pPr>
                    <w:adjustRightInd w:val="0"/>
                    <w:snapToGrid w:val="0"/>
                    <w:spacing w:line="360" w:lineRule="exact"/>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5、本项目不涉及</w:t>
                  </w:r>
                  <w:r>
                    <w:rPr>
                      <w:rFonts w:ascii="Times New Roman" w:hAnsi="Times New Roman" w:eastAsia="宋体" w:cs="Times New Roman"/>
                      <w:b w:val="0"/>
                      <w:bCs w:val="0"/>
                      <w:color w:val="auto"/>
                      <w:sz w:val="21"/>
                      <w:szCs w:val="21"/>
                      <w:u w:val="none"/>
                    </w:rPr>
                    <w:t>销售、使用煤等高污染燃料</w:t>
                  </w:r>
                </w:p>
              </w:tc>
              <w:tc>
                <w:tcPr>
                  <w:tcW w:w="491" w:type="dxa"/>
                  <w:noWrap w:val="0"/>
                  <w:vAlign w:val="center"/>
                </w:tcPr>
                <w:p>
                  <w:pPr>
                    <w:adjustRightInd w:val="0"/>
                    <w:snapToGrid w:val="0"/>
                    <w:spacing w:line="360" w:lineRule="exact"/>
                    <w:rPr>
                      <w:rFonts w:ascii="Times New Roman" w:hAnsi="Times New Roman" w:eastAsia="宋体" w:cs="Times New Roman"/>
                      <w:b/>
                      <w:bCs/>
                      <w:color w:val="auto"/>
                      <w:sz w:val="21"/>
                      <w:szCs w:val="21"/>
                      <w:u w:val="none"/>
                    </w:rPr>
                  </w:pPr>
                  <w:r>
                    <w:rPr>
                      <w:rFonts w:hint="eastAsia" w:ascii="Times New Roman" w:hAnsi="Times New Roman" w:eastAsia="宋体" w:cs="Times New Roman"/>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87" w:type="dxa"/>
                  <w:vMerge w:val="restart"/>
                  <w:noWrap w:val="0"/>
                  <w:vAlign w:val="center"/>
                </w:tcPr>
                <w:p>
                  <w:pPr>
                    <w:adjustRightInd w:val="0"/>
                    <w:snapToGrid w:val="0"/>
                    <w:spacing w:line="360" w:lineRule="exact"/>
                    <w:rPr>
                      <w:rFonts w:hint="eastAsia" w:ascii="Times New Roman" w:hAnsi="Times New Roman" w:eastAsia="宋体" w:cs="Times New Roman"/>
                      <w:b w:val="0"/>
                      <w:bCs w:val="0"/>
                      <w:color w:val="auto"/>
                      <w:sz w:val="21"/>
                      <w:szCs w:val="21"/>
                      <w:u w:val="none"/>
                      <w:lang w:val="en-US" w:eastAsia="zh-CN"/>
                    </w:rPr>
                  </w:pPr>
                  <w:r>
                    <w:rPr>
                      <w:rFonts w:ascii="Times New Roman" w:hAnsi="Times New Roman" w:eastAsia="宋体" w:cs="Times New Roman"/>
                      <w:b w:val="0"/>
                      <w:bCs w:val="0"/>
                      <w:color w:val="auto"/>
                      <w:sz w:val="21"/>
                      <w:szCs w:val="21"/>
                      <w:u w:val="none"/>
                    </w:rPr>
                    <w:t>永城市一般管控</w:t>
                  </w:r>
                  <w:r>
                    <w:rPr>
                      <w:rFonts w:hint="eastAsia" w:ascii="Times New Roman" w:hAnsi="Times New Roman" w:eastAsia="宋体" w:cs="Times New Roman"/>
                      <w:b w:val="0"/>
                      <w:bCs w:val="0"/>
                      <w:color w:val="auto"/>
                      <w:sz w:val="21"/>
                      <w:szCs w:val="21"/>
                      <w:u w:val="none"/>
                      <w:lang w:val="en-US" w:eastAsia="zh-CN"/>
                    </w:rPr>
                    <w:t>单元</w:t>
                  </w:r>
                </w:p>
              </w:tc>
              <w:tc>
                <w:tcPr>
                  <w:tcW w:w="714" w:type="dxa"/>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空间布局约束</w:t>
                  </w:r>
                </w:p>
              </w:tc>
              <w:tc>
                <w:tcPr>
                  <w:tcW w:w="3287" w:type="dxa"/>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1、加强对农业空间转为生态空间的监督管理，未经国务院批准，禁止将永久基本农田转为城镇空间。鼓励城镇空间和符合国家生态退耕条件的农业空间转为生态空间。</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2、严禁在优先保护类耕地集中区域新建有色金属冶炼、石油化工、化工、焦化、电镀、制革等行业企业以及可能造成耕地土壤污染的建设项目。</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3、对列入疑似污染地块名单的地块，未经土壤污染状况调查确定为未污染地块的，不得进入用地程序，住建部门不得核发建设工程规划许可证。</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4、淘汰不符合国家产业政策的涉重行业企业生产工艺装备。</w:t>
                  </w:r>
                </w:p>
              </w:tc>
              <w:tc>
                <w:tcPr>
                  <w:tcW w:w="1715" w:type="dxa"/>
                  <w:noWrap w:val="0"/>
                  <w:vAlign w:val="center"/>
                </w:tcPr>
                <w:p>
                  <w:pPr>
                    <w:adjustRightInd w:val="0"/>
                    <w:snapToGrid w:val="0"/>
                    <w:spacing w:line="360" w:lineRule="exact"/>
                    <w:rPr>
                      <w:rFonts w:hint="eastAsia"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1、</w:t>
                  </w:r>
                  <w:r>
                    <w:rPr>
                      <w:rFonts w:hint="eastAsia" w:ascii="Times New Roman" w:hAnsi="Times New Roman" w:eastAsia="宋体" w:cs="Times New Roman"/>
                      <w:b w:val="0"/>
                      <w:bCs w:val="0"/>
                      <w:color w:val="auto"/>
                      <w:sz w:val="21"/>
                      <w:szCs w:val="21"/>
                      <w:u w:val="none"/>
                    </w:rPr>
                    <w:t>本项目位于</w:t>
                  </w:r>
                  <w:r>
                    <w:rPr>
                      <w:rFonts w:hint="eastAsia" w:ascii="Times New Roman" w:hAnsi="Times New Roman" w:cs="Times New Roman"/>
                      <w:b w:val="0"/>
                      <w:bCs w:val="0"/>
                      <w:color w:val="auto"/>
                      <w:sz w:val="21"/>
                      <w:szCs w:val="21"/>
                      <w:u w:val="none"/>
                      <w:lang w:val="en-US" w:eastAsia="zh-CN"/>
                    </w:rPr>
                    <w:t>永城市产业集聚区南外环与芒砀路南段交叉口</w:t>
                  </w:r>
                  <w:r>
                    <w:rPr>
                      <w:rFonts w:hint="eastAsia" w:ascii="Times New Roman" w:hAnsi="Times New Roman" w:eastAsia="宋体" w:cs="Times New Roman"/>
                      <w:b w:val="0"/>
                      <w:bCs w:val="0"/>
                      <w:color w:val="auto"/>
                      <w:sz w:val="21"/>
                      <w:szCs w:val="21"/>
                      <w:u w:val="none"/>
                    </w:rPr>
                    <w:t>，</w:t>
                  </w:r>
                  <w:r>
                    <w:rPr>
                      <w:rFonts w:hint="eastAsia" w:ascii="Times New Roman" w:hAnsi="Times New Roman" w:eastAsia="宋体" w:cs="Times New Roman"/>
                      <w:b w:val="0"/>
                      <w:bCs w:val="0"/>
                      <w:color w:val="auto"/>
                      <w:sz w:val="21"/>
                      <w:szCs w:val="21"/>
                      <w:u w:val="none"/>
                      <w:lang w:val="en-US" w:eastAsia="zh-CN"/>
                    </w:rPr>
                    <w:t>项目占地</w:t>
                  </w:r>
                  <w:r>
                    <w:rPr>
                      <w:rFonts w:hint="eastAsia" w:ascii="Times New Roman" w:hAnsi="Times New Roman" w:eastAsia="宋体" w:cs="Times New Roman"/>
                      <w:b w:val="0"/>
                      <w:bCs w:val="0"/>
                      <w:color w:val="auto"/>
                      <w:sz w:val="21"/>
                      <w:szCs w:val="21"/>
                      <w:u w:val="none"/>
                    </w:rPr>
                    <w:t>不属于</w:t>
                  </w:r>
                  <w:r>
                    <w:rPr>
                      <w:rFonts w:hint="eastAsia" w:ascii="Times New Roman" w:hAnsi="Times New Roman" w:eastAsia="宋体" w:cs="Times New Roman"/>
                      <w:b w:val="0"/>
                      <w:bCs w:val="0"/>
                      <w:color w:val="auto"/>
                      <w:sz w:val="21"/>
                      <w:szCs w:val="21"/>
                      <w:u w:val="none"/>
                      <w:lang w:val="en-US" w:eastAsia="zh-CN"/>
                    </w:rPr>
                    <w:t>农业</w:t>
                  </w:r>
                  <w:r>
                    <w:rPr>
                      <w:rFonts w:hint="eastAsia" w:ascii="Times New Roman" w:hAnsi="Times New Roman" w:eastAsia="宋体" w:cs="Times New Roman"/>
                      <w:b w:val="0"/>
                      <w:bCs w:val="0"/>
                      <w:color w:val="auto"/>
                      <w:sz w:val="21"/>
                      <w:szCs w:val="21"/>
                      <w:u w:val="none"/>
                    </w:rPr>
                    <w:t>空间</w:t>
                  </w:r>
                  <w:r>
                    <w:rPr>
                      <w:rFonts w:hint="eastAsia" w:ascii="Times New Roman" w:hAnsi="Times New Roman" w:eastAsia="宋体" w:cs="Times New Roman"/>
                      <w:b w:val="0"/>
                      <w:bCs w:val="0"/>
                      <w:color w:val="auto"/>
                      <w:sz w:val="21"/>
                      <w:szCs w:val="21"/>
                      <w:u w:val="none"/>
                      <w:lang w:val="en-US" w:eastAsia="zh-CN"/>
                    </w:rPr>
                    <w:t>和</w:t>
                  </w:r>
                  <w:r>
                    <w:rPr>
                      <w:rFonts w:ascii="Times New Roman" w:hAnsi="Times New Roman" w:eastAsia="宋体" w:cs="Times New Roman"/>
                      <w:b w:val="0"/>
                      <w:bCs w:val="0"/>
                      <w:color w:val="auto"/>
                      <w:sz w:val="21"/>
                      <w:szCs w:val="21"/>
                      <w:u w:val="none"/>
                    </w:rPr>
                    <w:t>永久基本农田</w:t>
                  </w:r>
                  <w:r>
                    <w:rPr>
                      <w:rFonts w:hint="eastAsia" w:ascii="Times New Roman" w:hAnsi="Times New Roman" w:eastAsia="宋体" w:cs="Times New Roman"/>
                      <w:b w:val="0"/>
                      <w:bCs w:val="0"/>
                      <w:color w:val="auto"/>
                      <w:sz w:val="21"/>
                      <w:szCs w:val="21"/>
                      <w:u w:val="none"/>
                    </w:rPr>
                    <w:t>。</w:t>
                  </w:r>
                </w:p>
                <w:p>
                  <w:pPr>
                    <w:adjustRightInd w:val="0"/>
                    <w:snapToGrid w:val="0"/>
                    <w:spacing w:line="360" w:lineRule="exact"/>
                    <w:rPr>
                      <w:rFonts w:hint="eastAsia"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2、本项目不在</w:t>
                  </w:r>
                  <w:r>
                    <w:rPr>
                      <w:rFonts w:ascii="Times New Roman" w:hAnsi="Times New Roman" w:eastAsia="宋体" w:cs="Times New Roman"/>
                      <w:b w:val="0"/>
                      <w:bCs w:val="0"/>
                      <w:color w:val="auto"/>
                      <w:sz w:val="21"/>
                      <w:szCs w:val="21"/>
                      <w:u w:val="none"/>
                    </w:rPr>
                    <w:t>优先保护类耕地集中区域</w:t>
                  </w:r>
                  <w:r>
                    <w:rPr>
                      <w:rFonts w:hint="eastAsia" w:ascii="Times New Roman" w:hAnsi="Times New Roman" w:eastAsia="宋体" w:cs="Times New Roman"/>
                      <w:b w:val="0"/>
                      <w:bCs w:val="0"/>
                      <w:color w:val="auto"/>
                      <w:sz w:val="21"/>
                      <w:szCs w:val="21"/>
                      <w:u w:val="none"/>
                      <w:lang w:eastAsia="zh-CN"/>
                    </w:rPr>
                    <w:t>。</w:t>
                  </w:r>
                </w:p>
                <w:p>
                  <w:pPr>
                    <w:adjustRightInd w:val="0"/>
                    <w:snapToGrid w:val="0"/>
                    <w:spacing w:line="360" w:lineRule="exact"/>
                    <w:rPr>
                      <w:rFonts w:hint="eastAsia"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3、本项目不在</w:t>
                  </w:r>
                  <w:r>
                    <w:rPr>
                      <w:rFonts w:ascii="Times New Roman" w:hAnsi="Times New Roman" w:eastAsia="宋体" w:cs="Times New Roman"/>
                      <w:b w:val="0"/>
                      <w:bCs w:val="0"/>
                      <w:color w:val="auto"/>
                      <w:sz w:val="21"/>
                      <w:szCs w:val="21"/>
                      <w:u w:val="none"/>
                    </w:rPr>
                    <w:t>疑似污染地块名单</w:t>
                  </w:r>
                  <w:r>
                    <w:rPr>
                      <w:rFonts w:hint="eastAsia" w:ascii="Times New Roman" w:hAnsi="Times New Roman" w:eastAsia="宋体" w:cs="Times New Roman"/>
                      <w:b w:val="0"/>
                      <w:bCs w:val="0"/>
                      <w:color w:val="auto"/>
                      <w:sz w:val="21"/>
                      <w:szCs w:val="21"/>
                      <w:u w:val="none"/>
                      <w:lang w:eastAsia="zh-CN"/>
                    </w:rPr>
                    <w:t>。</w:t>
                  </w:r>
                </w:p>
                <w:p>
                  <w:pPr>
                    <w:adjustRightInd w:val="0"/>
                    <w:snapToGrid w:val="0"/>
                    <w:spacing w:line="360" w:lineRule="exact"/>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4、本项目不</w:t>
                  </w:r>
                  <w:r>
                    <w:rPr>
                      <w:rFonts w:hint="eastAsia" w:ascii="Times New Roman" w:hAnsi="Times New Roman" w:cs="Times New Roman"/>
                      <w:b w:val="0"/>
                      <w:bCs w:val="0"/>
                      <w:color w:val="auto"/>
                      <w:sz w:val="21"/>
                      <w:szCs w:val="21"/>
                      <w:u w:val="none"/>
                      <w:lang w:val="en-US" w:eastAsia="zh-CN"/>
                    </w:rPr>
                    <w:t>涉及</w:t>
                  </w:r>
                  <w:r>
                    <w:rPr>
                      <w:rFonts w:ascii="Times New Roman" w:hAnsi="Times New Roman" w:eastAsia="宋体" w:cs="Times New Roman"/>
                      <w:b w:val="0"/>
                      <w:bCs w:val="0"/>
                      <w:color w:val="auto"/>
                      <w:sz w:val="21"/>
                      <w:szCs w:val="21"/>
                      <w:u w:val="none"/>
                    </w:rPr>
                    <w:t>不符合国家产业政策的涉重行业企业生产工艺装备</w:t>
                  </w:r>
                </w:p>
              </w:tc>
              <w:tc>
                <w:tcPr>
                  <w:tcW w:w="491" w:type="dxa"/>
                  <w:noWrap w:val="0"/>
                  <w:vAlign w:val="center"/>
                </w:tcPr>
                <w:p>
                  <w:pPr>
                    <w:adjustRightInd w:val="0"/>
                    <w:snapToGrid w:val="0"/>
                    <w:spacing w:line="360" w:lineRule="exact"/>
                    <w:rPr>
                      <w:rFonts w:ascii="Times New Roman" w:hAnsi="Times New Roman" w:eastAsia="宋体" w:cs="Times New Roman"/>
                      <w:b/>
                      <w:bCs/>
                      <w:color w:val="auto"/>
                      <w:sz w:val="21"/>
                      <w:szCs w:val="21"/>
                      <w:u w:val="none"/>
                    </w:rPr>
                  </w:pPr>
                  <w:r>
                    <w:rPr>
                      <w:rFonts w:hint="eastAsia" w:ascii="Times New Roman" w:hAnsi="Times New Roman" w:eastAsia="宋体" w:cs="Times New Roman"/>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87" w:type="dxa"/>
                  <w:vMerge w:val="continue"/>
                  <w:noWrap w:val="0"/>
                  <w:vAlign w:val="center"/>
                </w:tcPr>
                <w:p>
                  <w:pPr>
                    <w:adjustRightInd w:val="0"/>
                    <w:snapToGrid w:val="0"/>
                    <w:spacing w:line="360" w:lineRule="exact"/>
                    <w:jc w:val="center"/>
                    <w:rPr>
                      <w:b/>
                      <w:bCs/>
                      <w:color w:val="auto"/>
                      <w:sz w:val="21"/>
                      <w:szCs w:val="21"/>
                      <w:u w:val="none"/>
                    </w:rPr>
                  </w:pPr>
                </w:p>
              </w:tc>
              <w:tc>
                <w:tcPr>
                  <w:tcW w:w="714" w:type="dxa"/>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污染物排放管控</w:t>
                  </w:r>
                </w:p>
              </w:tc>
              <w:tc>
                <w:tcPr>
                  <w:tcW w:w="3287" w:type="dxa"/>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1、禁止向耕地及农田沟渠中排放有毒有害工业、生活废水和未经处理的养殖小区畜禽粪便；禁止占用耕地倾倒、堆放城乡生活垃圾、建筑垃圾、医疗垃圾、工业废料及废渣等废弃物。</w:t>
                  </w:r>
                </w:p>
              </w:tc>
              <w:tc>
                <w:tcPr>
                  <w:tcW w:w="1715" w:type="dxa"/>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hint="eastAsia"/>
                      <w:b w:val="0"/>
                      <w:bCs w:val="0"/>
                      <w:color w:val="auto"/>
                      <w:sz w:val="21"/>
                      <w:szCs w:val="21"/>
                      <w:u w:val="none"/>
                      <w:lang w:val="en-US" w:eastAsia="zh-CN"/>
                    </w:rPr>
                    <w:t>本项目无新增生活污水，设备清洗水回用于生产，生产过程添加水，部分以水蒸气形式损失，部分随产品带走，因此本项目无废水外排。</w:t>
                  </w:r>
                </w:p>
              </w:tc>
              <w:tc>
                <w:tcPr>
                  <w:tcW w:w="491" w:type="dxa"/>
                  <w:noWrap w:val="0"/>
                  <w:vAlign w:val="center"/>
                </w:tcPr>
                <w:p>
                  <w:pPr>
                    <w:adjustRightInd w:val="0"/>
                    <w:snapToGrid w:val="0"/>
                    <w:spacing w:line="360" w:lineRule="exact"/>
                    <w:rPr>
                      <w:rFonts w:ascii="Times New Roman" w:hAnsi="Times New Roman" w:eastAsia="宋体" w:cs="Times New Roman"/>
                      <w:b/>
                      <w:bCs/>
                      <w:color w:val="auto"/>
                      <w:sz w:val="21"/>
                      <w:szCs w:val="21"/>
                      <w:u w:val="none"/>
                    </w:rPr>
                  </w:pPr>
                  <w:r>
                    <w:rPr>
                      <w:rFonts w:hint="eastAsia" w:ascii="Times New Roman" w:hAnsi="Times New Roman" w:eastAsia="宋体" w:cs="Times New Roman"/>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87" w:type="dxa"/>
                  <w:vMerge w:val="continue"/>
                  <w:noWrap w:val="0"/>
                  <w:vAlign w:val="center"/>
                </w:tcPr>
                <w:p>
                  <w:pPr>
                    <w:adjustRightInd w:val="0"/>
                    <w:snapToGrid w:val="0"/>
                    <w:spacing w:line="360" w:lineRule="exact"/>
                    <w:jc w:val="center"/>
                    <w:rPr>
                      <w:b/>
                      <w:bCs/>
                      <w:color w:val="auto"/>
                      <w:sz w:val="21"/>
                      <w:szCs w:val="21"/>
                      <w:u w:val="none"/>
                    </w:rPr>
                  </w:pPr>
                </w:p>
              </w:tc>
              <w:tc>
                <w:tcPr>
                  <w:tcW w:w="714" w:type="dxa"/>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环境风险防控</w:t>
                  </w:r>
                </w:p>
              </w:tc>
              <w:tc>
                <w:tcPr>
                  <w:tcW w:w="3287" w:type="dxa"/>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1、高关注地块划分污染风险等级，纳入优先管控名录。</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2、对涉重行业企业加强管理，建立土壤和地下水污染隐患排查治理制度、风险防控体系和长效监管机制。</w:t>
                  </w:r>
                </w:p>
              </w:tc>
              <w:tc>
                <w:tcPr>
                  <w:tcW w:w="1715" w:type="dxa"/>
                  <w:noWrap w:val="0"/>
                  <w:vAlign w:val="center"/>
                </w:tcPr>
                <w:p>
                  <w:pPr>
                    <w:adjustRightInd w:val="0"/>
                    <w:snapToGrid w:val="0"/>
                    <w:spacing w:line="360" w:lineRule="exact"/>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rPr>
                    <w:t>1、本项目</w:t>
                  </w:r>
                  <w:r>
                    <w:rPr>
                      <w:rFonts w:hint="eastAsia" w:ascii="Times New Roman" w:hAnsi="Times New Roman" w:eastAsia="宋体" w:cs="Times New Roman"/>
                      <w:b w:val="0"/>
                      <w:bCs w:val="0"/>
                      <w:color w:val="auto"/>
                      <w:sz w:val="21"/>
                      <w:szCs w:val="21"/>
                      <w:u w:val="none"/>
                      <w:lang w:val="en-US" w:eastAsia="zh-CN"/>
                    </w:rPr>
                    <w:t>不</w:t>
                  </w:r>
                  <w:r>
                    <w:rPr>
                      <w:rFonts w:hint="eastAsia" w:ascii="Times New Roman" w:hAnsi="Times New Roman" w:eastAsia="宋体" w:cs="Times New Roman"/>
                      <w:b w:val="0"/>
                      <w:bCs w:val="0"/>
                      <w:color w:val="auto"/>
                      <w:sz w:val="21"/>
                      <w:szCs w:val="21"/>
                      <w:u w:val="none"/>
                    </w:rPr>
                    <w:t>属于</w:t>
                  </w:r>
                  <w:r>
                    <w:rPr>
                      <w:rFonts w:ascii="Times New Roman" w:hAnsi="Times New Roman" w:eastAsia="宋体" w:cs="Times New Roman"/>
                      <w:b w:val="0"/>
                      <w:bCs w:val="0"/>
                      <w:color w:val="auto"/>
                      <w:sz w:val="21"/>
                      <w:szCs w:val="21"/>
                      <w:u w:val="none"/>
                    </w:rPr>
                    <w:t>高关注地块</w:t>
                  </w:r>
                  <w:r>
                    <w:rPr>
                      <w:rFonts w:hint="eastAsia" w:ascii="Times New Roman" w:hAnsi="Times New Roman" w:eastAsia="宋体" w:cs="Times New Roman"/>
                      <w:b w:val="0"/>
                      <w:bCs w:val="0"/>
                      <w:color w:val="auto"/>
                      <w:sz w:val="21"/>
                      <w:szCs w:val="21"/>
                      <w:u w:val="none"/>
                    </w:rPr>
                    <w:t>。</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rPr>
                    <w:t>2、本项目不</w:t>
                  </w:r>
                  <w:r>
                    <w:rPr>
                      <w:rFonts w:hint="eastAsia" w:ascii="Times New Roman" w:hAnsi="Times New Roman" w:eastAsia="宋体" w:cs="Times New Roman"/>
                      <w:b w:val="0"/>
                      <w:bCs w:val="0"/>
                      <w:color w:val="auto"/>
                      <w:sz w:val="21"/>
                      <w:szCs w:val="21"/>
                      <w:u w:val="none"/>
                      <w:lang w:val="en-US" w:eastAsia="zh-CN"/>
                    </w:rPr>
                    <w:t>属于</w:t>
                  </w:r>
                  <w:r>
                    <w:rPr>
                      <w:rFonts w:ascii="Times New Roman" w:hAnsi="Times New Roman" w:eastAsia="宋体" w:cs="Times New Roman"/>
                      <w:b w:val="0"/>
                      <w:bCs w:val="0"/>
                      <w:color w:val="auto"/>
                      <w:sz w:val="21"/>
                      <w:szCs w:val="21"/>
                      <w:u w:val="none"/>
                    </w:rPr>
                    <w:t>涉重行业</w:t>
                  </w:r>
                  <w:r>
                    <w:rPr>
                      <w:rFonts w:hint="eastAsia" w:ascii="Times New Roman" w:hAnsi="Times New Roman" w:eastAsia="宋体" w:cs="Times New Roman"/>
                      <w:b w:val="0"/>
                      <w:bCs w:val="0"/>
                      <w:color w:val="auto"/>
                      <w:sz w:val="21"/>
                      <w:szCs w:val="21"/>
                      <w:u w:val="none"/>
                    </w:rPr>
                    <w:t>。</w:t>
                  </w:r>
                </w:p>
              </w:tc>
              <w:tc>
                <w:tcPr>
                  <w:tcW w:w="491" w:type="dxa"/>
                  <w:noWrap w:val="0"/>
                  <w:vAlign w:val="center"/>
                </w:tcPr>
                <w:p>
                  <w:pPr>
                    <w:adjustRightInd w:val="0"/>
                    <w:snapToGrid w:val="0"/>
                    <w:spacing w:line="360" w:lineRule="exact"/>
                    <w:rPr>
                      <w:rFonts w:ascii="Times New Roman" w:hAnsi="Times New Roman" w:eastAsia="宋体" w:cs="Times New Roman"/>
                      <w:b/>
                      <w:bCs/>
                      <w:color w:val="auto"/>
                      <w:sz w:val="21"/>
                      <w:szCs w:val="21"/>
                      <w:u w:val="none"/>
                    </w:rPr>
                  </w:pPr>
                  <w:r>
                    <w:rPr>
                      <w:rFonts w:hint="eastAsia" w:ascii="Times New Roman" w:hAnsi="Times New Roman" w:eastAsia="宋体" w:cs="Times New Roman"/>
                      <w:b/>
                      <w:bCs/>
                      <w:color w:val="auto"/>
                      <w:sz w:val="21"/>
                      <w:szCs w:val="21"/>
                      <w:u w:val="none"/>
                    </w:rPr>
                    <w:t>相符</w:t>
                  </w:r>
                </w:p>
              </w:tc>
            </w:tr>
          </w:tbl>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eastAsia="宋体" w:cs="Times New Roman"/>
                <w:b/>
                <w:bCs/>
                <w:color w:val="auto"/>
                <w:sz w:val="24"/>
                <w:szCs w:val="32"/>
                <w:u w:val="single"/>
                <w:vertAlign w:val="baseline"/>
                <w:lang w:val="en-US" w:eastAsia="zh-CN"/>
              </w:rPr>
            </w:pPr>
            <w:r>
              <w:rPr>
                <w:rFonts w:hint="eastAsia" w:ascii="Times New Roman" w:hAnsi="Times New Roman"/>
                <w:b/>
                <w:bCs w:val="0"/>
                <w:color w:val="auto"/>
                <w:sz w:val="21"/>
                <w:szCs w:val="21"/>
                <w:u w:val="none"/>
                <w:shd w:val="clear" w:color="auto" w:fill="FFFFFF"/>
                <w:lang w:val="en-US" w:eastAsia="zh-CN"/>
              </w:rPr>
              <w:t>表1-3  永城市侯岭乡环境管控单元生态环境准入清单一览表</w:t>
            </w:r>
          </w:p>
          <w:tbl>
            <w:tblPr>
              <w:tblStyle w:val="14"/>
              <w:tblW w:w="70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5"/>
              <w:gridCol w:w="814"/>
              <w:gridCol w:w="4140"/>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6" w:hRule="atLeast"/>
                <w:tblHeader/>
              </w:trPr>
              <w:tc>
                <w:tcPr>
                  <w:tcW w:w="885" w:type="dxa"/>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环境管控单元名称</w:t>
                  </w:r>
                </w:p>
              </w:tc>
              <w:tc>
                <w:tcPr>
                  <w:tcW w:w="4954" w:type="dxa"/>
                  <w:gridSpan w:val="2"/>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管控要求</w:t>
                  </w:r>
                </w:p>
              </w:tc>
              <w:tc>
                <w:tcPr>
                  <w:tcW w:w="1251" w:type="dxa"/>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885" w:type="dxa"/>
                  <w:vMerge w:val="restart"/>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重点管控单元</w:t>
                  </w:r>
                </w:p>
              </w:tc>
              <w:tc>
                <w:tcPr>
                  <w:tcW w:w="814" w:type="dxa"/>
                  <w:tcBorders>
                    <w:tl2br w:val="nil"/>
                    <w:tr2bl w:val="nil"/>
                  </w:tcBorders>
                  <w:noWrap w:val="0"/>
                  <w:vAlign w:val="center"/>
                </w:tcPr>
                <w:p>
                  <w:pPr>
                    <w:jc w:val="center"/>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rPr>
                    <w:t>空间布局约束</w:t>
                  </w:r>
                </w:p>
              </w:tc>
              <w:tc>
                <w:tcPr>
                  <w:tcW w:w="4140" w:type="dxa"/>
                  <w:tcBorders>
                    <w:tl2br w:val="nil"/>
                    <w:tr2bl w:val="nil"/>
                  </w:tcBorders>
                  <w:noWrap w:val="0"/>
                  <w:vAlign w:val="center"/>
                </w:tcPr>
                <w:p>
                  <w:pPr>
                    <w:pStyle w:val="33"/>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rPr>
                    <w:t>1、地下水严重超采区，严格控制高耗水新建、改建、扩建项目，推进高耗水企业向水资源条件允许的产业集聚区集中。</w:t>
                  </w:r>
                </w:p>
              </w:tc>
              <w:tc>
                <w:tcPr>
                  <w:tcW w:w="1251" w:type="dxa"/>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本项目</w:t>
                  </w:r>
                  <w:r>
                    <w:rPr>
                      <w:rFonts w:hint="eastAsia" w:ascii="Times New Roman" w:hAnsi="Times New Roman" w:cs="Times New Roman"/>
                      <w:color w:val="auto"/>
                      <w:sz w:val="21"/>
                      <w:szCs w:val="21"/>
                      <w:u w:val="none"/>
                      <w:lang w:val="en-US" w:eastAsia="zh-CN"/>
                    </w:rPr>
                    <w:t>仅生产过程中添加水及设备冲洗用水</w:t>
                  </w:r>
                  <w:r>
                    <w:rPr>
                      <w:rFonts w:hint="default" w:ascii="Times New Roman" w:hAnsi="Times New Roman" w:eastAsia="宋体" w:cs="Times New Roman"/>
                      <w:color w:val="auto"/>
                      <w:sz w:val="21"/>
                      <w:szCs w:val="21"/>
                      <w:u w:val="none"/>
                      <w:lang w:val="en-US" w:eastAsia="zh-CN"/>
                    </w:rPr>
                    <w:t>，不属于高耗水项目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885" w:type="dxa"/>
                  <w:vMerge w:val="continue"/>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eastAsia="zh-CN"/>
                    </w:rPr>
                  </w:pPr>
                </w:p>
              </w:tc>
              <w:tc>
                <w:tcPr>
                  <w:tcW w:w="814" w:type="dxa"/>
                  <w:tcBorders>
                    <w:tl2br w:val="nil"/>
                    <w:tr2bl w:val="nil"/>
                  </w:tcBorders>
                  <w:noWrap w:val="0"/>
                  <w:vAlign w:val="center"/>
                </w:tcPr>
                <w:p>
                  <w:pPr>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rPr>
                    <w:t>污染物排放管控</w:t>
                  </w:r>
                </w:p>
              </w:tc>
              <w:tc>
                <w:tcPr>
                  <w:tcW w:w="4140" w:type="dxa"/>
                  <w:tcBorders>
                    <w:tl2br w:val="nil"/>
                    <w:tr2bl w:val="nil"/>
                  </w:tcBorders>
                  <w:noWrap w:val="0"/>
                  <w:vAlign w:val="center"/>
                </w:tcPr>
                <w:p>
                  <w:pPr>
                    <w:pStyle w:val="33"/>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1、推进城中村、老旧城区和城乡结合部污水处理配套管网建设和雨污分流系统改造，实现污水全收集、全处理。</w:t>
                  </w:r>
                </w:p>
                <w:p>
                  <w:pPr>
                    <w:pStyle w:val="33"/>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rPr>
                    <w:t>2、禁止填埋场渗滤液直排或超标排放。</w:t>
                  </w:r>
                </w:p>
              </w:tc>
              <w:tc>
                <w:tcPr>
                  <w:tcW w:w="1251" w:type="dxa"/>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eastAsia"/>
                      <w:b w:val="0"/>
                      <w:bCs w:val="0"/>
                      <w:color w:val="auto"/>
                      <w:sz w:val="21"/>
                      <w:szCs w:val="21"/>
                      <w:u w:val="none"/>
                      <w:lang w:val="en-US" w:eastAsia="zh-CN"/>
                    </w:rPr>
                    <w:t>本项目无新增生活污水，设备清洗水回用于生产，生产过程添加水，部分以水蒸气形式损失，部分随产品带走，因此本项目无废水外排。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885" w:type="dxa"/>
                  <w:vMerge w:val="continue"/>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eastAsia="zh-CN"/>
                    </w:rPr>
                  </w:pPr>
                </w:p>
              </w:tc>
              <w:tc>
                <w:tcPr>
                  <w:tcW w:w="814" w:type="dxa"/>
                  <w:tcBorders>
                    <w:tl2br w:val="nil"/>
                    <w:tr2bl w:val="nil"/>
                  </w:tcBorders>
                  <w:noWrap w:val="0"/>
                  <w:vAlign w:val="center"/>
                </w:tcPr>
                <w:p>
                  <w:pPr>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rPr>
                    <w:t>环境风险防控</w:t>
                  </w:r>
                </w:p>
              </w:tc>
              <w:tc>
                <w:tcPr>
                  <w:tcW w:w="4140" w:type="dxa"/>
                  <w:tcBorders>
                    <w:tl2br w:val="nil"/>
                    <w:tr2bl w:val="nil"/>
                  </w:tcBorders>
                  <w:noWrap w:val="0"/>
                  <w:vAlign w:val="center"/>
                </w:tcPr>
                <w:p>
                  <w:pPr>
                    <w:pStyle w:val="33"/>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1、按照土壤环境调查相关技术规定，对垃圾填埋场周边土壤环境状况进行调查评估。对周边土壤环境超过可接受风险的，应采取限制填埋废物进入、降低人体暴露健康风险等管控措施。</w:t>
                  </w:r>
                </w:p>
                <w:p>
                  <w:pPr>
                    <w:pStyle w:val="33"/>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rPr>
                    <w:t>2、对高关注地块划分污染风险等级，纳入优先管控名录。</w:t>
                  </w:r>
                </w:p>
              </w:tc>
              <w:tc>
                <w:tcPr>
                  <w:tcW w:w="1251" w:type="dxa"/>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本项目不属于垃圾填埋场项目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885" w:type="dxa"/>
                  <w:vMerge w:val="continue"/>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eastAsia="zh-CN"/>
                    </w:rPr>
                  </w:pPr>
                </w:p>
              </w:tc>
              <w:tc>
                <w:tcPr>
                  <w:tcW w:w="814" w:type="dxa"/>
                  <w:tcBorders>
                    <w:tl2br w:val="nil"/>
                    <w:tr2bl w:val="nil"/>
                  </w:tcBorders>
                  <w:noWrap w:val="0"/>
                  <w:vAlign w:val="center"/>
                </w:tcPr>
                <w:p>
                  <w:pPr>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rPr>
                    <w:t>资源利用效率要求</w:t>
                  </w:r>
                </w:p>
              </w:tc>
              <w:tc>
                <w:tcPr>
                  <w:tcW w:w="4140" w:type="dxa"/>
                  <w:tcBorders>
                    <w:tl2br w:val="nil"/>
                    <w:tr2bl w:val="nil"/>
                  </w:tcBorders>
                  <w:noWrap w:val="0"/>
                  <w:vAlign w:val="center"/>
                </w:tcPr>
                <w:p>
                  <w:pPr>
                    <w:pStyle w:val="33"/>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rPr>
                    <w:t>1、地下水严重超采区，禁止工农业及服务业新增取用地下水。</w:t>
                  </w:r>
                </w:p>
              </w:tc>
              <w:tc>
                <w:tcPr>
                  <w:tcW w:w="1251" w:type="dxa"/>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本项目不属于</w:t>
                  </w:r>
                  <w:r>
                    <w:rPr>
                      <w:rFonts w:hint="default" w:ascii="Times New Roman" w:hAnsi="Times New Roman" w:eastAsia="宋体" w:cs="Times New Roman"/>
                      <w:color w:val="auto"/>
                      <w:sz w:val="21"/>
                      <w:szCs w:val="21"/>
                      <w:u w:val="none"/>
                    </w:rPr>
                    <w:t>工农业及服务业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885" w:type="dxa"/>
                  <w:vMerge w:val="restart"/>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val="en-US" w:eastAsia="zh-CN"/>
                    </w:rPr>
                    <w:t>重点管控单元</w:t>
                  </w:r>
                </w:p>
              </w:tc>
              <w:tc>
                <w:tcPr>
                  <w:tcW w:w="814" w:type="dxa"/>
                  <w:tcBorders>
                    <w:tl2br w:val="nil"/>
                    <w:tr2bl w:val="nil"/>
                  </w:tcBorders>
                  <w:noWrap w:val="0"/>
                  <w:vAlign w:val="center"/>
                </w:tcPr>
                <w:p>
                  <w:pPr>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rPr>
                    <w:t>空间布局约束</w:t>
                  </w:r>
                </w:p>
              </w:tc>
              <w:tc>
                <w:tcPr>
                  <w:tcW w:w="4140" w:type="dxa"/>
                  <w:tcBorders>
                    <w:tl2br w:val="nil"/>
                    <w:tr2bl w:val="nil"/>
                  </w:tcBorders>
                  <w:noWrap w:val="0"/>
                  <w:vAlign w:val="center"/>
                </w:tcPr>
                <w:p>
                  <w:pPr>
                    <w:pStyle w:val="33"/>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1、在居民住宅区等人口密集区域和医院、学校、幼儿园、养老院等其他需要特殊保护的区域及其周边，不得新建、改建和扩建石化、焦化、油漆、塑料、橡胶、造纸等易产生恶臭气体的生产项目或者从事其他产生恶臭气体的生产经营活动。已建成的，应当逐步搬迁或者升级改造。</w:t>
                  </w:r>
                </w:p>
                <w:p>
                  <w:pPr>
                    <w:pStyle w:val="33"/>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2、禁止新建、改建及扩建高排放、高污染项目，包括钢铁、有色、水泥、平板玻璃、建筑陶瓷等行业及其他排放重金属、持久性有机污染物等工业项目。</w:t>
                  </w:r>
                </w:p>
                <w:p>
                  <w:pPr>
                    <w:pStyle w:val="33"/>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3、禁止新建、扩建、改建燃用高污染燃料的项目（集中供热、热电联产设施除外）。</w:t>
                  </w:r>
                </w:p>
                <w:p>
                  <w:pPr>
                    <w:pStyle w:val="33"/>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rPr>
                    <w:t>4、地下水严重超采区，严格控制高耗水新建、改建、扩建项目，推进高耗水企业向水资源条件允许的产业集聚区集中。</w:t>
                  </w:r>
                </w:p>
              </w:tc>
              <w:tc>
                <w:tcPr>
                  <w:tcW w:w="1251" w:type="dxa"/>
                  <w:tcBorders>
                    <w:tl2br w:val="nil"/>
                    <w:tr2bl w:val="nil"/>
                  </w:tcBorders>
                  <w:noWrap w:val="0"/>
                  <w:vAlign w:val="center"/>
                </w:tcPr>
                <w:p>
                  <w:pPr>
                    <w:adjustRightInd w:val="0"/>
                    <w:snapToGrid w:val="0"/>
                    <w:spacing w:line="360" w:lineRule="exact"/>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1、本项目</w:t>
                  </w:r>
                  <w:r>
                    <w:rPr>
                      <w:rFonts w:hint="default" w:ascii="Times New Roman" w:hAnsi="Times New Roman" w:eastAsia="宋体" w:cs="Times New Roman"/>
                      <w:b w:val="0"/>
                      <w:bCs w:val="0"/>
                      <w:color w:val="auto"/>
                      <w:sz w:val="21"/>
                      <w:szCs w:val="21"/>
                      <w:u w:val="none"/>
                      <w:lang w:val="en-US" w:eastAsia="zh-CN"/>
                    </w:rPr>
                    <w:t>不位于需要特殊保护的区域及其周边</w:t>
                  </w:r>
                  <w:r>
                    <w:rPr>
                      <w:rFonts w:hint="default" w:ascii="Times New Roman" w:hAnsi="Times New Roman" w:eastAsia="宋体" w:cs="Times New Roman"/>
                      <w:b w:val="0"/>
                      <w:bCs w:val="0"/>
                      <w:color w:val="auto"/>
                      <w:sz w:val="21"/>
                      <w:szCs w:val="21"/>
                      <w:u w:val="none"/>
                    </w:rPr>
                    <w:t>。</w:t>
                  </w:r>
                </w:p>
                <w:p>
                  <w:pPr>
                    <w:adjustRightInd w:val="0"/>
                    <w:snapToGrid w:val="0"/>
                    <w:spacing w:line="360" w:lineRule="exact"/>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2、本项目</w:t>
                  </w:r>
                  <w:r>
                    <w:rPr>
                      <w:rFonts w:hint="default" w:ascii="Times New Roman" w:hAnsi="Times New Roman" w:eastAsia="宋体" w:cs="Times New Roman"/>
                      <w:b w:val="0"/>
                      <w:bCs w:val="0"/>
                      <w:color w:val="auto"/>
                      <w:sz w:val="21"/>
                      <w:szCs w:val="21"/>
                      <w:u w:val="none"/>
                      <w:lang w:val="en-US" w:eastAsia="zh-CN"/>
                    </w:rPr>
                    <w:t>不属于高排放、高污染项目</w:t>
                  </w:r>
                  <w:r>
                    <w:rPr>
                      <w:rFonts w:hint="default" w:ascii="Times New Roman" w:hAnsi="Times New Roman" w:eastAsia="宋体" w:cs="Times New Roman"/>
                      <w:b w:val="0"/>
                      <w:bCs w:val="0"/>
                      <w:color w:val="auto"/>
                      <w:sz w:val="21"/>
                      <w:szCs w:val="21"/>
                      <w:u w:val="none"/>
                    </w:rPr>
                    <w:t>。</w:t>
                  </w:r>
                </w:p>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3、本项目</w:t>
                  </w:r>
                  <w:r>
                    <w:rPr>
                      <w:rFonts w:hint="default" w:ascii="Times New Roman" w:hAnsi="Times New Roman" w:eastAsia="宋体" w:cs="Times New Roman"/>
                      <w:b w:val="0"/>
                      <w:bCs w:val="0"/>
                      <w:color w:val="auto"/>
                      <w:sz w:val="21"/>
                      <w:szCs w:val="21"/>
                      <w:u w:val="none"/>
                      <w:lang w:val="en-US" w:eastAsia="zh-CN"/>
                    </w:rPr>
                    <w:t>不</w:t>
                  </w:r>
                  <w:r>
                    <w:rPr>
                      <w:rFonts w:hint="default" w:ascii="Times New Roman" w:hAnsi="Times New Roman" w:eastAsia="宋体" w:cs="Times New Roman"/>
                      <w:b w:val="0"/>
                      <w:bCs w:val="0"/>
                      <w:color w:val="auto"/>
                      <w:sz w:val="21"/>
                      <w:szCs w:val="21"/>
                      <w:u w:val="none"/>
                    </w:rPr>
                    <w:t>属于燃用高污染燃料的项目。</w:t>
                  </w:r>
                </w:p>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4、本项目采用市政供水官网集中供水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885" w:type="dxa"/>
                  <w:vMerge w:val="continue"/>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p>
              </w:tc>
              <w:tc>
                <w:tcPr>
                  <w:tcW w:w="814" w:type="dxa"/>
                  <w:tcBorders>
                    <w:tl2br w:val="nil"/>
                    <w:tr2bl w:val="nil"/>
                  </w:tcBorders>
                  <w:noWrap w:val="0"/>
                  <w:vAlign w:val="center"/>
                </w:tcPr>
                <w:p>
                  <w:pPr>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rPr>
                    <w:t>污染物排放管控</w:t>
                  </w:r>
                </w:p>
              </w:tc>
              <w:tc>
                <w:tcPr>
                  <w:tcW w:w="4140" w:type="dxa"/>
                  <w:tcBorders>
                    <w:tl2br w:val="nil"/>
                    <w:tr2bl w:val="nil"/>
                  </w:tcBorders>
                  <w:noWrap w:val="0"/>
                  <w:vAlign w:val="center"/>
                </w:tcPr>
                <w:p>
                  <w:pPr>
                    <w:pStyle w:val="33"/>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1、加快城市建成区排水管网清污分流、污水处理厂提质增效，新建或扩建城镇污水处理厂必须达到或优于《城镇污水处理厂污染物排放标准》（GB18918-2002）一级A排放标准。</w:t>
                  </w:r>
                </w:p>
                <w:p>
                  <w:pPr>
                    <w:pStyle w:val="33"/>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2、禁止销售、使用煤等高污染燃料，现有使用高污染燃料的单位和个人，应当按照市、县（市）人民政府规定的期限改用清洁能源或拆除使用高污染燃料的设施。</w:t>
                  </w:r>
                </w:p>
                <w:p>
                  <w:pPr>
                    <w:pStyle w:val="33"/>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3、重点行业二氧化硫、氮氧化物、颗粒物、VOCs全面执行大气污染物特别排放限值。</w:t>
                  </w:r>
                </w:p>
                <w:p>
                  <w:pPr>
                    <w:pStyle w:val="33"/>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rPr>
                    <w:t>4、优化调整货物运输结构，逐步淘汰国三及以下排放标准柴油货车，持续开展车辆更新工作。</w:t>
                  </w:r>
                </w:p>
              </w:tc>
              <w:tc>
                <w:tcPr>
                  <w:tcW w:w="1251" w:type="dxa"/>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eastAsia"/>
                      <w:b w:val="0"/>
                      <w:bCs w:val="0"/>
                      <w:color w:val="auto"/>
                      <w:sz w:val="21"/>
                      <w:szCs w:val="21"/>
                      <w:u w:val="none"/>
                      <w:lang w:val="en-US" w:eastAsia="zh-CN"/>
                    </w:rPr>
                    <w:t>本项目无新增生活污水，设备清洗水回用于生产，生产过程添加水，部分以水蒸气形式损失，部分随产品带走，因此本项目无废水外排。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885" w:type="dxa"/>
                  <w:vMerge w:val="continue"/>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p>
              </w:tc>
              <w:tc>
                <w:tcPr>
                  <w:tcW w:w="814" w:type="dxa"/>
                  <w:tcBorders>
                    <w:tl2br w:val="nil"/>
                    <w:tr2bl w:val="nil"/>
                  </w:tcBorders>
                  <w:noWrap w:val="0"/>
                  <w:vAlign w:val="center"/>
                </w:tcPr>
                <w:p>
                  <w:pPr>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rPr>
                    <w:t>资源利用效率要求</w:t>
                  </w:r>
                </w:p>
              </w:tc>
              <w:tc>
                <w:tcPr>
                  <w:tcW w:w="4140" w:type="dxa"/>
                  <w:tcBorders>
                    <w:tl2br w:val="nil"/>
                    <w:tr2bl w:val="nil"/>
                  </w:tcBorders>
                  <w:noWrap w:val="0"/>
                  <w:vAlign w:val="center"/>
                </w:tcPr>
                <w:p>
                  <w:pPr>
                    <w:pStyle w:val="33"/>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1、地下水严重超采区，禁止工农业及服务业新增取用地下水。</w:t>
                  </w:r>
                </w:p>
                <w:p>
                  <w:pPr>
                    <w:pStyle w:val="33"/>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rPr>
                    <w:t>2、除经严格审批的应急供水、生活及特种需求供水外，其他供水禁止使用深层承压水。</w:t>
                  </w:r>
                </w:p>
              </w:tc>
              <w:tc>
                <w:tcPr>
                  <w:tcW w:w="1251" w:type="dxa"/>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本项目用水采用市政供水管网</w:t>
                  </w:r>
                </w:p>
              </w:tc>
            </w:tr>
          </w:tbl>
          <w:p>
            <w:pPr>
              <w:spacing w:line="360" w:lineRule="auto"/>
              <w:ind w:firstLine="480" w:firstLineChars="200"/>
              <w:rPr>
                <w:b w:val="0"/>
                <w:bCs/>
                <w:color w:val="auto"/>
                <w:sz w:val="24"/>
                <w:szCs w:val="24"/>
                <w:u w:val="single"/>
              </w:rPr>
            </w:pPr>
            <w:r>
              <w:rPr>
                <w:rFonts w:hint="eastAsia" w:ascii="Times New Roman" w:hAnsi="Times New Roman"/>
                <w:b w:val="0"/>
                <w:bCs/>
                <w:color w:val="auto"/>
                <w:sz w:val="24"/>
                <w:szCs w:val="24"/>
                <w:u w:val="none"/>
                <w:shd w:val="clear" w:color="auto" w:fill="FFFFFF"/>
                <w:lang w:val="en-US" w:eastAsia="zh-CN"/>
              </w:rPr>
              <w:t>根据上表永城市</w:t>
            </w:r>
            <w:r>
              <w:rPr>
                <w:rFonts w:ascii="Times New Roman" w:hAnsi="Times New Roman"/>
                <w:b w:val="0"/>
                <w:bCs/>
                <w:color w:val="auto"/>
                <w:sz w:val="24"/>
                <w:szCs w:val="24"/>
                <w:u w:val="none"/>
                <w:shd w:val="clear" w:color="auto" w:fill="FFFFFF"/>
                <w:lang w:val="en-US" w:eastAsia="zh-CN"/>
              </w:rPr>
              <w:t>环境管控单元生态环境准入清单</w:t>
            </w:r>
            <w:r>
              <w:rPr>
                <w:rFonts w:hint="eastAsia" w:ascii="Times New Roman" w:hAnsi="Times New Roman"/>
                <w:b w:val="0"/>
                <w:bCs/>
                <w:color w:val="auto"/>
                <w:sz w:val="24"/>
                <w:szCs w:val="24"/>
                <w:u w:val="none"/>
                <w:shd w:val="clear" w:color="auto" w:fill="FFFFFF"/>
                <w:lang w:val="en-US" w:eastAsia="zh-CN"/>
              </w:rPr>
              <w:t>相符性分析，</w:t>
            </w:r>
            <w:r>
              <w:rPr>
                <w:rFonts w:ascii="Times New Roman" w:hAnsi="Times New Roman"/>
                <w:b w:val="0"/>
                <w:bCs/>
                <w:snapToGrid w:val="0"/>
                <w:color w:val="auto"/>
                <w:spacing w:val="6"/>
                <w:kern w:val="2"/>
                <w:sz w:val="24"/>
                <w:szCs w:val="24"/>
                <w:u w:val="none"/>
                <w:lang w:val="en-US" w:eastAsia="zh-CN"/>
              </w:rPr>
              <w:t>本项目的</w:t>
            </w:r>
            <w:r>
              <w:rPr>
                <w:rFonts w:ascii="Times New Roman" w:hAnsi="Times New Roman"/>
                <w:b w:val="0"/>
                <w:bCs/>
                <w:color w:val="auto"/>
                <w:sz w:val="24"/>
                <w:szCs w:val="24"/>
                <w:u w:val="none"/>
                <w:lang w:val="en-US" w:eastAsia="zh-CN" w:bidi="ar"/>
              </w:rPr>
              <w:t>运营会排放一定的污染物，但项目采取废水、噪声、固废</w:t>
            </w:r>
            <w:r>
              <w:rPr>
                <w:rFonts w:hint="eastAsia" w:ascii="Times New Roman" w:hAnsi="Times New Roman"/>
                <w:b w:val="0"/>
                <w:bCs/>
                <w:color w:val="auto"/>
                <w:sz w:val="24"/>
                <w:szCs w:val="24"/>
                <w:u w:val="none"/>
                <w:lang w:val="en-US" w:eastAsia="zh-CN" w:bidi="ar"/>
              </w:rPr>
              <w:t>、</w:t>
            </w:r>
            <w:r>
              <w:rPr>
                <w:rFonts w:ascii="Times New Roman" w:hAnsi="Times New Roman"/>
                <w:b w:val="0"/>
                <w:bCs/>
                <w:color w:val="auto"/>
                <w:sz w:val="24"/>
                <w:szCs w:val="24"/>
                <w:u w:val="none"/>
                <w:lang w:val="en-US" w:eastAsia="zh-CN" w:bidi="ar"/>
              </w:rPr>
              <w:t>地下水及土壤污染防治措施，有效的减少了污染物排放，对周边环境的影响</w:t>
            </w:r>
            <w:r>
              <w:rPr>
                <w:rFonts w:hint="eastAsia" w:ascii="Times New Roman" w:hAnsi="Times New Roman"/>
                <w:b w:val="0"/>
                <w:bCs/>
                <w:color w:val="auto"/>
                <w:sz w:val="24"/>
                <w:szCs w:val="24"/>
                <w:u w:val="none"/>
                <w:lang w:val="en-US" w:eastAsia="zh-CN" w:bidi="ar"/>
              </w:rPr>
              <w:t>较小</w:t>
            </w:r>
            <w:r>
              <w:rPr>
                <w:rFonts w:ascii="Times New Roman" w:hAnsi="Times New Roman"/>
                <w:b w:val="0"/>
                <w:bCs/>
                <w:color w:val="auto"/>
                <w:sz w:val="24"/>
                <w:szCs w:val="24"/>
                <w:u w:val="none"/>
                <w:lang w:val="en-US" w:eastAsia="zh-CN" w:bidi="ar"/>
              </w:rPr>
              <w:t>，确保生态环境功能不降低。</w:t>
            </w:r>
            <w:r>
              <w:rPr>
                <w:rFonts w:hint="eastAsia" w:ascii="Times New Roman" w:hAnsi="Times New Roman"/>
                <w:b w:val="0"/>
                <w:bCs/>
                <w:color w:val="auto"/>
                <w:sz w:val="24"/>
                <w:szCs w:val="24"/>
                <w:u w:val="none"/>
                <w:lang w:val="en-US" w:eastAsia="zh-CN" w:bidi="ar"/>
              </w:rPr>
              <w:t>因此本项目的建设符合</w:t>
            </w:r>
            <w:r>
              <w:rPr>
                <w:b w:val="0"/>
                <w:bCs/>
                <w:color w:val="auto"/>
                <w:kern w:val="52"/>
                <w:sz w:val="24"/>
                <w:szCs w:val="24"/>
                <w:u w:val="none"/>
                <w:lang w:val="en-US" w:eastAsia="zh-CN"/>
              </w:rPr>
              <w:t>《河南省人民政府关于实施“三线一单”生态环境分区管控的意见》</w:t>
            </w:r>
            <w:r>
              <w:rPr>
                <w:rFonts w:hint="eastAsia"/>
                <w:b w:val="0"/>
                <w:bCs/>
                <w:color w:val="auto"/>
                <w:kern w:val="52"/>
                <w:sz w:val="24"/>
                <w:szCs w:val="24"/>
                <w:u w:val="none"/>
                <w:lang w:val="en-US" w:eastAsia="zh-CN"/>
              </w:rPr>
              <w:t>（</w:t>
            </w:r>
            <w:r>
              <w:rPr>
                <w:b w:val="0"/>
                <w:bCs/>
                <w:color w:val="auto"/>
                <w:kern w:val="52"/>
                <w:sz w:val="24"/>
                <w:szCs w:val="24"/>
                <w:u w:val="none"/>
                <w:lang w:val="en-US" w:eastAsia="zh-CN"/>
              </w:rPr>
              <w:t>豫政[</w:t>
            </w:r>
            <w:r>
              <w:rPr>
                <w:rFonts w:ascii="Times New Roman" w:hAnsi="Times New Roman"/>
                <w:b w:val="0"/>
                <w:bCs/>
                <w:color w:val="auto"/>
                <w:kern w:val="52"/>
                <w:sz w:val="24"/>
                <w:szCs w:val="24"/>
                <w:u w:val="none"/>
                <w:lang w:val="en-US" w:eastAsia="zh-CN"/>
              </w:rPr>
              <w:t>2020</w:t>
            </w:r>
            <w:r>
              <w:rPr>
                <w:b w:val="0"/>
                <w:bCs/>
                <w:color w:val="auto"/>
                <w:kern w:val="52"/>
                <w:sz w:val="24"/>
                <w:szCs w:val="24"/>
                <w:u w:val="none"/>
                <w:lang w:val="en-US" w:eastAsia="zh-CN"/>
              </w:rPr>
              <w:t>]</w:t>
            </w:r>
            <w:r>
              <w:rPr>
                <w:rFonts w:ascii="Times New Roman" w:hAnsi="Times New Roman"/>
                <w:b w:val="0"/>
                <w:bCs/>
                <w:color w:val="auto"/>
                <w:kern w:val="52"/>
                <w:sz w:val="24"/>
                <w:szCs w:val="24"/>
                <w:u w:val="none"/>
                <w:lang w:val="en-US" w:eastAsia="zh-CN"/>
              </w:rPr>
              <w:t>37</w:t>
            </w:r>
            <w:r>
              <w:rPr>
                <w:b w:val="0"/>
                <w:bCs/>
                <w:color w:val="auto"/>
                <w:kern w:val="52"/>
                <w:sz w:val="24"/>
                <w:szCs w:val="24"/>
                <w:u w:val="none"/>
                <w:lang w:val="en-US" w:eastAsia="zh-CN"/>
              </w:rPr>
              <w:t>号</w:t>
            </w:r>
            <w:r>
              <w:rPr>
                <w:rFonts w:hint="eastAsia"/>
                <w:b w:val="0"/>
                <w:bCs/>
                <w:color w:val="auto"/>
                <w:kern w:val="52"/>
                <w:sz w:val="24"/>
                <w:szCs w:val="24"/>
                <w:u w:val="none"/>
                <w:lang w:val="en-US" w:eastAsia="zh-CN"/>
              </w:rPr>
              <w:t>）以及河南省生态环境准入清单的要求。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32"/>
                <w:u w:val="none"/>
                <w:vertAlign w:val="baseline"/>
                <w:lang w:val="en-US" w:eastAsia="zh-CN"/>
              </w:rPr>
            </w:pPr>
            <w:r>
              <w:rPr>
                <w:rFonts w:hint="default" w:ascii="Times New Roman" w:hAnsi="Times New Roman" w:eastAsia="宋体" w:cs="Times New Roman"/>
                <w:b/>
                <w:bCs/>
                <w:color w:val="auto"/>
                <w:sz w:val="24"/>
                <w:szCs w:val="32"/>
                <w:u w:val="none"/>
                <w:vertAlign w:val="baseline"/>
                <w:lang w:val="en-US" w:eastAsia="zh-CN"/>
              </w:rPr>
              <w:t>（3）与《河南省城市集中式饮用水源保护区划》的相符性</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①河南省县级集中式饮用水水源地保护区划</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highlight w:val="none"/>
                <w:u w:val="none"/>
              </w:rPr>
            </w:pPr>
            <w:r>
              <w:rPr>
                <w:rFonts w:hint="default" w:ascii="Times New Roman" w:hAnsi="Times New Roman" w:eastAsia="宋体" w:cs="Times New Roman"/>
                <w:b w:val="0"/>
                <w:bCs w:val="0"/>
                <w:color w:val="auto"/>
                <w:sz w:val="24"/>
                <w:highlight w:val="none"/>
                <w:u w:val="none"/>
              </w:rPr>
              <w:t>依据《河南省城市集中式饮用水源保护区划》（豫政办〔2007〕125号），永城市集中式饮用水源保护区为永城市李庄滕庙地下水饮用水源保护区(共21眼井)。其中：</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highlight w:val="none"/>
                <w:u w:val="none"/>
              </w:rPr>
            </w:pPr>
            <w:r>
              <w:rPr>
                <w:rFonts w:hint="default" w:ascii="Times New Roman" w:hAnsi="Times New Roman" w:eastAsia="宋体" w:cs="Times New Roman"/>
                <w:b w:val="0"/>
                <w:bCs w:val="0"/>
                <w:color w:val="auto"/>
                <w:sz w:val="24"/>
                <w:highlight w:val="none"/>
                <w:u w:val="none"/>
              </w:rPr>
              <w:t>一级保护区：取水井外围50m的区域；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highlight w:val="none"/>
                <w:u w:val="none"/>
              </w:rPr>
            </w:pPr>
            <w:r>
              <w:rPr>
                <w:rFonts w:hint="default" w:ascii="Times New Roman" w:hAnsi="Times New Roman" w:eastAsia="宋体" w:cs="Times New Roman"/>
                <w:b w:val="0"/>
                <w:bCs w:val="0"/>
                <w:color w:val="auto"/>
                <w:sz w:val="24"/>
                <w:highlight w:val="none"/>
                <w:u w:val="none"/>
              </w:rPr>
              <w:t>二级保护区：沱滨路以北，国土局土地复垦公司以南，西环路以西，城郊矿塌陷区以东的区域；城郊矿塌陷区以东，永宿路北100m以北，铁路以西，沱河河堤以南的区域。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highlight w:val="none"/>
                <w:u w:val="none"/>
              </w:rPr>
            </w:pPr>
            <w:r>
              <w:rPr>
                <w:rFonts w:hint="default" w:ascii="Times New Roman" w:hAnsi="Times New Roman" w:eastAsia="宋体" w:cs="Times New Roman"/>
                <w:b w:val="0"/>
                <w:bCs w:val="0"/>
                <w:color w:val="auto"/>
                <w:sz w:val="24"/>
                <w:highlight w:val="none"/>
                <w:u w:val="none"/>
              </w:rPr>
              <w:t>根据调查，本项目</w:t>
            </w:r>
            <w:r>
              <w:rPr>
                <w:rFonts w:hint="eastAsia" w:ascii="Times New Roman" w:hAnsi="Times New Roman" w:cs="Times New Roman"/>
                <w:b w:val="0"/>
                <w:bCs w:val="0"/>
                <w:color w:val="auto"/>
                <w:sz w:val="24"/>
                <w:highlight w:val="none"/>
                <w:u w:val="none"/>
                <w:lang w:val="en-US" w:eastAsia="zh-CN"/>
              </w:rPr>
              <w:t>位于</w:t>
            </w:r>
            <w:r>
              <w:rPr>
                <w:rFonts w:hint="eastAsia" w:ascii="Times New Roman" w:hAnsi="Times New Roman" w:cs="Times New Roman"/>
                <w:b w:val="0"/>
                <w:bCs w:val="0"/>
                <w:color w:val="auto"/>
                <w:sz w:val="24"/>
                <w:szCs w:val="32"/>
                <w:u w:val="none"/>
                <w:vertAlign w:val="baseline"/>
                <w:lang w:val="en-US" w:eastAsia="zh-CN"/>
              </w:rPr>
              <w:t>永城市产业集聚区南外环与芒砀路南段交叉口</w:t>
            </w:r>
            <w:r>
              <w:rPr>
                <w:rFonts w:hint="eastAsia" w:ascii="Times New Roman" w:hAnsi="Times New Roman" w:cs="Times New Roman"/>
                <w:b w:val="0"/>
                <w:bCs w:val="0"/>
                <w:color w:val="auto"/>
                <w:sz w:val="24"/>
                <w:highlight w:val="none"/>
                <w:u w:val="none"/>
                <w:lang w:val="en-US" w:eastAsia="zh-CN"/>
              </w:rPr>
              <w:t>，距离二级保护区直线距离约4.7km，</w:t>
            </w:r>
            <w:r>
              <w:rPr>
                <w:rFonts w:hint="default" w:ascii="Times New Roman" w:hAnsi="Times New Roman" w:eastAsia="宋体" w:cs="Times New Roman"/>
                <w:b w:val="0"/>
                <w:bCs w:val="0"/>
                <w:color w:val="auto"/>
                <w:sz w:val="24"/>
                <w:highlight w:val="none"/>
                <w:u w:val="none"/>
              </w:rPr>
              <w:t>选址不在地下水饮用水源保护区范围内，符合饮用水保护规划。</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②河南省乡镇集中式饮用水水源保护区划</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highlight w:val="none"/>
                <w:u w:val="none"/>
              </w:rPr>
            </w:pPr>
            <w:r>
              <w:rPr>
                <w:rFonts w:hint="default" w:ascii="Times New Roman" w:hAnsi="Times New Roman" w:eastAsia="宋体" w:cs="Times New Roman"/>
                <w:b w:val="0"/>
                <w:bCs w:val="0"/>
                <w:color w:val="auto"/>
                <w:sz w:val="24"/>
                <w:highlight w:val="none"/>
                <w:u w:val="none"/>
              </w:rPr>
              <w:t>依据《河南省乡镇集中式饮用水水源保护区划》（豫政办〔2016〕23号），永城市乡镇集中式饮用水水源保护区主要包括：</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highlight w:val="none"/>
                <w:u w:val="none"/>
              </w:rPr>
            </w:pPr>
            <w:r>
              <w:rPr>
                <w:rFonts w:hint="default" w:ascii="Times New Roman" w:hAnsi="Times New Roman" w:eastAsia="宋体" w:cs="Times New Roman"/>
                <w:b w:val="0"/>
                <w:bCs w:val="0"/>
                <w:color w:val="auto"/>
                <w:sz w:val="24"/>
                <w:highlight w:val="none"/>
                <w:u w:val="none"/>
              </w:rPr>
              <w:t>（1）永城市黄口乡木楼地下水井群（共2眼井）：一级保护区范围：取水井外围50m的区域。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highlight w:val="none"/>
                <w:u w:val="none"/>
              </w:rPr>
            </w:pPr>
            <w:r>
              <w:rPr>
                <w:rFonts w:hint="default" w:ascii="Times New Roman" w:hAnsi="Times New Roman" w:eastAsia="宋体" w:cs="Times New Roman"/>
                <w:b w:val="0"/>
                <w:bCs w:val="0"/>
                <w:color w:val="auto"/>
                <w:sz w:val="24"/>
                <w:highlight w:val="none"/>
                <w:u w:val="none"/>
              </w:rPr>
              <w:t>（2）永城市李寨乡地下水井群(共2眼井)：一级保护区范围：取水井外围50m的区域。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highlight w:val="none"/>
                <w:u w:val="none"/>
              </w:rPr>
            </w:pPr>
            <w:r>
              <w:rPr>
                <w:rFonts w:hint="default" w:ascii="Times New Roman" w:hAnsi="Times New Roman" w:eastAsia="宋体" w:cs="Times New Roman"/>
                <w:b w:val="0"/>
                <w:bCs w:val="0"/>
                <w:color w:val="auto"/>
                <w:sz w:val="24"/>
                <w:highlight w:val="none"/>
                <w:u w:val="none"/>
              </w:rPr>
              <w:t>（3）永城市马桥镇马北地下水井（共1眼井）：一级保护区范围：取水井外围50m的区域。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highlight w:val="none"/>
                <w:u w:val="none"/>
              </w:rPr>
            </w:pPr>
            <w:r>
              <w:rPr>
                <w:rFonts w:hint="default" w:ascii="Times New Roman" w:hAnsi="Times New Roman" w:eastAsia="宋体" w:cs="Times New Roman"/>
                <w:b w:val="0"/>
                <w:bCs w:val="0"/>
                <w:color w:val="auto"/>
                <w:sz w:val="24"/>
                <w:highlight w:val="none"/>
                <w:u w:val="none"/>
              </w:rPr>
              <w:t>（4）永城市马桥镇唐庄地下水井（共1眼井）：一级保护区范围：取水井外围50m的区域。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highlight w:val="none"/>
                <w:u w:val="none"/>
              </w:rPr>
            </w:pPr>
            <w:r>
              <w:rPr>
                <w:rFonts w:hint="eastAsia" w:ascii="Times New Roman" w:hAnsi="Times New Roman" w:eastAsia="宋体" w:cs="Times New Roman"/>
                <w:b w:val="0"/>
                <w:bCs w:val="0"/>
                <w:color w:val="auto"/>
                <w:sz w:val="24"/>
                <w:highlight w:val="none"/>
                <w:u w:val="none"/>
                <w:lang w:eastAsia="zh-CN"/>
              </w:rPr>
              <w:t>（</w:t>
            </w:r>
            <w:r>
              <w:rPr>
                <w:rFonts w:hint="eastAsia" w:ascii="Times New Roman" w:hAnsi="Times New Roman" w:eastAsia="宋体" w:cs="Times New Roman"/>
                <w:b w:val="0"/>
                <w:bCs w:val="0"/>
                <w:color w:val="auto"/>
                <w:sz w:val="24"/>
                <w:highlight w:val="none"/>
                <w:u w:val="none"/>
                <w:lang w:val="en-US" w:eastAsia="zh-CN"/>
              </w:rPr>
              <w:t>5</w:t>
            </w:r>
            <w:r>
              <w:rPr>
                <w:rFonts w:hint="eastAsia" w:ascii="Times New Roman" w:hAnsi="Times New Roman" w:eastAsia="宋体" w:cs="Times New Roman"/>
                <w:b w:val="0"/>
                <w:bCs w:val="0"/>
                <w:color w:val="auto"/>
                <w:sz w:val="24"/>
                <w:highlight w:val="none"/>
                <w:u w:val="none"/>
                <w:lang w:eastAsia="zh-CN"/>
              </w:rPr>
              <w:t>）</w:t>
            </w:r>
            <w:r>
              <w:rPr>
                <w:rFonts w:hint="default" w:ascii="Times New Roman" w:hAnsi="Times New Roman" w:eastAsia="宋体" w:cs="Times New Roman"/>
                <w:b w:val="0"/>
                <w:bCs w:val="0"/>
                <w:color w:val="auto"/>
                <w:sz w:val="24"/>
                <w:highlight w:val="none"/>
                <w:u w:val="none"/>
              </w:rPr>
              <w:t>永城市裴桥镇地下水井群(共2眼井)：一级保护区范围:取水井外围50米的区域。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highlight w:val="none"/>
                <w:u w:val="none"/>
              </w:rPr>
            </w:pPr>
            <w:r>
              <w:rPr>
                <w:rFonts w:hint="eastAsia" w:ascii="Times New Roman" w:hAnsi="Times New Roman" w:eastAsia="宋体" w:cs="Times New Roman"/>
                <w:b w:val="0"/>
                <w:bCs w:val="0"/>
                <w:color w:val="auto"/>
                <w:sz w:val="24"/>
                <w:highlight w:val="none"/>
                <w:u w:val="none"/>
                <w:lang w:eastAsia="zh-CN"/>
              </w:rPr>
              <w:t>（</w:t>
            </w:r>
            <w:r>
              <w:rPr>
                <w:rFonts w:hint="eastAsia" w:ascii="Times New Roman" w:hAnsi="Times New Roman" w:cs="Times New Roman"/>
                <w:b w:val="0"/>
                <w:bCs w:val="0"/>
                <w:color w:val="auto"/>
                <w:sz w:val="24"/>
                <w:highlight w:val="none"/>
                <w:u w:val="none"/>
                <w:lang w:val="en-US" w:eastAsia="zh-CN"/>
              </w:rPr>
              <w:t>6</w:t>
            </w:r>
            <w:r>
              <w:rPr>
                <w:rFonts w:hint="eastAsia" w:ascii="Times New Roman" w:hAnsi="Times New Roman" w:eastAsia="宋体" w:cs="Times New Roman"/>
                <w:b w:val="0"/>
                <w:bCs w:val="0"/>
                <w:color w:val="auto"/>
                <w:sz w:val="24"/>
                <w:highlight w:val="none"/>
                <w:u w:val="none"/>
                <w:lang w:eastAsia="zh-CN"/>
              </w:rPr>
              <w:t>）</w:t>
            </w:r>
            <w:r>
              <w:rPr>
                <w:rFonts w:hint="default" w:ascii="Times New Roman" w:hAnsi="Times New Roman" w:eastAsia="宋体" w:cs="Times New Roman"/>
                <w:b w:val="0"/>
                <w:bCs w:val="0"/>
                <w:color w:val="auto"/>
                <w:sz w:val="24"/>
                <w:highlight w:val="none"/>
                <w:u w:val="none"/>
              </w:rPr>
              <w:t>永城市龙岗乡地下水井(共1眼井)：一级保护区范围:取水井外围50米的区域。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highlight w:val="none"/>
                <w:u w:val="none"/>
              </w:rPr>
            </w:pPr>
            <w:r>
              <w:rPr>
                <w:rFonts w:hint="eastAsia" w:ascii="Times New Roman" w:hAnsi="Times New Roman" w:eastAsia="宋体" w:cs="Times New Roman"/>
                <w:b w:val="0"/>
                <w:bCs w:val="0"/>
                <w:color w:val="auto"/>
                <w:sz w:val="24"/>
                <w:highlight w:val="none"/>
                <w:u w:val="none"/>
                <w:lang w:eastAsia="zh-CN"/>
              </w:rPr>
              <w:t>（</w:t>
            </w:r>
            <w:r>
              <w:rPr>
                <w:rFonts w:hint="eastAsia" w:ascii="Times New Roman" w:hAnsi="Times New Roman" w:cs="Times New Roman"/>
                <w:b w:val="0"/>
                <w:bCs w:val="0"/>
                <w:color w:val="auto"/>
                <w:sz w:val="24"/>
                <w:highlight w:val="none"/>
                <w:u w:val="none"/>
                <w:lang w:val="en-US" w:eastAsia="zh-CN"/>
              </w:rPr>
              <w:t>7</w:t>
            </w:r>
            <w:r>
              <w:rPr>
                <w:rFonts w:hint="eastAsia" w:ascii="Times New Roman" w:hAnsi="Times New Roman" w:eastAsia="宋体" w:cs="Times New Roman"/>
                <w:b w:val="0"/>
                <w:bCs w:val="0"/>
                <w:color w:val="auto"/>
                <w:sz w:val="24"/>
                <w:highlight w:val="none"/>
                <w:u w:val="none"/>
                <w:lang w:eastAsia="zh-CN"/>
              </w:rPr>
              <w:t>）</w:t>
            </w:r>
            <w:r>
              <w:rPr>
                <w:rFonts w:hint="default" w:ascii="Times New Roman" w:hAnsi="Times New Roman" w:eastAsia="宋体" w:cs="Times New Roman"/>
                <w:b w:val="0"/>
                <w:bCs w:val="0"/>
                <w:color w:val="auto"/>
                <w:sz w:val="24"/>
                <w:highlight w:val="none"/>
                <w:u w:val="none"/>
              </w:rPr>
              <w:t>永城市酇城镇地下水井(共1眼井)：一级保护区范围:取水井外围50米的区域。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highlight w:val="none"/>
                <w:u w:val="none"/>
              </w:rPr>
            </w:pPr>
            <w:r>
              <w:rPr>
                <w:rFonts w:hint="eastAsia" w:ascii="Times New Roman" w:hAnsi="Times New Roman" w:eastAsia="宋体" w:cs="Times New Roman"/>
                <w:b w:val="0"/>
                <w:bCs w:val="0"/>
                <w:color w:val="auto"/>
                <w:sz w:val="24"/>
                <w:highlight w:val="none"/>
                <w:u w:val="none"/>
                <w:lang w:eastAsia="zh-CN"/>
              </w:rPr>
              <w:t>（</w:t>
            </w:r>
            <w:r>
              <w:rPr>
                <w:rFonts w:hint="eastAsia" w:ascii="Times New Roman" w:hAnsi="Times New Roman" w:cs="Times New Roman"/>
                <w:b w:val="0"/>
                <w:bCs w:val="0"/>
                <w:color w:val="auto"/>
                <w:sz w:val="24"/>
                <w:highlight w:val="none"/>
                <w:u w:val="none"/>
                <w:lang w:val="en-US" w:eastAsia="zh-CN"/>
              </w:rPr>
              <w:t>8</w:t>
            </w:r>
            <w:r>
              <w:rPr>
                <w:rFonts w:hint="eastAsia" w:ascii="Times New Roman" w:hAnsi="Times New Roman" w:eastAsia="宋体" w:cs="Times New Roman"/>
                <w:b w:val="0"/>
                <w:bCs w:val="0"/>
                <w:color w:val="auto"/>
                <w:sz w:val="24"/>
                <w:highlight w:val="none"/>
                <w:u w:val="none"/>
                <w:lang w:eastAsia="zh-CN"/>
              </w:rPr>
              <w:t>）</w:t>
            </w:r>
            <w:r>
              <w:rPr>
                <w:rFonts w:hint="default" w:ascii="Times New Roman" w:hAnsi="Times New Roman" w:eastAsia="宋体" w:cs="Times New Roman"/>
                <w:b w:val="0"/>
                <w:bCs w:val="0"/>
                <w:color w:val="auto"/>
                <w:sz w:val="24"/>
                <w:highlight w:val="none"/>
                <w:u w:val="none"/>
              </w:rPr>
              <w:t>永城市王集乡地下水井(共1眼井)：一级保护区范围:取水井外围50米的区域。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highlight w:val="none"/>
                <w:u w:val="none"/>
              </w:rPr>
            </w:pPr>
            <w:r>
              <w:rPr>
                <w:rFonts w:hint="eastAsia" w:ascii="Times New Roman" w:hAnsi="Times New Roman" w:eastAsia="宋体" w:cs="Times New Roman"/>
                <w:b w:val="0"/>
                <w:bCs w:val="0"/>
                <w:color w:val="auto"/>
                <w:sz w:val="24"/>
                <w:highlight w:val="none"/>
                <w:u w:val="none"/>
                <w:lang w:eastAsia="zh-CN"/>
              </w:rPr>
              <w:t>（</w:t>
            </w:r>
            <w:r>
              <w:rPr>
                <w:rFonts w:hint="eastAsia" w:ascii="Times New Roman" w:hAnsi="Times New Roman" w:cs="Times New Roman"/>
                <w:b w:val="0"/>
                <w:bCs w:val="0"/>
                <w:color w:val="auto"/>
                <w:sz w:val="24"/>
                <w:highlight w:val="none"/>
                <w:u w:val="none"/>
                <w:lang w:val="en-US" w:eastAsia="zh-CN"/>
              </w:rPr>
              <w:t>9</w:t>
            </w:r>
            <w:r>
              <w:rPr>
                <w:rFonts w:hint="eastAsia" w:ascii="Times New Roman" w:hAnsi="Times New Roman" w:eastAsia="宋体" w:cs="Times New Roman"/>
                <w:b w:val="0"/>
                <w:bCs w:val="0"/>
                <w:color w:val="auto"/>
                <w:sz w:val="24"/>
                <w:highlight w:val="none"/>
                <w:u w:val="none"/>
                <w:lang w:eastAsia="zh-CN"/>
              </w:rPr>
              <w:t>）</w:t>
            </w:r>
            <w:r>
              <w:rPr>
                <w:rFonts w:hint="default" w:ascii="Times New Roman" w:hAnsi="Times New Roman" w:eastAsia="宋体" w:cs="Times New Roman"/>
                <w:b w:val="0"/>
                <w:bCs w:val="0"/>
                <w:color w:val="auto"/>
                <w:sz w:val="24"/>
                <w:highlight w:val="none"/>
                <w:u w:val="none"/>
              </w:rPr>
              <w:t>永城市双桥乡地下水井(共1眼井)：一级保护区范围:取水井外围50米的区域。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highlight w:val="none"/>
                <w:u w:val="none"/>
              </w:rPr>
            </w:pPr>
            <w:r>
              <w:rPr>
                <w:rFonts w:hint="eastAsia" w:ascii="Times New Roman" w:hAnsi="Times New Roman" w:eastAsia="宋体" w:cs="Times New Roman"/>
                <w:b w:val="0"/>
                <w:bCs w:val="0"/>
                <w:color w:val="auto"/>
                <w:sz w:val="24"/>
                <w:highlight w:val="none"/>
                <w:u w:val="none"/>
                <w:lang w:eastAsia="zh-CN"/>
              </w:rPr>
              <w:t>（</w:t>
            </w:r>
            <w:r>
              <w:rPr>
                <w:rFonts w:hint="eastAsia" w:ascii="Times New Roman" w:hAnsi="Times New Roman" w:cs="Times New Roman"/>
                <w:b w:val="0"/>
                <w:bCs w:val="0"/>
                <w:color w:val="auto"/>
                <w:sz w:val="24"/>
                <w:highlight w:val="none"/>
                <w:u w:val="none"/>
                <w:lang w:val="en-US" w:eastAsia="zh-CN"/>
              </w:rPr>
              <w:t>10</w:t>
            </w:r>
            <w:r>
              <w:rPr>
                <w:rFonts w:hint="eastAsia" w:ascii="Times New Roman" w:hAnsi="Times New Roman" w:eastAsia="宋体" w:cs="Times New Roman"/>
                <w:b w:val="0"/>
                <w:bCs w:val="0"/>
                <w:color w:val="auto"/>
                <w:sz w:val="24"/>
                <w:highlight w:val="none"/>
                <w:u w:val="none"/>
                <w:lang w:eastAsia="zh-CN"/>
              </w:rPr>
              <w:t>）</w:t>
            </w:r>
            <w:r>
              <w:rPr>
                <w:rFonts w:hint="default" w:ascii="Times New Roman" w:hAnsi="Times New Roman" w:eastAsia="宋体" w:cs="Times New Roman"/>
                <w:b w:val="0"/>
                <w:bCs w:val="0"/>
                <w:color w:val="auto"/>
                <w:sz w:val="24"/>
                <w:highlight w:val="none"/>
                <w:u w:val="none"/>
              </w:rPr>
              <w:t>永城市蒋口镇地下水井(共1眼井)：一级保护区范围:取水井外围50米的区域。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highlight w:val="none"/>
                <w:u w:val="none"/>
              </w:rPr>
            </w:pPr>
            <w:r>
              <w:rPr>
                <w:rFonts w:hint="eastAsia" w:ascii="Times New Roman" w:hAnsi="Times New Roman" w:eastAsia="宋体" w:cs="Times New Roman"/>
                <w:b w:val="0"/>
                <w:bCs w:val="0"/>
                <w:color w:val="auto"/>
                <w:sz w:val="24"/>
                <w:highlight w:val="none"/>
                <w:u w:val="none"/>
                <w:lang w:eastAsia="zh-CN"/>
              </w:rPr>
              <w:t>（</w:t>
            </w:r>
            <w:r>
              <w:rPr>
                <w:rFonts w:hint="eastAsia" w:ascii="Times New Roman" w:hAnsi="Times New Roman" w:cs="Times New Roman"/>
                <w:b w:val="0"/>
                <w:bCs w:val="0"/>
                <w:color w:val="auto"/>
                <w:sz w:val="24"/>
                <w:highlight w:val="none"/>
                <w:u w:val="none"/>
                <w:lang w:val="en-US" w:eastAsia="zh-CN"/>
              </w:rPr>
              <w:t>11</w:t>
            </w:r>
            <w:r>
              <w:rPr>
                <w:rFonts w:hint="eastAsia" w:ascii="Times New Roman" w:hAnsi="Times New Roman" w:eastAsia="宋体" w:cs="Times New Roman"/>
                <w:b w:val="0"/>
                <w:bCs w:val="0"/>
                <w:color w:val="auto"/>
                <w:sz w:val="24"/>
                <w:highlight w:val="none"/>
                <w:u w:val="none"/>
                <w:lang w:eastAsia="zh-CN"/>
              </w:rPr>
              <w:t>）</w:t>
            </w:r>
            <w:r>
              <w:rPr>
                <w:rFonts w:hint="default" w:ascii="Times New Roman" w:hAnsi="Times New Roman" w:eastAsia="宋体" w:cs="Times New Roman"/>
                <w:b w:val="0"/>
                <w:bCs w:val="0"/>
                <w:color w:val="auto"/>
                <w:sz w:val="24"/>
                <w:highlight w:val="none"/>
                <w:u w:val="none"/>
              </w:rPr>
              <w:t>永城市顺河乡地下水井群(共3眼井)：一级保护区范围:取水井外围50米的区域。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highlight w:val="none"/>
                <w:u w:val="none"/>
              </w:rPr>
            </w:pPr>
            <w:r>
              <w:rPr>
                <w:rFonts w:hint="eastAsia" w:ascii="Times New Roman" w:hAnsi="Times New Roman" w:eastAsia="宋体" w:cs="Times New Roman"/>
                <w:b w:val="0"/>
                <w:bCs w:val="0"/>
                <w:color w:val="auto"/>
                <w:sz w:val="24"/>
                <w:highlight w:val="none"/>
                <w:u w:val="none"/>
                <w:lang w:eastAsia="zh-CN"/>
              </w:rPr>
              <w:t>（</w:t>
            </w:r>
            <w:r>
              <w:rPr>
                <w:rFonts w:hint="eastAsia" w:ascii="Times New Roman" w:hAnsi="Times New Roman" w:cs="Times New Roman"/>
                <w:b w:val="0"/>
                <w:bCs w:val="0"/>
                <w:color w:val="auto"/>
                <w:sz w:val="24"/>
                <w:highlight w:val="none"/>
                <w:u w:val="none"/>
                <w:lang w:val="en-US" w:eastAsia="zh-CN"/>
              </w:rPr>
              <w:t>12</w:t>
            </w:r>
            <w:r>
              <w:rPr>
                <w:rFonts w:hint="eastAsia" w:ascii="Times New Roman" w:hAnsi="Times New Roman" w:eastAsia="宋体" w:cs="Times New Roman"/>
                <w:b w:val="0"/>
                <w:bCs w:val="0"/>
                <w:color w:val="auto"/>
                <w:sz w:val="24"/>
                <w:highlight w:val="none"/>
                <w:u w:val="none"/>
                <w:lang w:eastAsia="zh-CN"/>
              </w:rPr>
              <w:t>）</w:t>
            </w:r>
            <w:r>
              <w:rPr>
                <w:rFonts w:hint="default" w:ascii="Times New Roman" w:hAnsi="Times New Roman" w:eastAsia="宋体" w:cs="Times New Roman"/>
                <w:b w:val="0"/>
                <w:bCs w:val="0"/>
                <w:color w:val="auto"/>
                <w:sz w:val="24"/>
                <w:highlight w:val="none"/>
                <w:u w:val="none"/>
              </w:rPr>
              <w:t>永城市薛湖镇南街地下水井(共1眼井)：一级保护区范围:取水井外围50米的区域。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highlight w:val="none"/>
                <w:u w:val="none"/>
              </w:rPr>
            </w:pPr>
            <w:r>
              <w:rPr>
                <w:rFonts w:hint="eastAsia" w:ascii="Times New Roman" w:hAnsi="Times New Roman" w:eastAsia="宋体" w:cs="Times New Roman"/>
                <w:b w:val="0"/>
                <w:bCs w:val="0"/>
                <w:color w:val="auto"/>
                <w:sz w:val="24"/>
                <w:highlight w:val="none"/>
                <w:u w:val="none"/>
                <w:lang w:eastAsia="zh-CN"/>
              </w:rPr>
              <w:t>（</w:t>
            </w:r>
            <w:r>
              <w:rPr>
                <w:rFonts w:hint="eastAsia" w:ascii="Times New Roman" w:hAnsi="Times New Roman" w:cs="Times New Roman"/>
                <w:b w:val="0"/>
                <w:bCs w:val="0"/>
                <w:color w:val="auto"/>
                <w:sz w:val="24"/>
                <w:highlight w:val="none"/>
                <w:u w:val="none"/>
                <w:lang w:val="en-US" w:eastAsia="zh-CN"/>
              </w:rPr>
              <w:t>13</w:t>
            </w:r>
            <w:r>
              <w:rPr>
                <w:rFonts w:hint="eastAsia" w:ascii="Times New Roman" w:hAnsi="Times New Roman" w:eastAsia="宋体" w:cs="Times New Roman"/>
                <w:b w:val="0"/>
                <w:bCs w:val="0"/>
                <w:color w:val="auto"/>
                <w:sz w:val="24"/>
                <w:highlight w:val="none"/>
                <w:u w:val="none"/>
                <w:lang w:eastAsia="zh-CN"/>
              </w:rPr>
              <w:t>）</w:t>
            </w:r>
            <w:r>
              <w:rPr>
                <w:rFonts w:hint="default" w:ascii="Times New Roman" w:hAnsi="Times New Roman" w:eastAsia="宋体" w:cs="Times New Roman"/>
                <w:b w:val="0"/>
                <w:bCs w:val="0"/>
                <w:color w:val="auto"/>
                <w:sz w:val="24"/>
                <w:highlight w:val="none"/>
                <w:u w:val="none"/>
              </w:rPr>
              <w:t>永城市薛湖镇黄营地下水井(共1眼井)：一级保护区范围:取水井外围50米的区域。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highlight w:val="none"/>
                <w:u w:val="none"/>
              </w:rPr>
            </w:pPr>
            <w:r>
              <w:rPr>
                <w:rFonts w:hint="eastAsia" w:ascii="Times New Roman" w:hAnsi="Times New Roman" w:eastAsia="宋体" w:cs="Times New Roman"/>
                <w:b w:val="0"/>
                <w:bCs w:val="0"/>
                <w:color w:val="auto"/>
                <w:sz w:val="24"/>
                <w:highlight w:val="none"/>
                <w:u w:val="none"/>
                <w:lang w:eastAsia="zh-CN"/>
              </w:rPr>
              <w:t>（</w:t>
            </w:r>
            <w:r>
              <w:rPr>
                <w:rFonts w:hint="eastAsia" w:ascii="Times New Roman" w:hAnsi="Times New Roman" w:cs="Times New Roman"/>
                <w:b w:val="0"/>
                <w:bCs w:val="0"/>
                <w:color w:val="auto"/>
                <w:sz w:val="24"/>
                <w:highlight w:val="none"/>
                <w:u w:val="none"/>
                <w:lang w:val="en-US" w:eastAsia="zh-CN"/>
              </w:rPr>
              <w:t>14</w:t>
            </w:r>
            <w:r>
              <w:rPr>
                <w:rFonts w:hint="eastAsia" w:ascii="Times New Roman" w:hAnsi="Times New Roman" w:eastAsia="宋体" w:cs="Times New Roman"/>
                <w:b w:val="0"/>
                <w:bCs w:val="0"/>
                <w:color w:val="auto"/>
                <w:sz w:val="24"/>
                <w:highlight w:val="none"/>
                <w:u w:val="none"/>
                <w:lang w:eastAsia="zh-CN"/>
              </w:rPr>
              <w:t>）</w:t>
            </w:r>
            <w:r>
              <w:rPr>
                <w:rFonts w:hint="default" w:ascii="Times New Roman" w:hAnsi="Times New Roman" w:eastAsia="宋体" w:cs="Times New Roman"/>
                <w:b w:val="0"/>
                <w:bCs w:val="0"/>
                <w:color w:val="auto"/>
                <w:sz w:val="24"/>
                <w:highlight w:val="none"/>
                <w:u w:val="none"/>
              </w:rPr>
              <w:t>永城市薛湖镇滦湖地下水井(共1眼井)：一级保护区范围:取水井外围50米的区域。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highlight w:val="none"/>
                <w:u w:val="none"/>
              </w:rPr>
            </w:pPr>
            <w:r>
              <w:rPr>
                <w:rFonts w:hint="eastAsia" w:ascii="Times New Roman" w:hAnsi="Times New Roman" w:eastAsia="宋体" w:cs="Times New Roman"/>
                <w:b w:val="0"/>
                <w:bCs w:val="0"/>
                <w:color w:val="auto"/>
                <w:sz w:val="24"/>
                <w:highlight w:val="none"/>
                <w:u w:val="none"/>
                <w:lang w:eastAsia="zh-CN"/>
              </w:rPr>
              <w:t>（</w:t>
            </w:r>
            <w:r>
              <w:rPr>
                <w:rFonts w:hint="eastAsia" w:ascii="Times New Roman" w:hAnsi="Times New Roman" w:cs="Times New Roman"/>
                <w:b w:val="0"/>
                <w:bCs w:val="0"/>
                <w:color w:val="auto"/>
                <w:sz w:val="24"/>
                <w:highlight w:val="none"/>
                <w:u w:val="none"/>
                <w:lang w:val="en-US" w:eastAsia="zh-CN"/>
              </w:rPr>
              <w:t>15</w:t>
            </w:r>
            <w:r>
              <w:rPr>
                <w:rFonts w:hint="eastAsia" w:ascii="Times New Roman" w:hAnsi="Times New Roman" w:eastAsia="宋体" w:cs="Times New Roman"/>
                <w:b w:val="0"/>
                <w:bCs w:val="0"/>
                <w:color w:val="auto"/>
                <w:sz w:val="24"/>
                <w:highlight w:val="none"/>
                <w:u w:val="none"/>
                <w:lang w:eastAsia="zh-CN"/>
              </w:rPr>
              <w:t>）</w:t>
            </w:r>
            <w:r>
              <w:rPr>
                <w:rFonts w:hint="default" w:ascii="Times New Roman" w:hAnsi="Times New Roman" w:eastAsia="宋体" w:cs="Times New Roman"/>
                <w:b w:val="0"/>
                <w:bCs w:val="0"/>
                <w:color w:val="auto"/>
                <w:sz w:val="24"/>
                <w:highlight w:val="none"/>
                <w:u w:val="none"/>
              </w:rPr>
              <w:t>永城市陈集镇地下水井群(共3眼井)：一级保护区范围:1号取水井外围50米的区域,2、3号取水井连线外围50米的区域。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highlight w:val="none"/>
                <w:u w:val="none"/>
              </w:rPr>
            </w:pPr>
            <w:r>
              <w:rPr>
                <w:rFonts w:hint="eastAsia" w:ascii="Times New Roman" w:hAnsi="Times New Roman" w:eastAsia="宋体" w:cs="Times New Roman"/>
                <w:b w:val="0"/>
                <w:bCs w:val="0"/>
                <w:color w:val="auto"/>
                <w:sz w:val="24"/>
                <w:highlight w:val="none"/>
                <w:u w:val="none"/>
                <w:lang w:eastAsia="zh-CN"/>
              </w:rPr>
              <w:t>（</w:t>
            </w:r>
            <w:r>
              <w:rPr>
                <w:rFonts w:hint="eastAsia" w:ascii="Times New Roman" w:hAnsi="Times New Roman" w:cs="Times New Roman"/>
                <w:b w:val="0"/>
                <w:bCs w:val="0"/>
                <w:color w:val="auto"/>
                <w:sz w:val="24"/>
                <w:highlight w:val="none"/>
                <w:u w:val="none"/>
                <w:lang w:val="en-US" w:eastAsia="zh-CN"/>
              </w:rPr>
              <w:t>16</w:t>
            </w:r>
            <w:r>
              <w:rPr>
                <w:rFonts w:hint="eastAsia" w:ascii="Times New Roman" w:hAnsi="Times New Roman" w:eastAsia="宋体" w:cs="Times New Roman"/>
                <w:b w:val="0"/>
                <w:bCs w:val="0"/>
                <w:color w:val="auto"/>
                <w:sz w:val="24"/>
                <w:highlight w:val="none"/>
                <w:u w:val="none"/>
                <w:lang w:eastAsia="zh-CN"/>
              </w:rPr>
              <w:t>）</w:t>
            </w:r>
            <w:r>
              <w:rPr>
                <w:rFonts w:hint="default" w:ascii="Times New Roman" w:hAnsi="Times New Roman" w:eastAsia="宋体" w:cs="Times New Roman"/>
                <w:b w:val="0"/>
                <w:bCs w:val="0"/>
                <w:color w:val="auto"/>
                <w:sz w:val="24"/>
                <w:highlight w:val="none"/>
                <w:u w:val="none"/>
              </w:rPr>
              <w:t>永城市太丘镇地下水井群(共2眼井)：一级保护区范围:取水井外围30米的区域。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highlight w:val="none"/>
                <w:u w:val="none"/>
              </w:rPr>
            </w:pPr>
            <w:r>
              <w:rPr>
                <w:rFonts w:hint="eastAsia" w:ascii="Times New Roman" w:hAnsi="Times New Roman" w:eastAsia="宋体" w:cs="Times New Roman"/>
                <w:b w:val="0"/>
                <w:bCs w:val="0"/>
                <w:color w:val="auto"/>
                <w:sz w:val="24"/>
                <w:highlight w:val="none"/>
                <w:u w:val="none"/>
                <w:lang w:eastAsia="zh-CN"/>
              </w:rPr>
              <w:t>（</w:t>
            </w:r>
            <w:r>
              <w:rPr>
                <w:rFonts w:hint="eastAsia" w:ascii="Times New Roman" w:hAnsi="Times New Roman" w:cs="Times New Roman"/>
                <w:b w:val="0"/>
                <w:bCs w:val="0"/>
                <w:color w:val="auto"/>
                <w:sz w:val="24"/>
                <w:highlight w:val="none"/>
                <w:u w:val="none"/>
                <w:lang w:val="en-US" w:eastAsia="zh-CN"/>
              </w:rPr>
              <w:t>17</w:t>
            </w:r>
            <w:r>
              <w:rPr>
                <w:rFonts w:hint="eastAsia" w:ascii="Times New Roman" w:hAnsi="Times New Roman" w:eastAsia="宋体" w:cs="Times New Roman"/>
                <w:b w:val="0"/>
                <w:bCs w:val="0"/>
                <w:color w:val="auto"/>
                <w:sz w:val="24"/>
                <w:highlight w:val="none"/>
                <w:u w:val="none"/>
                <w:lang w:eastAsia="zh-CN"/>
              </w:rPr>
              <w:t>）</w:t>
            </w:r>
            <w:r>
              <w:rPr>
                <w:rFonts w:hint="default" w:ascii="Times New Roman" w:hAnsi="Times New Roman" w:eastAsia="宋体" w:cs="Times New Roman"/>
                <w:b w:val="0"/>
                <w:bCs w:val="0"/>
                <w:color w:val="auto"/>
                <w:sz w:val="24"/>
                <w:highlight w:val="none"/>
                <w:u w:val="none"/>
              </w:rPr>
              <w:t>永城市刘河乡地下水井群(共3眼井)：一级保护区范围:取水井外围30米的区域。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highlight w:val="none"/>
                <w:u w:val="none"/>
              </w:rPr>
            </w:pPr>
            <w:r>
              <w:rPr>
                <w:rFonts w:hint="eastAsia" w:ascii="Times New Roman" w:hAnsi="Times New Roman" w:eastAsia="宋体" w:cs="Times New Roman"/>
                <w:b w:val="0"/>
                <w:bCs w:val="0"/>
                <w:color w:val="auto"/>
                <w:sz w:val="24"/>
                <w:highlight w:val="none"/>
                <w:u w:val="none"/>
                <w:lang w:eastAsia="zh-CN"/>
              </w:rPr>
              <w:t>（</w:t>
            </w:r>
            <w:r>
              <w:rPr>
                <w:rFonts w:hint="eastAsia" w:ascii="Times New Roman" w:hAnsi="Times New Roman" w:cs="Times New Roman"/>
                <w:b w:val="0"/>
                <w:bCs w:val="0"/>
                <w:color w:val="auto"/>
                <w:sz w:val="24"/>
                <w:highlight w:val="none"/>
                <w:u w:val="none"/>
                <w:lang w:val="en-US" w:eastAsia="zh-CN"/>
              </w:rPr>
              <w:t>18</w:t>
            </w:r>
            <w:r>
              <w:rPr>
                <w:rFonts w:hint="eastAsia" w:ascii="Times New Roman" w:hAnsi="Times New Roman" w:eastAsia="宋体" w:cs="Times New Roman"/>
                <w:b w:val="0"/>
                <w:bCs w:val="0"/>
                <w:color w:val="auto"/>
                <w:sz w:val="24"/>
                <w:highlight w:val="none"/>
                <w:u w:val="none"/>
                <w:lang w:eastAsia="zh-CN"/>
              </w:rPr>
              <w:t>）</w:t>
            </w:r>
            <w:r>
              <w:rPr>
                <w:rFonts w:hint="default" w:ascii="Times New Roman" w:hAnsi="Times New Roman" w:eastAsia="宋体" w:cs="Times New Roman"/>
                <w:b w:val="0"/>
                <w:bCs w:val="0"/>
                <w:color w:val="auto"/>
                <w:sz w:val="24"/>
                <w:highlight w:val="none"/>
                <w:u w:val="none"/>
              </w:rPr>
              <w:t>永城市高庄镇地下水井群(共2眼井)：一级保护区范围:取水井外围30米的区域。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highlight w:val="none"/>
                <w:u w:val="none"/>
              </w:rPr>
            </w:pPr>
            <w:r>
              <w:rPr>
                <w:rFonts w:hint="eastAsia" w:ascii="Times New Roman" w:hAnsi="Times New Roman" w:eastAsia="宋体" w:cs="Times New Roman"/>
                <w:b w:val="0"/>
                <w:bCs w:val="0"/>
                <w:color w:val="auto"/>
                <w:sz w:val="24"/>
                <w:highlight w:val="none"/>
                <w:u w:val="none"/>
                <w:lang w:eastAsia="zh-CN"/>
              </w:rPr>
              <w:t>（</w:t>
            </w:r>
            <w:r>
              <w:rPr>
                <w:rFonts w:hint="eastAsia" w:ascii="Times New Roman" w:hAnsi="Times New Roman" w:cs="Times New Roman"/>
                <w:b w:val="0"/>
                <w:bCs w:val="0"/>
                <w:color w:val="auto"/>
                <w:sz w:val="24"/>
                <w:highlight w:val="none"/>
                <w:u w:val="none"/>
                <w:lang w:val="en-US" w:eastAsia="zh-CN"/>
              </w:rPr>
              <w:t>19</w:t>
            </w:r>
            <w:r>
              <w:rPr>
                <w:rFonts w:hint="eastAsia" w:ascii="Times New Roman" w:hAnsi="Times New Roman" w:eastAsia="宋体" w:cs="Times New Roman"/>
                <w:b w:val="0"/>
                <w:bCs w:val="0"/>
                <w:color w:val="auto"/>
                <w:sz w:val="24"/>
                <w:highlight w:val="none"/>
                <w:u w:val="none"/>
                <w:lang w:eastAsia="zh-CN"/>
              </w:rPr>
              <w:t>）</w:t>
            </w:r>
            <w:r>
              <w:rPr>
                <w:rFonts w:hint="default" w:ascii="Times New Roman" w:hAnsi="Times New Roman" w:eastAsia="宋体" w:cs="Times New Roman"/>
                <w:b w:val="0"/>
                <w:bCs w:val="0"/>
                <w:color w:val="auto"/>
                <w:sz w:val="24"/>
                <w:highlight w:val="none"/>
                <w:u w:val="none"/>
              </w:rPr>
              <w:t>永城市十八里镇地下水井群(共3眼井)：一级保护区范围</w:t>
            </w:r>
            <w:r>
              <w:rPr>
                <w:rFonts w:hint="eastAsia" w:ascii="Times New Roman" w:hAnsi="Times New Roman" w:eastAsia="宋体" w:cs="Times New Roman"/>
                <w:b w:val="0"/>
                <w:bCs w:val="0"/>
                <w:color w:val="auto"/>
                <w:sz w:val="24"/>
                <w:highlight w:val="none"/>
                <w:u w:val="none"/>
                <w:lang w:eastAsia="zh-CN"/>
              </w:rPr>
              <w:t>：</w:t>
            </w:r>
            <w:r>
              <w:rPr>
                <w:rFonts w:hint="default" w:ascii="Times New Roman" w:hAnsi="Times New Roman" w:eastAsia="宋体" w:cs="Times New Roman"/>
                <w:b w:val="0"/>
                <w:bCs w:val="0"/>
                <w:color w:val="auto"/>
                <w:sz w:val="24"/>
                <w:highlight w:val="none"/>
                <w:u w:val="none"/>
              </w:rPr>
              <w:t>取水井外围30米的区域。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highlight w:val="none"/>
                <w:u w:val="none"/>
              </w:rPr>
            </w:pPr>
            <w:r>
              <w:rPr>
                <w:rFonts w:hint="default" w:ascii="Times New Roman" w:hAnsi="Times New Roman" w:eastAsia="宋体" w:cs="Times New Roman"/>
                <w:b w:val="0"/>
                <w:bCs w:val="0"/>
                <w:color w:val="auto"/>
                <w:sz w:val="24"/>
                <w:highlight w:val="none"/>
                <w:u w:val="none"/>
              </w:rPr>
              <w:t>本项目位于</w:t>
            </w:r>
            <w:r>
              <w:rPr>
                <w:rFonts w:hint="eastAsia" w:ascii="Times New Roman" w:hAnsi="Times New Roman" w:cs="Times New Roman"/>
                <w:b w:val="0"/>
                <w:bCs w:val="0"/>
                <w:color w:val="auto"/>
                <w:sz w:val="24"/>
                <w:szCs w:val="32"/>
                <w:u w:val="none"/>
                <w:vertAlign w:val="baseline"/>
                <w:lang w:val="en-US" w:eastAsia="zh-CN"/>
              </w:rPr>
              <w:t>永城市产业集聚区南外环与芒砀路南段交叉口</w:t>
            </w:r>
            <w:r>
              <w:rPr>
                <w:rFonts w:hint="default" w:ascii="Times New Roman" w:hAnsi="Times New Roman" w:eastAsia="宋体" w:cs="Times New Roman"/>
                <w:b w:val="0"/>
                <w:bCs w:val="0"/>
                <w:color w:val="auto"/>
                <w:sz w:val="24"/>
                <w:highlight w:val="none"/>
                <w:u w:val="none"/>
              </w:rPr>
              <w:t>，</w:t>
            </w:r>
            <w:r>
              <w:rPr>
                <w:rFonts w:hint="eastAsia" w:ascii="Times New Roman" w:hAnsi="Times New Roman" w:cs="Times New Roman"/>
                <w:b w:val="0"/>
                <w:bCs w:val="0"/>
                <w:color w:val="auto"/>
                <w:sz w:val="24"/>
                <w:highlight w:val="none"/>
                <w:u w:val="none"/>
                <w:lang w:val="en-US" w:eastAsia="zh-CN"/>
              </w:rPr>
              <w:t>距永城市黄口乡地下水井群直线距离约7.85km。</w:t>
            </w:r>
            <w:r>
              <w:rPr>
                <w:rFonts w:hint="default" w:ascii="Times New Roman" w:hAnsi="Times New Roman" w:eastAsia="宋体" w:cs="Times New Roman"/>
                <w:b w:val="0"/>
                <w:bCs w:val="0"/>
                <w:color w:val="auto"/>
                <w:sz w:val="24"/>
                <w:highlight w:val="none"/>
                <w:u w:val="none"/>
              </w:rPr>
              <w:t>因此，项目选址不在乡镇集中式饮用水水源保护区范围内，符合饮用水保护规划。</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③永城市“千吨万人”集中式饮用水水源地保护范围（区）划分技术报告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b w:val="0"/>
                <w:bCs w:val="0"/>
                <w:color w:val="auto"/>
                <w:sz w:val="24"/>
                <w:szCs w:val="24"/>
                <w:u w:val="none"/>
                <w:shd w:val="clear" w:color="auto" w:fill="FFFFFF"/>
                <w:lang w:val="en-US" w:eastAsia="zh-CN"/>
              </w:rPr>
            </w:pPr>
            <w:r>
              <w:rPr>
                <w:rFonts w:hint="eastAsia" w:ascii="Times New Roman" w:hAnsi="Times New Roman"/>
                <w:b w:val="0"/>
                <w:bCs w:val="0"/>
                <w:color w:val="auto"/>
                <w:sz w:val="24"/>
                <w:szCs w:val="24"/>
                <w:u w:val="none"/>
                <w:shd w:val="clear" w:color="auto" w:fill="FFFFFF"/>
                <w:lang w:val="en-US" w:eastAsia="zh-CN"/>
              </w:rPr>
              <w:t>本次划分范围为永城市已建成的25个千吨万人以上供水厂（站）、共涉及24个乡镇、79眼取水井。具体如下：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ascii="Times New Roman" w:hAnsi="Times New Roman"/>
                <w:b/>
                <w:bCs/>
                <w:color w:val="auto"/>
                <w:sz w:val="21"/>
                <w:szCs w:val="21"/>
                <w:u w:val="none"/>
                <w:shd w:val="clear" w:color="auto" w:fill="FFFFFF"/>
                <w:lang w:val="en-US" w:eastAsia="zh-CN"/>
              </w:rPr>
            </w:pPr>
            <w:r>
              <w:rPr>
                <w:rFonts w:hint="eastAsia" w:ascii="Times New Roman" w:hAnsi="Times New Roman"/>
                <w:b/>
                <w:bCs/>
                <w:color w:val="auto"/>
                <w:sz w:val="21"/>
                <w:szCs w:val="21"/>
                <w:u w:val="none"/>
                <w:shd w:val="clear" w:color="auto" w:fill="FFFFFF"/>
                <w:lang w:val="en-US" w:eastAsia="zh-CN"/>
              </w:rPr>
              <w:t>表1-4  永城市集中式饮用水水源地保护区划一览表</w:t>
            </w:r>
          </w:p>
          <w:tbl>
            <w:tblPr>
              <w:tblStyle w:val="14"/>
              <w:tblW w:w="7088"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57" w:type="dxa"/>
                <w:bottom w:w="0" w:type="dxa"/>
                <w:right w:w="57" w:type="dxa"/>
              </w:tblCellMar>
            </w:tblPr>
            <w:tblGrid>
              <w:gridCol w:w="426"/>
              <w:gridCol w:w="1485"/>
              <w:gridCol w:w="769"/>
              <w:gridCol w:w="4408"/>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57" w:type="dxa"/>
                  <w:bottom w:w="0" w:type="dxa"/>
                  <w:right w:w="57" w:type="dxa"/>
                </w:tblCellMar>
              </w:tblPrEx>
              <w:trPr>
                <w:trHeight w:val="450" w:hRule="atLeast"/>
                <w:tblHeader/>
              </w:trPr>
              <w:tc>
                <w:tcPr>
                  <w:tcW w:w="42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编号</w:t>
                  </w:r>
                </w:p>
              </w:tc>
              <w:tc>
                <w:tcPr>
                  <w:tcW w:w="148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水源</w:t>
                  </w:r>
                </w:p>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名称</w:t>
                  </w:r>
                </w:p>
              </w:tc>
              <w:tc>
                <w:tcPr>
                  <w:tcW w:w="76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水源</w:t>
                  </w:r>
                </w:p>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类型</w:t>
                  </w:r>
                </w:p>
              </w:tc>
              <w:tc>
                <w:tcPr>
                  <w:tcW w:w="44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保护区的划定</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57" w:type="dxa"/>
                  <w:bottom w:w="0" w:type="dxa"/>
                  <w:right w:w="57" w:type="dxa"/>
                </w:tblCellMar>
              </w:tblPrEx>
              <w:trPr>
                <w:trHeight w:val="420" w:hRule="atLeast"/>
                <w:tblHeader/>
              </w:trPr>
              <w:tc>
                <w:tcPr>
                  <w:tcW w:w="42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p>
              </w:tc>
              <w:tc>
                <w:tcPr>
                  <w:tcW w:w="148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p>
              </w:tc>
              <w:tc>
                <w:tcPr>
                  <w:tcW w:w="76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p>
              </w:tc>
              <w:tc>
                <w:tcPr>
                  <w:tcW w:w="44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一级保护区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4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1</w:t>
                  </w:r>
                </w:p>
              </w:tc>
              <w:tc>
                <w:tcPr>
                  <w:tcW w:w="148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永城市陈官庄乡供水厂地下水饮用水源地</w:t>
                  </w:r>
                </w:p>
              </w:tc>
              <w:tc>
                <w:tcPr>
                  <w:tcW w:w="7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440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永城市陈官庄乡供水厂</w:t>
                  </w:r>
                  <w:r>
                    <w:rPr>
                      <w:rFonts w:hint="default" w:ascii="Times New Roman" w:hAnsi="Times New Roman" w:cs="Times New Roman"/>
                      <w:b w:val="0"/>
                      <w:bCs w:val="0"/>
                      <w:color w:val="auto"/>
                      <w:sz w:val="21"/>
                      <w:szCs w:val="21"/>
                      <w:u w:val="none"/>
                    </w:rPr>
                    <w:t>地下水饮用水源保护区的面积8457.94平方米。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4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2</w:t>
                  </w:r>
                </w:p>
              </w:tc>
              <w:tc>
                <w:tcPr>
                  <w:tcW w:w="148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永城市陈集镇供水厂地下水饮用水源地</w:t>
                  </w:r>
                </w:p>
              </w:tc>
              <w:tc>
                <w:tcPr>
                  <w:tcW w:w="7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地下水</w:t>
                  </w:r>
                </w:p>
              </w:tc>
              <w:tc>
                <w:tcPr>
                  <w:tcW w:w="44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永城市陈集镇供水厂地下水</w:t>
                  </w:r>
                  <w:r>
                    <w:rPr>
                      <w:rFonts w:hint="default" w:ascii="Times New Roman" w:hAnsi="Times New Roman" w:cs="Times New Roman"/>
                      <w:b w:val="0"/>
                      <w:bCs w:val="0"/>
                      <w:color w:val="auto"/>
                      <w:sz w:val="21"/>
                      <w:szCs w:val="21"/>
                      <w:u w:val="none"/>
                    </w:rPr>
                    <w:t>饮用水源保护区的面积5637.73平方米。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4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3</w:t>
                  </w:r>
                </w:p>
              </w:tc>
              <w:tc>
                <w:tcPr>
                  <w:tcW w:w="148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永城市城关镇供水厂地下水饮用水源地</w:t>
                  </w:r>
                </w:p>
              </w:tc>
              <w:tc>
                <w:tcPr>
                  <w:tcW w:w="7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地下水</w:t>
                  </w:r>
                </w:p>
              </w:tc>
              <w:tc>
                <w:tcPr>
                  <w:tcW w:w="44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永城市城关镇供水厂地下水</w:t>
                  </w:r>
                  <w:r>
                    <w:rPr>
                      <w:rFonts w:hint="default" w:ascii="Times New Roman" w:hAnsi="Times New Roman" w:cs="Times New Roman"/>
                      <w:b w:val="0"/>
                      <w:bCs w:val="0"/>
                      <w:color w:val="auto"/>
                      <w:sz w:val="21"/>
                      <w:szCs w:val="21"/>
                      <w:u w:val="none"/>
                    </w:rPr>
                    <w:t>饮用水源保护区的面积8455.81平方米。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4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4</w:t>
                  </w:r>
                </w:p>
              </w:tc>
              <w:tc>
                <w:tcPr>
                  <w:tcW w:w="148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永城市城厢乡供水厂地下水饮用水源地</w:t>
                  </w:r>
                </w:p>
              </w:tc>
              <w:tc>
                <w:tcPr>
                  <w:tcW w:w="7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地下水</w:t>
                  </w:r>
                </w:p>
              </w:tc>
              <w:tc>
                <w:tcPr>
                  <w:tcW w:w="44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永城市城厢乡供水厂地下水</w:t>
                  </w:r>
                  <w:r>
                    <w:rPr>
                      <w:rFonts w:hint="default" w:ascii="Times New Roman" w:hAnsi="Times New Roman" w:cs="Times New Roman"/>
                      <w:b w:val="0"/>
                      <w:bCs w:val="0"/>
                      <w:color w:val="auto"/>
                      <w:sz w:val="21"/>
                      <w:szCs w:val="21"/>
                      <w:u w:val="none"/>
                    </w:rPr>
                    <w:t>饮用水源保护区的面积8455.75平方米。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4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5</w:t>
                  </w:r>
                </w:p>
              </w:tc>
              <w:tc>
                <w:tcPr>
                  <w:tcW w:w="148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永城市王集镇供水厂地下水饮用水源地</w:t>
                  </w:r>
                </w:p>
              </w:tc>
              <w:tc>
                <w:tcPr>
                  <w:tcW w:w="7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地下水</w:t>
                  </w:r>
                </w:p>
              </w:tc>
              <w:tc>
                <w:tcPr>
                  <w:tcW w:w="44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永城市王集镇供水厂地下水</w:t>
                  </w:r>
                  <w:r>
                    <w:rPr>
                      <w:rFonts w:hint="default" w:ascii="Times New Roman" w:hAnsi="Times New Roman" w:cs="Times New Roman"/>
                      <w:b w:val="0"/>
                      <w:bCs w:val="0"/>
                      <w:color w:val="auto"/>
                      <w:sz w:val="21"/>
                      <w:szCs w:val="21"/>
                      <w:u w:val="none"/>
                    </w:rPr>
                    <w:t>饮用水源保护区的面积14090.92平方米。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4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6</w:t>
                  </w:r>
                </w:p>
              </w:tc>
              <w:tc>
                <w:tcPr>
                  <w:tcW w:w="148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永城市侯岭乡供水厂地下水饮用水源地</w:t>
                  </w:r>
                </w:p>
              </w:tc>
              <w:tc>
                <w:tcPr>
                  <w:tcW w:w="7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地下水</w:t>
                  </w:r>
                </w:p>
              </w:tc>
              <w:tc>
                <w:tcPr>
                  <w:tcW w:w="44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永城市侯岭乡供水厂地下水</w:t>
                  </w:r>
                  <w:r>
                    <w:rPr>
                      <w:rFonts w:hint="default" w:ascii="Times New Roman" w:hAnsi="Times New Roman" w:cs="Times New Roman"/>
                      <w:b w:val="0"/>
                      <w:bCs w:val="0"/>
                      <w:color w:val="auto"/>
                      <w:sz w:val="21"/>
                      <w:szCs w:val="21"/>
                      <w:u w:val="none"/>
                    </w:rPr>
                    <w:t>饮用水源保护区的面积22551.15平方米。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4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7</w:t>
                  </w:r>
                </w:p>
              </w:tc>
              <w:tc>
                <w:tcPr>
                  <w:tcW w:w="148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永城市茴村镇供水厂地下水饮用水源地</w:t>
                  </w:r>
                </w:p>
              </w:tc>
              <w:tc>
                <w:tcPr>
                  <w:tcW w:w="7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地下水</w:t>
                  </w:r>
                </w:p>
              </w:tc>
              <w:tc>
                <w:tcPr>
                  <w:tcW w:w="44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永城市茴村镇供水厂地下水</w:t>
                  </w:r>
                  <w:r>
                    <w:rPr>
                      <w:rFonts w:hint="default" w:ascii="Times New Roman" w:hAnsi="Times New Roman" w:cs="Times New Roman"/>
                      <w:b w:val="0"/>
                      <w:bCs w:val="0"/>
                      <w:color w:val="auto"/>
                      <w:sz w:val="21"/>
                      <w:szCs w:val="21"/>
                      <w:u w:val="none"/>
                    </w:rPr>
                    <w:t>饮用水源保护区的面积11276.61平方米。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4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8</w:t>
                  </w:r>
                </w:p>
              </w:tc>
              <w:tc>
                <w:tcPr>
                  <w:tcW w:w="148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永城市蒋口镇供水厂地下水饮用水源地</w:t>
                  </w:r>
                </w:p>
              </w:tc>
              <w:tc>
                <w:tcPr>
                  <w:tcW w:w="7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地下水</w:t>
                  </w:r>
                </w:p>
              </w:tc>
              <w:tc>
                <w:tcPr>
                  <w:tcW w:w="44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永城市蒋口镇供水厂地下水</w:t>
                  </w:r>
                  <w:r>
                    <w:rPr>
                      <w:rFonts w:hint="default" w:ascii="Times New Roman" w:hAnsi="Times New Roman" w:cs="Times New Roman"/>
                      <w:b w:val="0"/>
                      <w:bCs w:val="0"/>
                      <w:color w:val="auto"/>
                      <w:sz w:val="21"/>
                      <w:szCs w:val="21"/>
                      <w:u w:val="none"/>
                    </w:rPr>
                    <w:t>饮用水源保护区的面积5636.82平方米。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4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9</w:t>
                  </w:r>
                </w:p>
              </w:tc>
              <w:tc>
                <w:tcPr>
                  <w:tcW w:w="148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永城市刘河镇供水厂地下水饮用水源地</w:t>
                  </w:r>
                </w:p>
              </w:tc>
              <w:tc>
                <w:tcPr>
                  <w:tcW w:w="7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地下水</w:t>
                  </w:r>
                </w:p>
              </w:tc>
              <w:tc>
                <w:tcPr>
                  <w:tcW w:w="44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刘河镇供水厂地下水</w:t>
                  </w:r>
                  <w:r>
                    <w:rPr>
                      <w:rFonts w:hint="default" w:ascii="Times New Roman" w:hAnsi="Times New Roman" w:cs="Times New Roman"/>
                      <w:b w:val="0"/>
                      <w:bCs w:val="0"/>
                      <w:color w:val="auto"/>
                      <w:sz w:val="21"/>
                      <w:szCs w:val="21"/>
                      <w:u w:val="none"/>
                    </w:rPr>
                    <w:t>饮用水源保护区的面积2819.13平方米。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4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10</w:t>
                  </w:r>
                </w:p>
              </w:tc>
              <w:tc>
                <w:tcPr>
                  <w:tcW w:w="148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永城市马牧镇供水厂地下水饮用水源地</w:t>
                  </w:r>
                </w:p>
              </w:tc>
              <w:tc>
                <w:tcPr>
                  <w:tcW w:w="7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地下水</w:t>
                  </w:r>
                </w:p>
              </w:tc>
              <w:tc>
                <w:tcPr>
                  <w:tcW w:w="44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马牧镇供水厂地下水</w:t>
                  </w:r>
                  <w:r>
                    <w:rPr>
                      <w:rFonts w:hint="default" w:ascii="Times New Roman" w:hAnsi="Times New Roman" w:cs="Times New Roman"/>
                      <w:b w:val="0"/>
                      <w:bCs w:val="0"/>
                      <w:color w:val="auto"/>
                      <w:sz w:val="21"/>
                      <w:szCs w:val="21"/>
                      <w:u w:val="none"/>
                    </w:rPr>
                    <w:t>饮用水源保护区的面积11272.35平方米。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4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11</w:t>
                  </w:r>
                </w:p>
              </w:tc>
              <w:tc>
                <w:tcPr>
                  <w:tcW w:w="148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永城市马桥镇供水厂地下水饮用水源地</w:t>
                  </w:r>
                </w:p>
              </w:tc>
              <w:tc>
                <w:tcPr>
                  <w:tcW w:w="7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地下水</w:t>
                  </w:r>
                </w:p>
              </w:tc>
              <w:tc>
                <w:tcPr>
                  <w:tcW w:w="44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马桥镇供水厂地下水</w:t>
                  </w:r>
                  <w:r>
                    <w:rPr>
                      <w:rFonts w:hint="default" w:ascii="Times New Roman" w:hAnsi="Times New Roman" w:cs="Times New Roman"/>
                      <w:b w:val="0"/>
                      <w:bCs w:val="0"/>
                      <w:color w:val="auto"/>
                      <w:sz w:val="21"/>
                      <w:szCs w:val="21"/>
                      <w:u w:val="none"/>
                    </w:rPr>
                    <w:t>饮用水源保护区的面积8454.55平方米。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4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12</w:t>
                  </w:r>
                </w:p>
              </w:tc>
              <w:tc>
                <w:tcPr>
                  <w:tcW w:w="148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永城市芒山镇供水厂地下水饮用水源地</w:t>
                  </w:r>
                </w:p>
              </w:tc>
              <w:tc>
                <w:tcPr>
                  <w:tcW w:w="7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地下水</w:t>
                  </w:r>
                </w:p>
              </w:tc>
              <w:tc>
                <w:tcPr>
                  <w:tcW w:w="44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芒山镇供水厂地下水</w:t>
                  </w:r>
                  <w:r>
                    <w:rPr>
                      <w:rFonts w:hint="default" w:ascii="Times New Roman" w:hAnsi="Times New Roman" w:cs="Times New Roman"/>
                      <w:b w:val="0"/>
                      <w:bCs w:val="0"/>
                      <w:color w:val="auto"/>
                      <w:sz w:val="21"/>
                      <w:szCs w:val="21"/>
                      <w:u w:val="none"/>
                    </w:rPr>
                    <w:t>饮用水源保护区的面积8457.13平方米。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4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13</w:t>
                  </w:r>
                </w:p>
              </w:tc>
              <w:tc>
                <w:tcPr>
                  <w:tcW w:w="148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永城市苗桥镇供水厂地下水饮用水源地</w:t>
                  </w:r>
                </w:p>
              </w:tc>
              <w:tc>
                <w:tcPr>
                  <w:tcW w:w="76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地下水</w:t>
                  </w:r>
                </w:p>
              </w:tc>
              <w:tc>
                <w:tcPr>
                  <w:tcW w:w="440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以开采井为中心，半径30米内的圆形区域。测定苗桥镇供水厂地下水饮用水源保护区的面积14096.42平方米。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4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14</w:t>
                  </w:r>
                </w:p>
              </w:tc>
              <w:tc>
                <w:tcPr>
                  <w:tcW w:w="148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永城市裴桥镇供水厂地下水饮用水源地</w:t>
                  </w:r>
                </w:p>
              </w:tc>
              <w:tc>
                <w:tcPr>
                  <w:tcW w:w="7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44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裴桥镇供水厂地下水</w:t>
                  </w:r>
                  <w:r>
                    <w:rPr>
                      <w:rFonts w:hint="default" w:ascii="Times New Roman" w:hAnsi="Times New Roman" w:cs="Times New Roman"/>
                      <w:b w:val="0"/>
                      <w:bCs w:val="0"/>
                      <w:color w:val="auto"/>
                      <w:sz w:val="21"/>
                      <w:szCs w:val="21"/>
                      <w:u w:val="none"/>
                    </w:rPr>
                    <w:t>饮用水源保护区的面积2818.1平方米。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4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15</w:t>
                  </w:r>
                </w:p>
              </w:tc>
              <w:tc>
                <w:tcPr>
                  <w:tcW w:w="148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永城市双桥镇供水厂地下水饮用水源地</w:t>
                  </w:r>
                </w:p>
              </w:tc>
              <w:tc>
                <w:tcPr>
                  <w:tcW w:w="7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44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双桥镇供水厂地下水</w:t>
                  </w:r>
                  <w:r>
                    <w:rPr>
                      <w:rFonts w:hint="default" w:ascii="Times New Roman" w:hAnsi="Times New Roman" w:cs="Times New Roman"/>
                      <w:b w:val="0"/>
                      <w:bCs w:val="0"/>
                      <w:color w:val="auto"/>
                      <w:sz w:val="21"/>
                      <w:szCs w:val="21"/>
                      <w:u w:val="none"/>
                    </w:rPr>
                    <w:t>饮用水源保护区的面积8455.28平方米。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4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16</w:t>
                  </w:r>
                </w:p>
              </w:tc>
              <w:tc>
                <w:tcPr>
                  <w:tcW w:w="148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永城市顺和镇供水厂地下水饮用水源地</w:t>
                  </w:r>
                </w:p>
              </w:tc>
              <w:tc>
                <w:tcPr>
                  <w:tcW w:w="7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44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永城市顺和镇供水厂地下水</w:t>
                  </w:r>
                  <w:r>
                    <w:rPr>
                      <w:rFonts w:hint="default" w:ascii="Times New Roman" w:hAnsi="Times New Roman" w:cs="Times New Roman"/>
                      <w:b w:val="0"/>
                      <w:bCs w:val="0"/>
                      <w:color w:val="auto"/>
                      <w:sz w:val="21"/>
                      <w:szCs w:val="21"/>
                      <w:u w:val="none"/>
                    </w:rPr>
                    <w:t>饮用水源保护区的面积5637平方米。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4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17</w:t>
                  </w:r>
                </w:p>
              </w:tc>
              <w:tc>
                <w:tcPr>
                  <w:tcW w:w="148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永城市太丘镇供水厂地下水饮用水源地</w:t>
                  </w:r>
                </w:p>
              </w:tc>
              <w:tc>
                <w:tcPr>
                  <w:tcW w:w="7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44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太丘镇供水厂地下水</w:t>
                  </w:r>
                  <w:r>
                    <w:rPr>
                      <w:rFonts w:hint="default" w:ascii="Times New Roman" w:hAnsi="Times New Roman" w:cs="Times New Roman"/>
                      <w:b w:val="0"/>
                      <w:bCs w:val="0"/>
                      <w:color w:val="auto"/>
                      <w:sz w:val="21"/>
                      <w:szCs w:val="21"/>
                      <w:u w:val="none"/>
                    </w:rPr>
                    <w:t>饮用水源保护区的面积5636.9平方米。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4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18</w:t>
                  </w:r>
                </w:p>
              </w:tc>
              <w:tc>
                <w:tcPr>
                  <w:tcW w:w="148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永城市条河镇供水厂地下水饮用水源地</w:t>
                  </w:r>
                </w:p>
              </w:tc>
              <w:tc>
                <w:tcPr>
                  <w:tcW w:w="7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44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条河镇供水厂地下水</w:t>
                  </w:r>
                  <w:r>
                    <w:rPr>
                      <w:rFonts w:hint="default" w:ascii="Times New Roman" w:hAnsi="Times New Roman" w:cs="Times New Roman"/>
                      <w:b w:val="0"/>
                      <w:bCs w:val="0"/>
                      <w:color w:val="auto"/>
                      <w:sz w:val="21"/>
                      <w:szCs w:val="21"/>
                      <w:u w:val="none"/>
                    </w:rPr>
                    <w:t>饮用水源保护区的面积1336</w:t>
                  </w:r>
                  <w:r>
                    <w:rPr>
                      <w:rFonts w:hint="eastAsia" w:ascii="Times New Roman" w:hAnsi="Times New Roman" w:cs="Times New Roman"/>
                      <w:b w:val="0"/>
                      <w:bCs w:val="0"/>
                      <w:color w:val="auto"/>
                      <w:sz w:val="21"/>
                      <w:szCs w:val="21"/>
                      <w:u w:val="none"/>
                      <w:lang w:eastAsia="zh-CN"/>
                    </w:rPr>
                    <w:t>0.36</w:t>
                  </w:r>
                  <w:r>
                    <w:rPr>
                      <w:rFonts w:hint="default" w:ascii="Times New Roman" w:hAnsi="Times New Roman" w:cs="Times New Roman"/>
                      <w:b w:val="0"/>
                      <w:bCs w:val="0"/>
                      <w:color w:val="auto"/>
                      <w:sz w:val="21"/>
                      <w:szCs w:val="21"/>
                      <w:u w:val="none"/>
                    </w:rPr>
                    <w:t>0平方米。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4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19</w:t>
                  </w:r>
                </w:p>
              </w:tc>
              <w:tc>
                <w:tcPr>
                  <w:tcW w:w="148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永城市卧龙镇供水厂地下水饮用水源地</w:t>
                  </w:r>
                </w:p>
              </w:tc>
              <w:tc>
                <w:tcPr>
                  <w:tcW w:w="7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44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永城市卧龙镇供水厂地下水</w:t>
                  </w:r>
                  <w:r>
                    <w:rPr>
                      <w:rFonts w:hint="default" w:ascii="Times New Roman" w:hAnsi="Times New Roman" w:cs="Times New Roman"/>
                      <w:b w:val="0"/>
                      <w:bCs w:val="0"/>
                      <w:color w:val="auto"/>
                      <w:sz w:val="21"/>
                      <w:szCs w:val="21"/>
                      <w:u w:val="none"/>
                    </w:rPr>
                    <w:t>饮用水源保护区的面积11271.05平方米。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4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20</w:t>
                  </w:r>
                </w:p>
              </w:tc>
              <w:tc>
                <w:tcPr>
                  <w:tcW w:w="148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永城市新桥镇供水厂地下水饮用水源地</w:t>
                  </w:r>
                </w:p>
              </w:tc>
              <w:tc>
                <w:tcPr>
                  <w:tcW w:w="7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44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新桥镇供水厂地下水</w:t>
                  </w:r>
                  <w:r>
                    <w:rPr>
                      <w:rFonts w:hint="default" w:ascii="Times New Roman" w:hAnsi="Times New Roman" w:cs="Times New Roman"/>
                      <w:b w:val="0"/>
                      <w:bCs w:val="0"/>
                      <w:color w:val="auto"/>
                      <w:sz w:val="21"/>
                      <w:szCs w:val="21"/>
                      <w:u w:val="none"/>
                    </w:rPr>
                    <w:t>饮用水源保护区的面积5637.01平方米。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4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21</w:t>
                  </w:r>
                </w:p>
              </w:tc>
              <w:tc>
                <w:tcPr>
                  <w:tcW w:w="148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永城市薛湖镇供水厂地下水饮用水源地</w:t>
                  </w:r>
                </w:p>
              </w:tc>
              <w:tc>
                <w:tcPr>
                  <w:tcW w:w="7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44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薛湖镇供水厂地下水</w:t>
                  </w:r>
                  <w:r>
                    <w:rPr>
                      <w:rFonts w:hint="default" w:ascii="Times New Roman" w:hAnsi="Times New Roman" w:cs="Times New Roman"/>
                      <w:b w:val="0"/>
                      <w:bCs w:val="0"/>
                      <w:color w:val="auto"/>
                      <w:sz w:val="21"/>
                      <w:szCs w:val="21"/>
                      <w:u w:val="none"/>
                    </w:rPr>
                    <w:t>饮用水源保护区的面积2818.8平方米。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4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22</w:t>
                  </w:r>
                </w:p>
              </w:tc>
              <w:tc>
                <w:tcPr>
                  <w:tcW w:w="148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永城市薛湖镇黄营村供水站地下水饮用水源地</w:t>
                  </w:r>
                </w:p>
              </w:tc>
              <w:tc>
                <w:tcPr>
                  <w:tcW w:w="7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44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永城市薛湖镇黄营村供水站地下水</w:t>
                  </w:r>
                  <w:r>
                    <w:rPr>
                      <w:rFonts w:hint="default" w:ascii="Times New Roman" w:hAnsi="Times New Roman" w:cs="Times New Roman"/>
                      <w:b w:val="0"/>
                      <w:bCs w:val="0"/>
                      <w:color w:val="auto"/>
                      <w:sz w:val="21"/>
                      <w:szCs w:val="21"/>
                      <w:u w:val="none"/>
                    </w:rPr>
                    <w:t>饮用水源保护区的面积2818.8平方米。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4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23</w:t>
                  </w:r>
                </w:p>
              </w:tc>
              <w:tc>
                <w:tcPr>
                  <w:tcW w:w="148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永城市演集镇供水厂地下水饮用水源地</w:t>
                  </w:r>
                </w:p>
              </w:tc>
              <w:tc>
                <w:tcPr>
                  <w:tcW w:w="7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44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永城市演集镇供水厂地下水</w:t>
                  </w:r>
                  <w:r>
                    <w:rPr>
                      <w:rFonts w:hint="default" w:ascii="Times New Roman" w:hAnsi="Times New Roman" w:cs="Times New Roman"/>
                      <w:b w:val="0"/>
                      <w:bCs w:val="0"/>
                      <w:color w:val="auto"/>
                      <w:sz w:val="21"/>
                      <w:szCs w:val="21"/>
                      <w:u w:val="none"/>
                    </w:rPr>
                    <w:t>饮用水源保护区的面积14094.35平方米。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4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24</w:t>
                  </w:r>
                </w:p>
              </w:tc>
              <w:tc>
                <w:tcPr>
                  <w:tcW w:w="148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永城市酂城镇供水厂地下水饮用水源地</w:t>
                  </w:r>
                </w:p>
              </w:tc>
              <w:tc>
                <w:tcPr>
                  <w:tcW w:w="7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44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永城市酂城镇供水厂地下水</w:t>
                  </w:r>
                  <w:r>
                    <w:rPr>
                      <w:rFonts w:hint="default" w:ascii="Times New Roman" w:hAnsi="Times New Roman" w:cs="Times New Roman"/>
                      <w:b w:val="0"/>
                      <w:bCs w:val="0"/>
                      <w:color w:val="auto"/>
                      <w:sz w:val="21"/>
                      <w:szCs w:val="21"/>
                      <w:u w:val="none"/>
                    </w:rPr>
                    <w:t>饮用水源保护区的面积8454平方米。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4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25</w:t>
                  </w:r>
                </w:p>
              </w:tc>
              <w:tc>
                <w:tcPr>
                  <w:tcW w:w="148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永城市酂阳镇供水厂地下水饮用水源地</w:t>
                  </w:r>
                </w:p>
              </w:tc>
              <w:tc>
                <w:tcPr>
                  <w:tcW w:w="7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44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永城市酂阳镇供水厂地下水</w:t>
                  </w:r>
                  <w:r>
                    <w:rPr>
                      <w:rFonts w:hint="default" w:ascii="Times New Roman" w:hAnsi="Times New Roman" w:cs="Times New Roman"/>
                      <w:b w:val="0"/>
                      <w:bCs w:val="0"/>
                      <w:color w:val="auto"/>
                      <w:sz w:val="21"/>
                      <w:szCs w:val="21"/>
                      <w:u w:val="none"/>
                    </w:rPr>
                    <w:t>饮用水源保护区的面积8454.65平方米。</w:t>
                  </w:r>
                </w:p>
              </w:tc>
            </w:tr>
          </w:tbl>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bCs/>
                <w:color w:val="auto"/>
                <w:sz w:val="24"/>
                <w:highlight w:val="none"/>
                <w:u w:val="single"/>
              </w:rPr>
            </w:pPr>
            <w:r>
              <w:rPr>
                <w:rFonts w:hint="default" w:ascii="Times New Roman" w:hAnsi="Times New Roman" w:eastAsia="宋体" w:cs="Times New Roman"/>
                <w:b w:val="0"/>
                <w:bCs w:val="0"/>
                <w:color w:val="auto"/>
                <w:sz w:val="24"/>
                <w:highlight w:val="none"/>
                <w:u w:val="none"/>
              </w:rPr>
              <w:t>本项目位于</w:t>
            </w:r>
            <w:r>
              <w:rPr>
                <w:rFonts w:hint="eastAsia" w:ascii="Times New Roman" w:hAnsi="Times New Roman" w:cs="Times New Roman"/>
                <w:b w:val="0"/>
                <w:bCs w:val="0"/>
                <w:color w:val="auto"/>
                <w:sz w:val="24"/>
                <w:szCs w:val="32"/>
                <w:u w:val="none"/>
                <w:vertAlign w:val="baseline"/>
                <w:lang w:val="en-US" w:eastAsia="zh-CN"/>
              </w:rPr>
              <w:t>永城市产业集聚区南外环与芒砀路南段交叉口</w:t>
            </w:r>
            <w:r>
              <w:rPr>
                <w:rFonts w:hint="eastAsia" w:ascii="Times New Roman" w:hAnsi="Times New Roman" w:cs="Times New Roman"/>
                <w:b w:val="0"/>
                <w:bCs w:val="0"/>
                <w:color w:val="auto"/>
                <w:sz w:val="24"/>
                <w:highlight w:val="none"/>
                <w:u w:val="none"/>
                <w:lang w:val="en-US" w:eastAsia="zh-CN"/>
              </w:rPr>
              <w:t>。距离最近的新增的供水厂为侯岭乡供水厂，与一级保护区直线距离约5.1km，</w:t>
            </w:r>
            <w:r>
              <w:rPr>
                <w:rFonts w:hint="default" w:ascii="Times New Roman" w:hAnsi="Times New Roman" w:eastAsia="宋体" w:cs="Times New Roman"/>
                <w:b w:val="0"/>
                <w:bCs w:val="0"/>
                <w:color w:val="auto"/>
                <w:sz w:val="24"/>
                <w:highlight w:val="none"/>
                <w:u w:val="none"/>
              </w:rPr>
              <w:t>不在饮用水源保护区划之内</w:t>
            </w:r>
            <w:r>
              <w:rPr>
                <w:rFonts w:hint="eastAsia" w:ascii="Times New Roman" w:hAnsi="Times New Roman" w:cs="Times New Roman"/>
                <w:b w:val="0"/>
                <w:bCs w:val="0"/>
                <w:color w:val="auto"/>
                <w:sz w:val="24"/>
                <w:highlight w:val="none"/>
                <w:u w:val="none"/>
                <w:lang w:eastAsia="zh-CN"/>
              </w:rPr>
              <w:t>，</w:t>
            </w:r>
            <w:r>
              <w:rPr>
                <w:rFonts w:hint="eastAsia" w:ascii="Times New Roman" w:hAnsi="Times New Roman" w:cs="Times New Roman"/>
                <w:b w:val="0"/>
                <w:bCs w:val="0"/>
                <w:color w:val="auto"/>
                <w:sz w:val="24"/>
                <w:highlight w:val="none"/>
                <w:u w:val="none"/>
                <w:lang w:val="en-US" w:eastAsia="zh-CN"/>
              </w:rPr>
              <w:t>本项目与侯岭乡供水厂位置关系见附图5</w:t>
            </w:r>
            <w:r>
              <w:rPr>
                <w:rFonts w:hint="default" w:ascii="Times New Roman" w:hAnsi="Times New Roman" w:eastAsia="宋体" w:cs="Times New Roman"/>
                <w:b w:val="0"/>
                <w:bCs w:val="0"/>
                <w:color w:val="auto"/>
                <w:sz w:val="24"/>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（4）</w:t>
            </w:r>
            <w:r>
              <w:rPr>
                <w:rFonts w:hint="eastAsia" w:ascii="Times New Roman" w:hAnsi="Times New Roman" w:cs="Times New Roman"/>
                <w:b/>
                <w:bCs/>
                <w:color w:val="auto"/>
                <w:sz w:val="24"/>
                <w:szCs w:val="32"/>
                <w:vertAlign w:val="baseline"/>
                <w:lang w:val="en-US" w:eastAsia="zh-CN"/>
              </w:rPr>
              <w:t>与《河南省2022年大气、水、土壤污染防治攻坚战及农业农村污染治理实施方案》（豫环委办[2022]9号）相符性分析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本项目与《河南省2022年大气、水、土壤污染防治攻坚战及农业农村污染治理攻坚战实施方案》（豫环攻坚办〔2021〕20号）相符性见下表。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Times New Roman" w:hAnsi="Times New Roman" w:eastAsia="宋体" w:cs="Times New Roman"/>
                <w:b/>
                <w:bCs/>
                <w:color w:val="auto"/>
                <w:sz w:val="21"/>
                <w:szCs w:val="24"/>
                <w:vertAlign w:val="baseline"/>
                <w:lang w:val="en-US" w:eastAsia="zh-CN"/>
              </w:rPr>
            </w:pPr>
            <w:r>
              <w:rPr>
                <w:rFonts w:hint="eastAsia" w:ascii="Times New Roman" w:hAnsi="Times New Roman" w:cs="Times New Roman"/>
                <w:b/>
                <w:bCs/>
                <w:color w:val="auto"/>
                <w:sz w:val="21"/>
                <w:szCs w:val="24"/>
                <w:vertAlign w:val="baseline"/>
                <w:lang w:val="en-US" w:eastAsia="zh-CN"/>
              </w:rPr>
              <w:t xml:space="preserve">表1-5  </w:t>
            </w:r>
            <w:r>
              <w:rPr>
                <w:rFonts w:hint="default" w:ascii="Times New Roman" w:hAnsi="Times New Roman" w:eastAsia="宋体" w:cs="Times New Roman"/>
                <w:b/>
                <w:bCs/>
                <w:color w:val="auto"/>
                <w:sz w:val="21"/>
                <w:szCs w:val="24"/>
                <w:vertAlign w:val="baseline"/>
                <w:lang w:val="en-US" w:eastAsia="zh-CN"/>
              </w:rPr>
              <w:t>与（豫环委办[2022]9号）相符性分析一览表</w:t>
            </w:r>
          </w:p>
          <w:tbl>
            <w:tblPr>
              <w:tblStyle w:val="14"/>
              <w:tblW w:w="68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0"/>
              <w:gridCol w:w="3882"/>
              <w:gridCol w:w="1521"/>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1" w:hRule="atLeast"/>
                <w:jc w:val="center"/>
              </w:trPr>
              <w:tc>
                <w:tcPr>
                  <w:tcW w:w="930"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val="0"/>
                      <w:bCs/>
                      <w:i w:val="0"/>
                      <w:iCs/>
                      <w:color w:val="auto"/>
                      <w:sz w:val="21"/>
                      <w:szCs w:val="21"/>
                    </w:rPr>
                  </w:pPr>
                  <w:r>
                    <w:rPr>
                      <w:rFonts w:hint="default" w:ascii="Times New Roman" w:hAnsi="Times New Roman" w:eastAsia="宋体" w:cs="Times New Roman"/>
                      <w:b w:val="0"/>
                      <w:bCs/>
                      <w:i w:val="0"/>
                      <w:iCs/>
                      <w:color w:val="auto"/>
                      <w:sz w:val="21"/>
                      <w:szCs w:val="21"/>
                    </w:rPr>
                    <w:t>文件名称</w:t>
                  </w:r>
                </w:p>
              </w:tc>
              <w:tc>
                <w:tcPr>
                  <w:tcW w:w="3882"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jc w:val="center"/>
                    <w:textAlignment w:val="auto"/>
                    <w:rPr>
                      <w:rFonts w:hint="default" w:ascii="Times New Roman" w:hAnsi="Times New Roman" w:eastAsia="宋体" w:cs="Times New Roman"/>
                      <w:b w:val="0"/>
                      <w:bCs/>
                      <w:i w:val="0"/>
                      <w:iCs/>
                      <w:color w:val="auto"/>
                      <w:sz w:val="21"/>
                      <w:szCs w:val="21"/>
                    </w:rPr>
                  </w:pPr>
                  <w:r>
                    <w:rPr>
                      <w:rFonts w:hint="default" w:ascii="Times New Roman" w:hAnsi="Times New Roman" w:eastAsia="宋体" w:cs="Times New Roman"/>
                      <w:b w:val="0"/>
                      <w:bCs/>
                      <w:i w:val="0"/>
                      <w:iCs/>
                      <w:color w:val="auto"/>
                      <w:sz w:val="21"/>
                      <w:szCs w:val="21"/>
                    </w:rPr>
                    <w:t>相关要求</w:t>
                  </w:r>
                </w:p>
              </w:tc>
              <w:tc>
                <w:tcPr>
                  <w:tcW w:w="1521"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val="0"/>
                      <w:bCs/>
                      <w:i w:val="0"/>
                      <w:iCs/>
                      <w:color w:val="auto"/>
                      <w:sz w:val="21"/>
                      <w:szCs w:val="21"/>
                    </w:rPr>
                  </w:pPr>
                  <w:r>
                    <w:rPr>
                      <w:rFonts w:hint="default" w:ascii="Times New Roman" w:hAnsi="Times New Roman" w:eastAsia="宋体" w:cs="Times New Roman"/>
                      <w:b w:val="0"/>
                      <w:bCs/>
                      <w:i w:val="0"/>
                      <w:iCs/>
                      <w:color w:val="auto"/>
                      <w:sz w:val="21"/>
                      <w:szCs w:val="21"/>
                    </w:rPr>
                    <w:t>本项目建设情况</w:t>
                  </w:r>
                </w:p>
              </w:tc>
              <w:tc>
                <w:tcPr>
                  <w:tcW w:w="525"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val="0"/>
                      <w:bCs/>
                      <w:i w:val="0"/>
                      <w:iCs/>
                      <w:color w:val="auto"/>
                      <w:sz w:val="21"/>
                      <w:szCs w:val="21"/>
                    </w:rPr>
                  </w:pPr>
                  <w:r>
                    <w:rPr>
                      <w:rFonts w:hint="default" w:ascii="Times New Roman" w:hAnsi="Times New Roman" w:eastAsia="宋体" w:cs="Times New Roman"/>
                      <w:b w:val="0"/>
                      <w:bCs/>
                      <w:i w:val="0"/>
                      <w:iCs/>
                      <w:color w:val="auto"/>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0" w:hRule="atLeast"/>
                <w:jc w:val="center"/>
              </w:trPr>
              <w:tc>
                <w:tcPr>
                  <w:tcW w:w="930" w:type="dxa"/>
                  <w:vMerge w:val="restar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val="0"/>
                      <w:bCs/>
                      <w:i w:val="0"/>
                      <w:iCs/>
                      <w:color w:val="auto"/>
                      <w:sz w:val="21"/>
                      <w:szCs w:val="21"/>
                    </w:rPr>
                  </w:pPr>
                  <w:r>
                    <w:rPr>
                      <w:rFonts w:hint="default" w:ascii="Times New Roman" w:hAnsi="Times New Roman" w:eastAsia="宋体" w:cs="Times New Roman"/>
                      <w:b w:val="0"/>
                      <w:bCs/>
                      <w:i w:val="0"/>
                      <w:iCs/>
                      <w:color w:val="auto"/>
                      <w:sz w:val="21"/>
                      <w:szCs w:val="21"/>
                      <w:lang w:val="en-US" w:eastAsia="zh-CN"/>
                    </w:rPr>
                    <w:t>2022</w:t>
                  </w:r>
                  <w:r>
                    <w:rPr>
                      <w:rFonts w:hint="default" w:ascii="Times New Roman" w:hAnsi="Times New Roman" w:eastAsia="宋体" w:cs="Times New Roman"/>
                      <w:b w:val="0"/>
                      <w:bCs/>
                      <w:i w:val="0"/>
                      <w:iCs/>
                      <w:color w:val="auto"/>
                      <w:sz w:val="21"/>
                      <w:szCs w:val="21"/>
                    </w:rPr>
                    <w:t>年大气污染防治攻坚战实施方案</w:t>
                  </w:r>
                </w:p>
              </w:tc>
              <w:tc>
                <w:tcPr>
                  <w:tcW w:w="3882"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jc w:val="center"/>
                    <w:textAlignment w:val="auto"/>
                    <w:rPr>
                      <w:rFonts w:hint="default" w:ascii="Times New Roman" w:hAnsi="Times New Roman" w:eastAsia="宋体" w:cs="Times New Roman"/>
                      <w:b w:val="0"/>
                      <w:bCs/>
                      <w:i w:val="0"/>
                      <w:iCs/>
                      <w:color w:val="auto"/>
                      <w:sz w:val="21"/>
                      <w:szCs w:val="21"/>
                    </w:rPr>
                  </w:pPr>
                  <w:r>
                    <w:rPr>
                      <w:rFonts w:hint="default" w:ascii="Times New Roman" w:hAnsi="Times New Roman" w:eastAsia="宋体" w:cs="Times New Roman"/>
                      <w:b w:val="0"/>
                      <w:bCs/>
                      <w:i w:val="0"/>
                      <w:iCs/>
                      <w:color w:val="auto"/>
                      <w:sz w:val="21"/>
                      <w:szCs w:val="21"/>
                    </w:rPr>
                    <w:t>落实国家产业规划、产业政策、"三线一单"、规划环评,以及产能置换、煤炭消费减量替代、区域污染物削减等相关要求,积极支持节能环保、新能源等战略性新兴产业发展,坚决遏制高耗能、高排放项目盲目建设。落实"两高"项目会商联审机制,强化项目环评及"三同时"管理,重点行业企业新建、扩建项目达到A级绩效水平</w:t>
                  </w:r>
                  <w:r>
                    <w:rPr>
                      <w:rFonts w:hint="default" w:ascii="Times New Roman" w:hAnsi="Times New Roman" w:eastAsia="宋体" w:cs="Times New Roman"/>
                      <w:b w:val="0"/>
                      <w:bCs/>
                      <w:i w:val="0"/>
                      <w:iCs/>
                      <w:color w:val="auto"/>
                      <w:sz w:val="21"/>
                      <w:szCs w:val="21"/>
                      <w:lang w:eastAsia="zh-CN"/>
                    </w:rPr>
                    <w:t>，</w:t>
                  </w:r>
                  <w:r>
                    <w:rPr>
                      <w:rFonts w:hint="default" w:ascii="Times New Roman" w:hAnsi="Times New Roman" w:eastAsia="宋体" w:cs="Times New Roman"/>
                      <w:b w:val="0"/>
                      <w:bCs/>
                      <w:i w:val="0"/>
                      <w:iCs/>
                      <w:color w:val="auto"/>
                      <w:sz w:val="21"/>
                      <w:szCs w:val="21"/>
                    </w:rPr>
                    <w:t>改建项目达到B级以上绩效水平。严禁新增钢铁、电解铝、水泥熟料、平板玻璃、煤化工(甲醇、合成氨)、氧化铝、焦化、铸造、铝用碳素、烧结砖瓦、铁合金等行业产能。禁止耐火材料、铅锌冶炼(含再生铅)行业单纯新增产能。水泥行业产能置换项目应实现矿石皮带廊密闭运输,大宗物料产品清洁运输。</w:t>
                  </w:r>
                </w:p>
              </w:tc>
              <w:tc>
                <w:tcPr>
                  <w:tcW w:w="15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b w:val="0"/>
                      <w:bCs/>
                      <w:i w:val="0"/>
                      <w:iCs/>
                      <w:color w:val="auto"/>
                      <w:sz w:val="21"/>
                      <w:szCs w:val="21"/>
                    </w:rPr>
                  </w:pPr>
                  <w:r>
                    <w:rPr>
                      <w:rFonts w:hint="default" w:ascii="Times New Roman" w:hAnsi="Times New Roman" w:eastAsia="宋体" w:cs="Times New Roman"/>
                      <w:b w:val="0"/>
                      <w:bCs/>
                      <w:i w:val="0"/>
                      <w:iCs/>
                      <w:color w:val="auto"/>
                      <w:sz w:val="21"/>
                      <w:szCs w:val="21"/>
                    </w:rPr>
                    <w:t>本项目位于</w:t>
                  </w:r>
                  <w:r>
                    <w:rPr>
                      <w:rFonts w:hint="eastAsia" w:ascii="Times New Roman" w:hAnsi="Times New Roman" w:cs="Times New Roman"/>
                      <w:b w:val="0"/>
                      <w:bCs/>
                      <w:i w:val="0"/>
                      <w:iCs/>
                      <w:color w:val="auto"/>
                      <w:sz w:val="21"/>
                      <w:szCs w:val="21"/>
                      <w:lang w:val="en-US" w:eastAsia="zh-CN"/>
                    </w:rPr>
                    <w:t>永城市产业集聚区南外环与芒砀路南段交叉口</w:t>
                  </w:r>
                  <w:r>
                    <w:rPr>
                      <w:rFonts w:hint="default" w:ascii="Times New Roman" w:hAnsi="Times New Roman" w:eastAsia="宋体" w:cs="Times New Roman"/>
                      <w:b w:val="0"/>
                      <w:bCs/>
                      <w:i w:val="0"/>
                      <w:iCs/>
                      <w:color w:val="auto"/>
                      <w:sz w:val="21"/>
                      <w:szCs w:val="21"/>
                    </w:rPr>
                    <w:t>，满足集聚区环境准入清单</w:t>
                  </w:r>
                  <w:r>
                    <w:rPr>
                      <w:rFonts w:hint="default" w:ascii="Times New Roman" w:hAnsi="Times New Roman" w:eastAsia="宋体" w:cs="Times New Roman"/>
                      <w:b w:val="0"/>
                      <w:bCs/>
                      <w:i w:val="0"/>
                      <w:iCs/>
                      <w:color w:val="auto"/>
                      <w:sz w:val="21"/>
                      <w:szCs w:val="21"/>
                      <w:lang w:eastAsia="zh-CN"/>
                    </w:rPr>
                    <w:t>，根据《产业结构调整指导目录（2019年本）》，本项目属于鼓励类十一、石化化工，5、优质钾肥及各种专用肥、水溶肥、液体肥、中微量元素肥、硝基肥、缓控释肥的生产，磷石膏综合利用技术开发与应用。</w:t>
                  </w:r>
                  <w:r>
                    <w:rPr>
                      <w:rFonts w:hint="default" w:ascii="Times New Roman" w:hAnsi="Times New Roman" w:eastAsia="宋体" w:cs="Times New Roman"/>
                      <w:b w:val="0"/>
                      <w:bCs/>
                      <w:i w:val="0"/>
                      <w:iCs/>
                      <w:color w:val="auto"/>
                      <w:sz w:val="21"/>
                      <w:szCs w:val="21"/>
                    </w:rPr>
                    <w:t>本项目不属于两高项目和产能过剩的产业项目</w:t>
                  </w:r>
                </w:p>
              </w:tc>
              <w:tc>
                <w:tcPr>
                  <w:tcW w:w="525"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val="0"/>
                      <w:bCs/>
                      <w:i w:val="0"/>
                      <w:iCs/>
                      <w:color w:val="auto"/>
                      <w:sz w:val="21"/>
                      <w:szCs w:val="21"/>
                    </w:rPr>
                  </w:pPr>
                  <w:r>
                    <w:rPr>
                      <w:rFonts w:hint="default" w:ascii="Times New Roman" w:hAnsi="Times New Roman" w:eastAsia="宋体" w:cs="Times New Roman"/>
                      <w:b w:val="0"/>
                      <w:bCs/>
                      <w:i w:val="0"/>
                      <w:iCs/>
                      <w:color w:val="auto"/>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5" w:hRule="atLeast"/>
                <w:jc w:val="center"/>
              </w:trPr>
              <w:tc>
                <w:tcPr>
                  <w:tcW w:w="930" w:type="dxa"/>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val="0"/>
                      <w:bCs/>
                      <w:i w:val="0"/>
                      <w:iCs/>
                      <w:color w:val="auto"/>
                      <w:sz w:val="21"/>
                      <w:szCs w:val="21"/>
                    </w:rPr>
                  </w:pPr>
                </w:p>
              </w:tc>
              <w:tc>
                <w:tcPr>
                  <w:tcW w:w="3882"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jc w:val="center"/>
                    <w:textAlignment w:val="auto"/>
                    <w:rPr>
                      <w:rFonts w:hint="default" w:ascii="Times New Roman" w:hAnsi="Times New Roman" w:eastAsia="宋体" w:cs="Times New Roman"/>
                      <w:b w:val="0"/>
                      <w:bCs/>
                      <w:i w:val="0"/>
                      <w:iCs/>
                      <w:color w:val="auto"/>
                      <w:sz w:val="21"/>
                      <w:szCs w:val="21"/>
                    </w:rPr>
                  </w:pPr>
                  <w:r>
                    <w:rPr>
                      <w:rFonts w:hint="default" w:ascii="Times New Roman" w:hAnsi="Times New Roman" w:eastAsia="宋体" w:cs="Times New Roman"/>
                      <w:b w:val="0"/>
                      <w:bCs/>
                      <w:i w:val="0"/>
                      <w:iCs/>
                      <w:color w:val="auto"/>
                      <w:sz w:val="21"/>
                      <w:szCs w:val="21"/>
                    </w:rPr>
                    <w:t>实施节能降碳增效行动,支持节能降碳技术研发、示范应用。根据产业集群特点,支持建设集中的热、气供应中心;推进涂装工艺企业集中、活性炭使用量大、有机溶剂使用量多的园区和集群,统筹规划建设集中涂装中心、活性炭集中再生处理中心、有机溶剂回收中心。重点开展化工行业产业园区提升行动,相关省辖市制定"一园一策”提升工作方案,明确生产工艺、产品质量、产能规模、能耗水平、燃料类型、原辅材料替代、污染治理和区域环境综合治理标准,提升园区产业发展质量和环保治理水平。</w:t>
                  </w:r>
                </w:p>
              </w:tc>
              <w:tc>
                <w:tcPr>
                  <w:tcW w:w="1521"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val="0"/>
                      <w:bCs/>
                      <w:i w:val="0"/>
                      <w:iCs/>
                      <w:color w:val="auto"/>
                      <w:sz w:val="21"/>
                      <w:szCs w:val="21"/>
                    </w:rPr>
                  </w:pPr>
                  <w:r>
                    <w:rPr>
                      <w:rFonts w:hint="default" w:ascii="Times New Roman" w:hAnsi="Times New Roman" w:eastAsia="宋体" w:cs="Times New Roman"/>
                      <w:b w:val="0"/>
                      <w:bCs/>
                      <w:i w:val="0"/>
                      <w:iCs/>
                      <w:color w:val="auto"/>
                      <w:sz w:val="21"/>
                      <w:szCs w:val="21"/>
                    </w:rPr>
                    <w:t>本项目位于</w:t>
                  </w:r>
                  <w:r>
                    <w:rPr>
                      <w:rFonts w:hint="eastAsia" w:ascii="Times New Roman" w:hAnsi="Times New Roman" w:cs="Times New Roman"/>
                      <w:b w:val="0"/>
                      <w:bCs/>
                      <w:i w:val="0"/>
                      <w:iCs/>
                      <w:color w:val="auto"/>
                      <w:sz w:val="21"/>
                      <w:szCs w:val="21"/>
                      <w:lang w:val="en-US" w:eastAsia="zh-CN"/>
                    </w:rPr>
                    <w:t>永城市产业集聚区南外环与芒砀路南段交叉口</w:t>
                  </w:r>
                  <w:r>
                    <w:rPr>
                      <w:rFonts w:hint="default" w:ascii="Times New Roman" w:hAnsi="Times New Roman" w:eastAsia="宋体" w:cs="Times New Roman"/>
                      <w:b w:val="0"/>
                      <w:bCs/>
                      <w:i w:val="0"/>
                      <w:iCs/>
                      <w:color w:val="auto"/>
                      <w:sz w:val="21"/>
                      <w:szCs w:val="21"/>
                    </w:rPr>
                    <w:t>，</w:t>
                  </w:r>
                  <w:r>
                    <w:rPr>
                      <w:rFonts w:hint="eastAsia" w:ascii="Times New Roman" w:hAnsi="Times New Roman" w:eastAsia="宋体" w:cs="Times New Roman"/>
                      <w:b w:val="0"/>
                      <w:bCs/>
                      <w:i w:val="0"/>
                      <w:iCs/>
                      <w:color w:val="auto"/>
                      <w:sz w:val="21"/>
                      <w:szCs w:val="21"/>
                      <w:lang w:val="en-US" w:eastAsia="zh-CN"/>
                    </w:rPr>
                    <w:t>且本项目不属于集聚区禁止入驻项目</w:t>
                  </w:r>
                  <w:r>
                    <w:rPr>
                      <w:rFonts w:hint="default" w:ascii="Times New Roman" w:hAnsi="Times New Roman" w:eastAsia="宋体" w:cs="Times New Roman"/>
                      <w:b w:val="0"/>
                      <w:bCs/>
                      <w:i w:val="0"/>
                      <w:iCs/>
                      <w:color w:val="auto"/>
                      <w:sz w:val="21"/>
                      <w:szCs w:val="21"/>
                    </w:rPr>
                    <w:t>。</w:t>
                  </w:r>
                </w:p>
              </w:tc>
              <w:tc>
                <w:tcPr>
                  <w:tcW w:w="525"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jc w:val="center"/>
                    <w:textAlignment w:val="auto"/>
                    <w:rPr>
                      <w:rFonts w:hint="default" w:ascii="Times New Roman" w:hAnsi="Times New Roman" w:eastAsia="宋体" w:cs="Times New Roman"/>
                      <w:b w:val="0"/>
                      <w:bCs/>
                      <w:i w:val="0"/>
                      <w:iCs/>
                      <w:color w:val="auto"/>
                      <w:sz w:val="21"/>
                      <w:szCs w:val="21"/>
                    </w:rPr>
                  </w:pPr>
                  <w:r>
                    <w:rPr>
                      <w:rFonts w:hint="default" w:ascii="Times New Roman" w:hAnsi="Times New Roman" w:eastAsia="宋体" w:cs="Times New Roman"/>
                      <w:b w:val="0"/>
                      <w:bCs/>
                      <w:i w:val="0"/>
                      <w:iCs/>
                      <w:color w:val="auto"/>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jc w:val="center"/>
              </w:trPr>
              <w:tc>
                <w:tcPr>
                  <w:tcW w:w="930" w:type="dxa"/>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val="0"/>
                      <w:bCs/>
                      <w:i w:val="0"/>
                      <w:iCs/>
                      <w:color w:val="auto"/>
                      <w:sz w:val="21"/>
                      <w:szCs w:val="21"/>
                    </w:rPr>
                  </w:pPr>
                </w:p>
              </w:tc>
              <w:tc>
                <w:tcPr>
                  <w:tcW w:w="3882"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jc w:val="center"/>
                    <w:textAlignment w:val="auto"/>
                    <w:rPr>
                      <w:rFonts w:hint="default" w:ascii="Times New Roman" w:hAnsi="Times New Roman" w:eastAsia="宋体" w:cs="Times New Roman"/>
                      <w:b w:val="0"/>
                      <w:bCs/>
                      <w:i w:val="0"/>
                      <w:iCs/>
                      <w:color w:val="auto"/>
                      <w:sz w:val="21"/>
                      <w:szCs w:val="21"/>
                    </w:rPr>
                  </w:pPr>
                  <w:r>
                    <w:rPr>
                      <w:rFonts w:hint="default" w:ascii="Times New Roman" w:hAnsi="Times New Roman" w:eastAsia="宋体" w:cs="Times New Roman"/>
                      <w:b w:val="0"/>
                      <w:bCs/>
                      <w:i w:val="0"/>
                      <w:iCs/>
                      <w:color w:val="auto"/>
                      <w:sz w:val="21"/>
                      <w:szCs w:val="21"/>
                    </w:rPr>
                    <w:t>实施节能减碳降总量。实施重点用能单位节能降碳改造工程,以钢铁、化工、建材、有色、石化等高耗能行业为重点,对标能效标杆值,组织重点用能单位实施节能降碳改造。2022年年底前,完成100家重点用能单位节能降碳改造,形成节能能力300万吨标准煤。制定"十四五"节能目标考核工作方案,优化能耗双控考核方式。严格落实新、改、扩建涉煤项目煤炭消费替代政策,优先审批煤炭替代方案完善的项目,支持已足额替代的项目尽快投产;不得将石油焦等高污染燃料作为煤炭削减量。</w:t>
                  </w:r>
                </w:p>
              </w:tc>
              <w:tc>
                <w:tcPr>
                  <w:tcW w:w="1521"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val="0"/>
                      <w:bCs/>
                      <w:i w:val="0"/>
                      <w:iCs/>
                      <w:color w:val="auto"/>
                      <w:sz w:val="21"/>
                      <w:szCs w:val="21"/>
                    </w:rPr>
                  </w:pPr>
                  <w:r>
                    <w:rPr>
                      <w:rFonts w:hint="default" w:ascii="Times New Roman" w:hAnsi="Times New Roman" w:eastAsia="宋体" w:cs="Times New Roman"/>
                      <w:b w:val="0"/>
                      <w:bCs/>
                      <w:i w:val="0"/>
                      <w:iCs/>
                      <w:color w:val="auto"/>
                      <w:sz w:val="21"/>
                      <w:szCs w:val="21"/>
                    </w:rPr>
                    <w:t>本项目不涉及用煤，采用低能耗设备，能耗较低。</w:t>
                  </w:r>
                </w:p>
              </w:tc>
              <w:tc>
                <w:tcPr>
                  <w:tcW w:w="525"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jc w:val="center"/>
                    <w:textAlignment w:val="auto"/>
                    <w:rPr>
                      <w:rFonts w:hint="default" w:ascii="Times New Roman" w:hAnsi="Times New Roman" w:eastAsia="宋体" w:cs="Times New Roman"/>
                      <w:b w:val="0"/>
                      <w:bCs/>
                      <w:i w:val="0"/>
                      <w:iCs/>
                      <w:color w:val="auto"/>
                      <w:sz w:val="21"/>
                      <w:szCs w:val="21"/>
                    </w:rPr>
                  </w:pPr>
                  <w:r>
                    <w:rPr>
                      <w:rFonts w:hint="default" w:ascii="Times New Roman" w:hAnsi="Times New Roman" w:eastAsia="宋体" w:cs="Times New Roman"/>
                      <w:b w:val="0"/>
                      <w:bCs/>
                      <w:i w:val="0"/>
                      <w:iCs/>
                      <w:color w:val="auto"/>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5" w:hRule="atLeast"/>
                <w:jc w:val="center"/>
              </w:trPr>
              <w:tc>
                <w:tcPr>
                  <w:tcW w:w="930" w:type="dxa"/>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val="0"/>
                      <w:bCs/>
                      <w:i w:val="0"/>
                      <w:iCs/>
                      <w:color w:val="auto"/>
                      <w:sz w:val="21"/>
                      <w:szCs w:val="21"/>
                    </w:rPr>
                  </w:pPr>
                </w:p>
              </w:tc>
              <w:tc>
                <w:tcPr>
                  <w:tcW w:w="3882"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jc w:val="center"/>
                    <w:textAlignment w:val="auto"/>
                    <w:rPr>
                      <w:rFonts w:hint="default" w:ascii="Times New Roman" w:hAnsi="Times New Roman" w:eastAsia="宋体" w:cs="Times New Roman"/>
                      <w:b w:val="0"/>
                      <w:bCs/>
                      <w:i w:val="0"/>
                      <w:iCs/>
                      <w:color w:val="auto"/>
                      <w:sz w:val="21"/>
                      <w:szCs w:val="21"/>
                    </w:rPr>
                  </w:pPr>
                  <w:r>
                    <w:rPr>
                      <w:rFonts w:hint="default" w:ascii="Times New Roman" w:hAnsi="Times New Roman" w:eastAsia="宋体" w:cs="Times New Roman"/>
                      <w:b w:val="0"/>
                      <w:bCs/>
                      <w:i w:val="0"/>
                      <w:iCs/>
                      <w:color w:val="auto"/>
                      <w:sz w:val="21"/>
                      <w:szCs w:val="21"/>
                    </w:rPr>
                    <w:t>提升扬尘污染防治水平。实施扬尘治理智慧化提升工程,持续推进扬尘治理监控平台建设,加强国、省道道路扬尘监控能力建设,逐步纳入省级监控平台。深入开展扬尘治理专项行动,严格落实《城市房屋建筑和市政基础设施工程及道路扬尘污染差异化评价标准》《河南省房屋建筑和市政基础设施工程扬尘治理监控平台数据接入标准》要求,对扬尘重点污染源实行清单化动态管理,强化开复工验收、"三员"管理、"两个禁止"等扬尘治理制度机制,实施渣土车密闭运输、清洁运输,完善降尘监测和考评体系。</w:t>
                  </w:r>
                </w:p>
              </w:tc>
              <w:tc>
                <w:tcPr>
                  <w:tcW w:w="1521"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jc w:val="center"/>
                    <w:textAlignment w:val="auto"/>
                    <w:rPr>
                      <w:rFonts w:hint="default" w:ascii="Times New Roman" w:hAnsi="Times New Roman" w:eastAsia="宋体" w:cs="Times New Roman"/>
                      <w:b w:val="0"/>
                      <w:bCs/>
                      <w:i w:val="0"/>
                      <w:iCs/>
                      <w:color w:val="auto"/>
                      <w:sz w:val="21"/>
                      <w:szCs w:val="21"/>
                    </w:rPr>
                  </w:pPr>
                  <w:r>
                    <w:rPr>
                      <w:rFonts w:hint="default" w:ascii="Times New Roman" w:hAnsi="Times New Roman" w:eastAsia="宋体" w:cs="Times New Roman"/>
                      <w:b w:val="0"/>
                      <w:bCs/>
                      <w:i w:val="0"/>
                      <w:iCs/>
                      <w:color w:val="auto"/>
                      <w:sz w:val="21"/>
                      <w:szCs w:val="21"/>
                    </w:rPr>
                    <w:t>本项目为扩建项目，</w:t>
                  </w:r>
                  <w:r>
                    <w:rPr>
                      <w:rFonts w:hint="eastAsia" w:ascii="Times New Roman" w:hAnsi="Times New Roman" w:cs="Times New Roman"/>
                      <w:b w:val="0"/>
                      <w:bCs/>
                      <w:i w:val="0"/>
                      <w:iCs/>
                      <w:color w:val="auto"/>
                      <w:sz w:val="21"/>
                      <w:szCs w:val="21"/>
                      <w:lang w:eastAsia="zh-CN"/>
                    </w:rPr>
                    <w:t>施工期严格落实“八个百分之百”，对施工扬尘进行控制</w:t>
                  </w:r>
                  <w:r>
                    <w:rPr>
                      <w:rFonts w:hint="default" w:ascii="Times New Roman" w:hAnsi="Times New Roman" w:eastAsia="宋体" w:cs="Times New Roman"/>
                      <w:b w:val="0"/>
                      <w:bCs/>
                      <w:i w:val="0"/>
                      <w:iCs/>
                      <w:color w:val="auto"/>
                      <w:sz w:val="21"/>
                      <w:szCs w:val="21"/>
                    </w:rPr>
                    <w:t>。</w:t>
                  </w:r>
                </w:p>
              </w:tc>
              <w:tc>
                <w:tcPr>
                  <w:tcW w:w="525"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jc w:val="center"/>
                    <w:textAlignment w:val="auto"/>
                    <w:rPr>
                      <w:rFonts w:hint="default" w:ascii="Times New Roman" w:hAnsi="Times New Roman" w:eastAsia="宋体" w:cs="Times New Roman"/>
                      <w:b w:val="0"/>
                      <w:bCs/>
                      <w:i w:val="0"/>
                      <w:iCs/>
                      <w:color w:val="auto"/>
                      <w:sz w:val="21"/>
                      <w:szCs w:val="21"/>
                    </w:rPr>
                  </w:pPr>
                  <w:r>
                    <w:rPr>
                      <w:rFonts w:hint="default" w:ascii="Times New Roman" w:hAnsi="Times New Roman" w:eastAsia="宋体" w:cs="Times New Roman"/>
                      <w:b w:val="0"/>
                      <w:bCs/>
                      <w:i w:val="0"/>
                      <w:iCs/>
                      <w:color w:val="auto"/>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5" w:hRule="atLeast"/>
                <w:jc w:val="center"/>
              </w:trPr>
              <w:tc>
                <w:tcPr>
                  <w:tcW w:w="930" w:type="dxa"/>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val="0"/>
                      <w:bCs/>
                      <w:i w:val="0"/>
                      <w:iCs/>
                      <w:color w:val="auto"/>
                      <w:sz w:val="21"/>
                      <w:szCs w:val="21"/>
                    </w:rPr>
                  </w:pPr>
                </w:p>
              </w:tc>
              <w:tc>
                <w:tcPr>
                  <w:tcW w:w="3882"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jc w:val="center"/>
                    <w:textAlignment w:val="auto"/>
                    <w:rPr>
                      <w:rFonts w:hint="default" w:ascii="Times New Roman" w:hAnsi="Times New Roman" w:eastAsia="宋体" w:cs="Times New Roman"/>
                      <w:b w:val="0"/>
                      <w:bCs/>
                      <w:i w:val="0"/>
                      <w:iCs/>
                      <w:color w:val="auto"/>
                      <w:sz w:val="21"/>
                      <w:szCs w:val="21"/>
                    </w:rPr>
                  </w:pPr>
                  <w:r>
                    <w:rPr>
                      <w:rFonts w:hint="default" w:ascii="Times New Roman" w:hAnsi="Times New Roman" w:eastAsia="宋体" w:cs="Times New Roman"/>
                      <w:b w:val="0"/>
                      <w:bCs/>
                      <w:i w:val="0"/>
                      <w:iCs/>
                      <w:color w:val="auto"/>
                      <w:sz w:val="21"/>
                      <w:szCs w:val="21"/>
                    </w:rPr>
                    <w:t>2022年5月底前,全面排查含VOCs物料储存、转移和输送、设备与管线组件、敞开液面以及工艺过程等环节无组织排放情况,组织开展VOCs抽测,开展工业涂装、印刷行业挥发性有机物排放标准执行情况检查,对达不到相关标准要求的问题进行整治。石化、煤化工、制药、农药行业重点治理储罐配件失效,装载和污水处理密闭收集效果差,装置区废水预处理池、废水储罐废气未收集,LDAR工作不符合标准规范等问题;焦化行业重点治理酚氰废水处理无密闭、煤气管线及焦炉等装置泄露问题;工业涂装、包装印刷等行业重点治理集气罩收集效果差、含VOCs原辅材料和废料储存不密闭等问题。</w:t>
                  </w:r>
                </w:p>
              </w:tc>
              <w:tc>
                <w:tcPr>
                  <w:tcW w:w="1521"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val="0"/>
                      <w:bCs/>
                      <w:i w:val="0"/>
                      <w:iCs/>
                      <w:color w:val="auto"/>
                      <w:sz w:val="21"/>
                      <w:szCs w:val="21"/>
                      <w:lang w:val="en-US" w:eastAsia="zh-CN"/>
                    </w:rPr>
                  </w:pPr>
                  <w:r>
                    <w:rPr>
                      <w:rFonts w:hint="eastAsia" w:ascii="Times New Roman" w:hAnsi="Times New Roman" w:cs="Times New Roman"/>
                      <w:b w:val="0"/>
                      <w:bCs/>
                      <w:i w:val="0"/>
                      <w:iCs/>
                      <w:color w:val="auto"/>
                      <w:sz w:val="21"/>
                      <w:szCs w:val="21"/>
                      <w:lang w:eastAsia="zh-CN"/>
                    </w:rPr>
                    <w:t>本</w:t>
                  </w:r>
                  <w:r>
                    <w:rPr>
                      <w:rFonts w:hint="default" w:ascii="Times New Roman" w:hAnsi="Times New Roman" w:eastAsia="宋体" w:cs="Times New Roman"/>
                      <w:b w:val="0"/>
                      <w:bCs/>
                      <w:i w:val="0"/>
                      <w:iCs/>
                      <w:color w:val="auto"/>
                      <w:sz w:val="21"/>
                      <w:szCs w:val="21"/>
                    </w:rPr>
                    <w:t>项目</w:t>
                  </w:r>
                  <w:r>
                    <w:rPr>
                      <w:rFonts w:hint="eastAsia" w:ascii="Times New Roman" w:hAnsi="Times New Roman" w:cs="Times New Roman"/>
                      <w:b w:val="0"/>
                      <w:bCs/>
                      <w:i w:val="0"/>
                      <w:iCs/>
                      <w:color w:val="auto"/>
                      <w:sz w:val="21"/>
                      <w:szCs w:val="21"/>
                      <w:lang w:eastAsia="zh-CN"/>
                    </w:rPr>
                    <w:t>不涉及</w:t>
                  </w:r>
                  <w:r>
                    <w:rPr>
                      <w:rFonts w:hint="eastAsia" w:ascii="Times New Roman" w:hAnsi="Times New Roman" w:cs="Times New Roman"/>
                      <w:b w:val="0"/>
                      <w:bCs/>
                      <w:i w:val="0"/>
                      <w:iCs/>
                      <w:color w:val="auto"/>
                      <w:sz w:val="21"/>
                      <w:szCs w:val="21"/>
                      <w:lang w:val="en-US" w:eastAsia="zh-CN"/>
                    </w:rPr>
                    <w:t>VOCs</w:t>
                  </w:r>
                </w:p>
              </w:tc>
              <w:tc>
                <w:tcPr>
                  <w:tcW w:w="525"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jc w:val="center"/>
                    <w:textAlignment w:val="auto"/>
                    <w:rPr>
                      <w:rFonts w:hint="default" w:ascii="Times New Roman" w:hAnsi="Times New Roman" w:eastAsia="宋体" w:cs="Times New Roman"/>
                      <w:b w:val="0"/>
                      <w:bCs/>
                      <w:i w:val="0"/>
                      <w:iCs/>
                      <w:color w:val="auto"/>
                      <w:sz w:val="21"/>
                      <w:szCs w:val="21"/>
                    </w:rPr>
                  </w:pPr>
                  <w:r>
                    <w:rPr>
                      <w:rFonts w:hint="default" w:ascii="Times New Roman" w:hAnsi="Times New Roman" w:eastAsia="宋体" w:cs="Times New Roman"/>
                      <w:b w:val="0"/>
                      <w:bCs/>
                      <w:i w:val="0"/>
                      <w:iCs/>
                      <w:color w:val="auto"/>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5" w:hRule="atLeast"/>
                <w:jc w:val="center"/>
              </w:trPr>
              <w:tc>
                <w:tcPr>
                  <w:tcW w:w="930" w:type="dxa"/>
                  <w:vMerge w:val="restar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val="0"/>
                      <w:bCs/>
                      <w:i w:val="0"/>
                      <w:iCs/>
                      <w:color w:val="auto"/>
                      <w:sz w:val="21"/>
                      <w:szCs w:val="21"/>
                    </w:rPr>
                  </w:pPr>
                  <w:r>
                    <w:rPr>
                      <w:rFonts w:hint="default" w:ascii="Times New Roman" w:hAnsi="Times New Roman" w:eastAsia="宋体" w:cs="Times New Roman"/>
                      <w:b w:val="0"/>
                      <w:bCs/>
                      <w:i w:val="0"/>
                      <w:iCs/>
                      <w:color w:val="auto"/>
                      <w:sz w:val="21"/>
                      <w:szCs w:val="21"/>
                      <w:lang w:val="en-US" w:eastAsia="zh-CN"/>
                    </w:rPr>
                    <w:t>2022</w:t>
                  </w:r>
                  <w:r>
                    <w:rPr>
                      <w:rFonts w:hint="default" w:ascii="Times New Roman" w:hAnsi="Times New Roman" w:eastAsia="宋体" w:cs="Times New Roman"/>
                      <w:b w:val="0"/>
                      <w:bCs/>
                      <w:i w:val="0"/>
                      <w:iCs/>
                      <w:color w:val="auto"/>
                      <w:sz w:val="21"/>
                      <w:szCs w:val="21"/>
                    </w:rPr>
                    <w:t>年水污染防治攻坚战实施方案</w:t>
                  </w:r>
                </w:p>
              </w:tc>
              <w:tc>
                <w:tcPr>
                  <w:tcW w:w="3882"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jc w:val="center"/>
                    <w:textAlignment w:val="auto"/>
                    <w:rPr>
                      <w:rFonts w:hint="default" w:ascii="Times New Roman" w:hAnsi="Times New Roman" w:eastAsia="宋体" w:cs="Times New Roman"/>
                      <w:b w:val="0"/>
                      <w:bCs/>
                      <w:i w:val="0"/>
                      <w:iCs/>
                      <w:color w:val="auto"/>
                      <w:sz w:val="21"/>
                      <w:szCs w:val="21"/>
                    </w:rPr>
                  </w:pPr>
                  <w:r>
                    <w:rPr>
                      <w:rFonts w:hint="default" w:ascii="Times New Roman" w:hAnsi="Times New Roman" w:eastAsia="宋体" w:cs="Times New Roman"/>
                      <w:b w:val="0"/>
                      <w:bCs/>
                      <w:i w:val="0"/>
                      <w:iCs/>
                      <w:color w:val="auto"/>
                      <w:sz w:val="21"/>
                      <w:szCs w:val="21"/>
                    </w:rPr>
                    <w:t>调整优化产业结构。落实"三线一单"生态环境分区管控体系,加强重点区域、重点流域、重点行业和产业布局规划环评。持续推进钢铁、有色、石化、化工、电镀、皮革、造纸、印染、农副食品加工等行业改造转型升级,推动化工、印染、电镀等产业集群提升改造。推动重点行业、重点区域产业布局调整,实施传统产业兼并重组、城市建成区高污染企业退城入园和敏感区域、水污染严重地区高污染企业布局优化,制定实施落后产能淘汰方案。严禁在黄河干流及主要支流临岸一定范围内新建"两高一资"项目及相关产业园区。</w:t>
                  </w:r>
                </w:p>
              </w:tc>
              <w:tc>
                <w:tcPr>
                  <w:tcW w:w="1521"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val="0"/>
                      <w:bCs/>
                      <w:i w:val="0"/>
                      <w:iCs/>
                      <w:color w:val="auto"/>
                      <w:sz w:val="21"/>
                      <w:szCs w:val="21"/>
                    </w:rPr>
                  </w:pPr>
                  <w:r>
                    <w:rPr>
                      <w:rFonts w:hint="default" w:ascii="Times New Roman" w:hAnsi="Times New Roman" w:eastAsia="宋体" w:cs="Times New Roman"/>
                      <w:b w:val="0"/>
                      <w:bCs/>
                      <w:i w:val="0"/>
                      <w:iCs/>
                      <w:color w:val="auto"/>
                      <w:sz w:val="21"/>
                      <w:szCs w:val="21"/>
                    </w:rPr>
                    <w:t>本项目符合环准入清单，不属于高耗水、高排放工业项目。</w:t>
                  </w:r>
                </w:p>
              </w:tc>
              <w:tc>
                <w:tcPr>
                  <w:tcW w:w="525"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jc w:val="center"/>
                    <w:textAlignment w:val="auto"/>
                    <w:rPr>
                      <w:rFonts w:hint="default" w:ascii="Times New Roman" w:hAnsi="Times New Roman" w:eastAsia="宋体" w:cs="Times New Roman"/>
                      <w:b w:val="0"/>
                      <w:bCs/>
                      <w:i w:val="0"/>
                      <w:iCs/>
                      <w:color w:val="auto"/>
                      <w:sz w:val="21"/>
                      <w:szCs w:val="21"/>
                    </w:rPr>
                  </w:pPr>
                  <w:r>
                    <w:rPr>
                      <w:rFonts w:hint="default" w:ascii="Times New Roman" w:hAnsi="Times New Roman" w:eastAsia="宋体" w:cs="Times New Roman"/>
                      <w:b w:val="0"/>
                      <w:bCs/>
                      <w:i w:val="0"/>
                      <w:iCs/>
                      <w:color w:val="auto"/>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30" w:type="dxa"/>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val="0"/>
                      <w:bCs/>
                      <w:i w:val="0"/>
                      <w:iCs/>
                      <w:color w:val="auto"/>
                      <w:sz w:val="21"/>
                      <w:szCs w:val="21"/>
                    </w:rPr>
                  </w:pPr>
                </w:p>
              </w:tc>
              <w:tc>
                <w:tcPr>
                  <w:tcW w:w="3882"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jc w:val="center"/>
                    <w:textAlignment w:val="auto"/>
                    <w:rPr>
                      <w:rFonts w:hint="default" w:ascii="Times New Roman" w:hAnsi="Times New Roman" w:eastAsia="宋体" w:cs="Times New Roman"/>
                      <w:b w:val="0"/>
                      <w:bCs/>
                      <w:i w:val="0"/>
                      <w:iCs/>
                      <w:color w:val="auto"/>
                      <w:sz w:val="21"/>
                      <w:szCs w:val="21"/>
                    </w:rPr>
                  </w:pPr>
                  <w:r>
                    <w:rPr>
                      <w:rFonts w:hint="default" w:ascii="Times New Roman" w:hAnsi="Times New Roman" w:eastAsia="宋体" w:cs="Times New Roman"/>
                      <w:b w:val="0"/>
                      <w:bCs/>
                      <w:i w:val="0"/>
                      <w:iCs/>
                      <w:color w:val="auto"/>
                      <w:sz w:val="21"/>
                      <w:szCs w:val="21"/>
                    </w:rPr>
                    <w:t>在造纸、焦化、氮肥、农副食品加工、皮革、印染、有色、原料药制造、电镀等重点水污染物排放行业,推动清洁生产改造,减少单位产品耗水量和单位产品排污量。结合水环境容量、地表水环境目标、排污许可证要求,对直排企业污水处理设施适时进行提标改造。推进工业水循环利用和水循环梯级利用,在高耗水行业开展水效"领跑者"行动。电力企业严格落实环评审批的使用再生水要求。到2022年年底,万元工业增加值用水量较2020年下降约2%.</w:t>
                  </w:r>
                </w:p>
              </w:tc>
              <w:tc>
                <w:tcPr>
                  <w:tcW w:w="1521"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val="0"/>
                      <w:bCs/>
                      <w:i w:val="0"/>
                      <w:iCs/>
                      <w:color w:val="auto"/>
                      <w:sz w:val="21"/>
                      <w:szCs w:val="21"/>
                      <w:lang w:eastAsia="zh-CN"/>
                    </w:rPr>
                  </w:pPr>
                  <w:r>
                    <w:rPr>
                      <w:rFonts w:hint="default" w:ascii="Times New Roman" w:hAnsi="Times New Roman" w:eastAsia="宋体" w:cs="Times New Roman"/>
                      <w:b w:val="0"/>
                      <w:bCs/>
                      <w:i w:val="0"/>
                      <w:iCs/>
                      <w:color w:val="auto"/>
                      <w:sz w:val="21"/>
                      <w:szCs w:val="21"/>
                    </w:rPr>
                    <w:t>本项目用水来自市政供水管网</w:t>
                  </w:r>
                </w:p>
              </w:tc>
              <w:tc>
                <w:tcPr>
                  <w:tcW w:w="525"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jc w:val="center"/>
                    <w:textAlignment w:val="auto"/>
                    <w:rPr>
                      <w:rFonts w:hint="default" w:ascii="Times New Roman" w:hAnsi="Times New Roman" w:eastAsia="宋体" w:cs="Times New Roman"/>
                      <w:b w:val="0"/>
                      <w:bCs/>
                      <w:i w:val="0"/>
                      <w:iCs/>
                      <w:color w:val="auto"/>
                      <w:sz w:val="21"/>
                      <w:szCs w:val="21"/>
                    </w:rPr>
                  </w:pPr>
                  <w:r>
                    <w:rPr>
                      <w:rFonts w:hint="default" w:ascii="Times New Roman" w:hAnsi="Times New Roman" w:eastAsia="宋体" w:cs="Times New Roman"/>
                      <w:b w:val="0"/>
                      <w:bCs/>
                      <w:i w:val="0"/>
                      <w:iCs/>
                      <w:color w:val="auto"/>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 w:hRule="atLeast"/>
                <w:jc w:val="center"/>
              </w:trPr>
              <w:tc>
                <w:tcPr>
                  <w:tcW w:w="930" w:type="dxa"/>
                  <w:vMerge w:val="restar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val="0"/>
                      <w:bCs/>
                      <w:i w:val="0"/>
                      <w:iCs/>
                      <w:color w:val="auto"/>
                      <w:sz w:val="21"/>
                      <w:szCs w:val="21"/>
                    </w:rPr>
                  </w:pPr>
                  <w:r>
                    <w:rPr>
                      <w:rFonts w:hint="default" w:ascii="Times New Roman" w:hAnsi="Times New Roman" w:eastAsia="宋体" w:cs="Times New Roman"/>
                      <w:b w:val="0"/>
                      <w:bCs/>
                      <w:i w:val="0"/>
                      <w:iCs/>
                      <w:color w:val="auto"/>
                      <w:sz w:val="21"/>
                      <w:szCs w:val="21"/>
                      <w:lang w:val="en-US" w:eastAsia="zh-CN"/>
                    </w:rPr>
                    <w:t>2022</w:t>
                  </w:r>
                  <w:r>
                    <w:rPr>
                      <w:rFonts w:hint="default" w:ascii="Times New Roman" w:hAnsi="Times New Roman" w:eastAsia="宋体" w:cs="Times New Roman"/>
                      <w:b w:val="0"/>
                      <w:bCs/>
                      <w:i w:val="0"/>
                      <w:iCs/>
                      <w:color w:val="auto"/>
                      <w:sz w:val="21"/>
                      <w:szCs w:val="21"/>
                    </w:rPr>
                    <w:t>土壤污染防治攻坚战实施方案</w:t>
                  </w:r>
                </w:p>
              </w:tc>
              <w:tc>
                <w:tcPr>
                  <w:tcW w:w="3882" w:type="dxa"/>
                  <w:noWrap w:val="0"/>
                  <w:vAlign w:val="top"/>
                </w:tcPr>
                <w:p>
                  <w:pPr>
                    <w:keepNext w:val="0"/>
                    <w:keepLines w:val="0"/>
                    <w:pageBreakBefore w:val="0"/>
                    <w:widowControl w:val="0"/>
                    <w:kinsoku/>
                    <w:wordWrap/>
                    <w:overflowPunct/>
                    <w:topLinePunct w:val="0"/>
                    <w:autoSpaceDE/>
                    <w:autoSpaceDN/>
                    <w:bidi w:val="0"/>
                    <w:spacing w:line="240" w:lineRule="auto"/>
                    <w:ind w:left="0" w:leftChars="0"/>
                    <w:jc w:val="center"/>
                    <w:textAlignment w:val="auto"/>
                    <w:rPr>
                      <w:rFonts w:hint="default" w:ascii="Times New Roman" w:hAnsi="Times New Roman" w:eastAsia="宋体" w:cs="Times New Roman"/>
                      <w:b w:val="0"/>
                      <w:bCs/>
                      <w:i w:val="0"/>
                      <w:iCs/>
                      <w:color w:val="auto"/>
                      <w:sz w:val="21"/>
                      <w:szCs w:val="21"/>
                    </w:rPr>
                  </w:pPr>
                  <w:r>
                    <w:rPr>
                      <w:rFonts w:hint="default" w:ascii="Times New Roman" w:hAnsi="Times New Roman" w:eastAsia="宋体" w:cs="Times New Roman"/>
                      <w:b w:val="0"/>
                      <w:bCs/>
                      <w:i w:val="0"/>
                      <w:iCs/>
                      <w:color w:val="auto"/>
                      <w:sz w:val="21"/>
                      <w:szCs w:val="21"/>
                    </w:rPr>
                    <w:t>推进工业企业绿色升级</w:t>
                  </w:r>
                  <w:r>
                    <w:rPr>
                      <w:rFonts w:hint="eastAsia" w:ascii="Times New Roman" w:hAnsi="Times New Roman" w:cs="Times New Roman"/>
                      <w:b w:val="0"/>
                      <w:bCs/>
                      <w:i w:val="0"/>
                      <w:iCs/>
                      <w:color w:val="auto"/>
                      <w:sz w:val="21"/>
                      <w:szCs w:val="21"/>
                      <w:lang w:eastAsia="zh-CN"/>
                    </w:rPr>
                    <w:t>，</w:t>
                  </w:r>
                  <w:r>
                    <w:rPr>
                      <w:rFonts w:hint="default" w:ascii="Times New Roman" w:hAnsi="Times New Roman" w:eastAsia="宋体" w:cs="Times New Roman"/>
                      <w:b w:val="0"/>
                      <w:bCs/>
                      <w:i w:val="0"/>
                      <w:iCs/>
                      <w:color w:val="auto"/>
                      <w:sz w:val="21"/>
                      <w:szCs w:val="21"/>
                    </w:rPr>
                    <w:t>加快实施钢铁、石化、化工、皮革、有色金属矿采选及冶炼、电镀等行业绿色化改造。土壤污染隐患排查中发现问题的土壤污染重点监管单位,可根据情况实施管道化、密闭化改造,重点区域防腐防渗改造,物料、污水、废气管线架空建设和改造,从源头上防范土壤污染。聚焦重有色金属采选和冶炼、涉重金属无机化工等重点行业,严格实施清洁生产审核,进一步减少污染物排放。</w:t>
                  </w:r>
                </w:p>
              </w:tc>
              <w:tc>
                <w:tcPr>
                  <w:tcW w:w="1521" w:type="dxa"/>
                  <w:vMerge w:val="restar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val="0"/>
                      <w:bCs/>
                      <w:i w:val="0"/>
                      <w:iCs/>
                      <w:color w:val="auto"/>
                      <w:sz w:val="21"/>
                      <w:szCs w:val="21"/>
                    </w:rPr>
                  </w:pPr>
                  <w:r>
                    <w:rPr>
                      <w:rFonts w:hint="default" w:ascii="Times New Roman" w:hAnsi="Times New Roman" w:eastAsia="宋体" w:cs="Times New Roman"/>
                      <w:b w:val="0"/>
                      <w:bCs/>
                      <w:i w:val="0"/>
                      <w:iCs/>
                      <w:color w:val="auto"/>
                      <w:sz w:val="21"/>
                      <w:szCs w:val="21"/>
                    </w:rPr>
                    <w:t>本项目用地为工业用地</w:t>
                  </w:r>
                  <w:r>
                    <w:rPr>
                      <w:rFonts w:hint="eastAsia" w:ascii="Times New Roman" w:hAnsi="Times New Roman" w:cs="Times New Roman"/>
                      <w:b w:val="0"/>
                      <w:bCs/>
                      <w:i w:val="0"/>
                      <w:iCs/>
                      <w:color w:val="auto"/>
                      <w:sz w:val="21"/>
                      <w:szCs w:val="21"/>
                      <w:lang w:eastAsia="zh-CN"/>
                    </w:rPr>
                    <w:t>，</w:t>
                  </w:r>
                  <w:r>
                    <w:rPr>
                      <w:rFonts w:hint="default" w:ascii="Times New Roman" w:hAnsi="Times New Roman" w:eastAsia="宋体" w:cs="Times New Roman"/>
                      <w:b w:val="0"/>
                      <w:bCs/>
                      <w:i w:val="0"/>
                      <w:iCs/>
                      <w:color w:val="auto"/>
                      <w:sz w:val="21"/>
                      <w:szCs w:val="21"/>
                      <w:lang w:eastAsia="zh-CN"/>
                    </w:rPr>
                    <w:t>不涉及重金属排放，</w:t>
                  </w:r>
                  <w:r>
                    <w:rPr>
                      <w:rFonts w:hint="eastAsia" w:ascii="Times New Roman" w:hAnsi="Times New Roman" w:cs="Times New Roman"/>
                      <w:b w:val="0"/>
                      <w:bCs/>
                      <w:i w:val="0"/>
                      <w:iCs/>
                      <w:color w:val="auto"/>
                      <w:sz w:val="21"/>
                      <w:szCs w:val="21"/>
                      <w:lang w:eastAsia="zh-CN"/>
                    </w:rPr>
                    <w:t>在现有厂区内空地内进行建设，不存在土壤污染问题</w:t>
                  </w:r>
                  <w:r>
                    <w:rPr>
                      <w:rFonts w:hint="default" w:ascii="Times New Roman" w:hAnsi="Times New Roman" w:eastAsia="宋体" w:cs="Times New Roman"/>
                      <w:b w:val="0"/>
                      <w:bCs/>
                      <w:i w:val="0"/>
                      <w:iCs/>
                      <w:color w:val="auto"/>
                      <w:sz w:val="21"/>
                      <w:szCs w:val="21"/>
                    </w:rPr>
                    <w:t>。</w:t>
                  </w:r>
                </w:p>
              </w:tc>
              <w:tc>
                <w:tcPr>
                  <w:tcW w:w="525" w:type="dxa"/>
                  <w:vMerge w:val="restar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val="0"/>
                      <w:bCs/>
                      <w:i w:val="0"/>
                      <w:iCs/>
                      <w:color w:val="auto"/>
                      <w:sz w:val="21"/>
                      <w:szCs w:val="21"/>
                    </w:rPr>
                  </w:pPr>
                  <w:r>
                    <w:rPr>
                      <w:rFonts w:hint="default" w:ascii="Times New Roman" w:hAnsi="Times New Roman" w:eastAsia="宋体" w:cs="Times New Roman"/>
                      <w:b w:val="0"/>
                      <w:bCs/>
                      <w:i w:val="0"/>
                      <w:iCs/>
                      <w:color w:val="auto"/>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0" w:hRule="atLeast"/>
                <w:jc w:val="center"/>
              </w:trPr>
              <w:tc>
                <w:tcPr>
                  <w:tcW w:w="930" w:type="dxa"/>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val="0"/>
                      <w:bCs/>
                      <w:i w:val="0"/>
                      <w:iCs/>
                      <w:color w:val="auto"/>
                      <w:sz w:val="21"/>
                      <w:szCs w:val="21"/>
                    </w:rPr>
                  </w:pPr>
                </w:p>
              </w:tc>
              <w:tc>
                <w:tcPr>
                  <w:tcW w:w="3882" w:type="dxa"/>
                  <w:noWrap w:val="0"/>
                  <w:vAlign w:val="top"/>
                </w:tcPr>
                <w:p>
                  <w:pPr>
                    <w:keepNext w:val="0"/>
                    <w:keepLines w:val="0"/>
                    <w:pageBreakBefore w:val="0"/>
                    <w:widowControl w:val="0"/>
                    <w:kinsoku/>
                    <w:wordWrap/>
                    <w:overflowPunct/>
                    <w:topLinePunct w:val="0"/>
                    <w:autoSpaceDE/>
                    <w:autoSpaceDN/>
                    <w:bidi w:val="0"/>
                    <w:spacing w:line="240" w:lineRule="auto"/>
                    <w:ind w:left="0" w:leftChars="0"/>
                    <w:jc w:val="center"/>
                    <w:textAlignment w:val="auto"/>
                    <w:rPr>
                      <w:rFonts w:hint="default" w:ascii="Times New Roman" w:hAnsi="Times New Roman" w:eastAsia="宋体" w:cs="Times New Roman"/>
                      <w:b w:val="0"/>
                      <w:bCs/>
                      <w:i w:val="0"/>
                      <w:iCs/>
                      <w:color w:val="auto"/>
                      <w:sz w:val="21"/>
                      <w:szCs w:val="21"/>
                    </w:rPr>
                  </w:pPr>
                  <w:r>
                    <w:rPr>
                      <w:rFonts w:hint="default" w:ascii="Times New Roman" w:hAnsi="Times New Roman" w:eastAsia="宋体" w:cs="Times New Roman"/>
                      <w:b w:val="0"/>
                      <w:bCs/>
                      <w:i w:val="0"/>
                      <w:iCs/>
                      <w:color w:val="auto"/>
                      <w:sz w:val="21"/>
                      <w:szCs w:val="21"/>
                    </w:rPr>
                    <w:t>支持涉重金属企业提标改造,建立完善全口径涉重金属重点行业企业清单动态调整机制,及时完善更新全口径清单企业信息及生产状态。新、改、扩建重点行业建设项目重金属污染物排放实施"减量替代".2022年4月底前,依据《大气污染防治法》《水污染防治法》及重点排污单位名录管理有关规定,将符合条件的排放镉等重金属的企业,纳入重点排污单位名录和清洁生产审核基础信息库。对纳入大气重点排污单位名录或实行排污许可重点管理的涉镉等重金属排放企业,相关自动监测要求应当依法载入排污许可证,督促其按规定实现颗粒物在线自动监测,并与生态环境主管部门的监控设备联网。持续开展涉镉等重金属行业企业排查整治活动,坚持边排查边整治,持续削减重金属污染物排放总量。</w:t>
                  </w:r>
                </w:p>
              </w:tc>
              <w:tc>
                <w:tcPr>
                  <w:tcW w:w="1521" w:type="dxa"/>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val="0"/>
                      <w:bCs/>
                      <w:i w:val="0"/>
                      <w:iCs/>
                      <w:color w:val="auto"/>
                      <w:sz w:val="21"/>
                      <w:szCs w:val="21"/>
                    </w:rPr>
                  </w:pPr>
                </w:p>
              </w:tc>
              <w:tc>
                <w:tcPr>
                  <w:tcW w:w="525" w:type="dxa"/>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val="0"/>
                      <w:bCs/>
                      <w:i w:val="0"/>
                      <w:iCs/>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color w:val="auto"/>
                <w:sz w:val="24"/>
                <w:szCs w:val="32"/>
                <w:u w:val="none"/>
                <w:vertAlign w:val="baseline"/>
                <w:lang w:val="en-US" w:eastAsia="zh-CN"/>
              </w:rPr>
            </w:pPr>
            <w:r>
              <w:rPr>
                <w:rFonts w:hint="eastAsia" w:ascii="Times New Roman" w:hAnsi="Times New Roman" w:cs="Times New Roman"/>
                <w:b/>
                <w:bCs/>
                <w:color w:val="auto"/>
                <w:sz w:val="24"/>
                <w:szCs w:val="32"/>
                <w:u w:val="none"/>
                <w:vertAlign w:val="baseline"/>
                <w:lang w:val="en-US" w:eastAsia="zh-CN"/>
              </w:rPr>
              <w:t>（6）与《重污染天气重点行业应急减排措施制定技术指南》（2021年版）相符性分析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32"/>
                <w:u w:val="none"/>
                <w:vertAlign w:val="baseline"/>
                <w:lang w:val="en-US" w:eastAsia="zh-CN"/>
              </w:rPr>
            </w:pPr>
            <w:r>
              <w:rPr>
                <w:rFonts w:hint="eastAsia" w:ascii="Times New Roman" w:hAnsi="Times New Roman" w:cs="Times New Roman"/>
                <w:color w:val="auto"/>
                <w:sz w:val="24"/>
                <w:szCs w:val="32"/>
                <w:u w:val="none"/>
                <w:vertAlign w:val="baseline"/>
                <w:lang w:val="en-US" w:eastAsia="zh-CN"/>
              </w:rPr>
              <w:t>根据</w:t>
            </w:r>
            <w:r>
              <w:rPr>
                <w:rFonts w:hint="eastAsia" w:ascii="Times New Roman" w:hAnsi="Times New Roman" w:cs="Times New Roman"/>
                <w:b w:val="0"/>
                <w:bCs/>
                <w:color w:val="auto"/>
                <w:sz w:val="24"/>
                <w:highlight w:val="none"/>
                <w:u w:val="none"/>
                <w:lang w:val="en-US" w:eastAsia="zh-CN"/>
              </w:rPr>
              <w:t>《重污染天气重点行业应急减排措施制定技术指南》（2021年版）“四、肥料制造（除煤制氮肥）”绩效分级指标要求。本项目与相关要求相符性分析见下表。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cs="Times New Roman"/>
                <w:b/>
                <w:bCs/>
                <w:color w:val="auto"/>
                <w:sz w:val="21"/>
                <w:szCs w:val="24"/>
                <w:vertAlign w:val="baseline"/>
                <w:lang w:val="en-US" w:eastAsia="zh-CN"/>
              </w:rPr>
            </w:pPr>
            <w:r>
              <w:rPr>
                <w:rFonts w:hint="eastAsia" w:ascii="Times New Roman" w:hAnsi="Times New Roman" w:cs="Times New Roman"/>
                <w:b/>
                <w:bCs/>
                <w:color w:val="auto"/>
                <w:sz w:val="21"/>
                <w:szCs w:val="24"/>
                <w:vertAlign w:val="baseline"/>
                <w:lang w:val="en-US" w:eastAsia="zh-CN"/>
              </w:rPr>
              <w:t>表1-6  肥料制造绩效分级指标一览表</w:t>
            </w:r>
          </w:p>
          <w:tbl>
            <w:tblPr>
              <w:tblStyle w:val="14"/>
              <w:tblW w:w="708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7"/>
              <w:gridCol w:w="427"/>
              <w:gridCol w:w="3221"/>
              <w:gridCol w:w="30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854" w:type="dxa"/>
                  <w:gridSpan w:val="2"/>
                  <w:tcBorders>
                    <w:top w:val="single" w:color="auto" w:sz="8"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差异化指标</w:t>
                  </w:r>
                </w:p>
              </w:tc>
              <w:tc>
                <w:tcPr>
                  <w:tcW w:w="3221" w:type="dxa"/>
                  <w:tcBorders>
                    <w:top w:val="single" w:color="auto" w:sz="8"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single"/>
                    </w:rPr>
                  </w:pPr>
                  <w:r>
                    <w:rPr>
                      <w:rFonts w:hint="eastAsia" w:ascii="Times New Roman" w:hAnsi="Times New Roman" w:cs="Times New Roman"/>
                      <w:b/>
                      <w:bCs/>
                      <w:color w:val="auto"/>
                      <w:sz w:val="21"/>
                      <w:szCs w:val="21"/>
                      <w:u w:val="single"/>
                      <w:lang w:val="en-US" w:eastAsia="zh-CN"/>
                    </w:rPr>
                    <w:t>A</w:t>
                  </w:r>
                  <w:r>
                    <w:rPr>
                      <w:rFonts w:hint="default" w:ascii="Times New Roman" w:hAnsi="Times New Roman" w:eastAsia="宋体" w:cs="Times New Roman"/>
                      <w:b/>
                      <w:bCs/>
                      <w:color w:val="auto"/>
                      <w:sz w:val="21"/>
                      <w:szCs w:val="21"/>
                      <w:u w:val="single"/>
                    </w:rPr>
                    <w:t>级企业</w:t>
                  </w:r>
                </w:p>
              </w:tc>
              <w:tc>
                <w:tcPr>
                  <w:tcW w:w="3008" w:type="dxa"/>
                  <w:tcBorders>
                    <w:top w:val="single" w:color="auto" w:sz="8"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环评建议要求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tblHeader/>
                <w:jc w:val="center"/>
              </w:trPr>
              <w:tc>
                <w:tcPr>
                  <w:tcW w:w="854"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bCs/>
                      <w:color w:val="auto"/>
                      <w:sz w:val="21"/>
                      <w:szCs w:val="21"/>
                      <w:u w:val="single"/>
                      <w:lang w:eastAsia="zh-CN"/>
                    </w:rPr>
                  </w:pPr>
                  <w:r>
                    <w:rPr>
                      <w:rFonts w:hint="eastAsia" w:ascii="Times New Roman" w:hAnsi="Times New Roman" w:cs="Times New Roman"/>
                      <w:b/>
                      <w:bCs/>
                      <w:color w:val="auto"/>
                      <w:sz w:val="21"/>
                      <w:szCs w:val="21"/>
                      <w:u w:val="single"/>
                      <w:lang w:eastAsia="zh-CN"/>
                    </w:rPr>
                    <w:t>能源类型</w:t>
                  </w:r>
                </w:p>
              </w:tc>
              <w:tc>
                <w:tcPr>
                  <w:tcW w:w="322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使用电、天然气、液化石油气等能源。</w:t>
                  </w:r>
                </w:p>
              </w:tc>
              <w:tc>
                <w:tcPr>
                  <w:tcW w:w="3008"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本项目使用能源主要为电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tblHeader/>
                <w:jc w:val="center"/>
              </w:trPr>
              <w:tc>
                <w:tcPr>
                  <w:tcW w:w="854"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bCs/>
                      <w:color w:val="auto"/>
                      <w:sz w:val="21"/>
                      <w:szCs w:val="21"/>
                      <w:u w:val="single"/>
                      <w:lang w:eastAsia="zh-CN"/>
                    </w:rPr>
                  </w:pPr>
                  <w:r>
                    <w:rPr>
                      <w:rFonts w:hint="eastAsia" w:ascii="Times New Roman" w:hAnsi="Times New Roman" w:cs="Times New Roman"/>
                      <w:b/>
                      <w:bCs/>
                      <w:color w:val="auto"/>
                      <w:sz w:val="21"/>
                      <w:szCs w:val="21"/>
                      <w:u w:val="single"/>
                      <w:lang w:eastAsia="zh-CN"/>
                    </w:rPr>
                    <w:t>生产工艺及装备水平</w:t>
                  </w:r>
                </w:p>
              </w:tc>
              <w:tc>
                <w:tcPr>
                  <w:tcW w:w="322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1.属于《产业结构调整指导目录（2019年版）》鼓励类和允许类；2.符合相关行业产业政策；3.符合河南省相关政策要求；4.符合市级规划。</w:t>
                  </w:r>
                </w:p>
              </w:tc>
              <w:tc>
                <w:tcPr>
                  <w:tcW w:w="3008"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本项目为第一类鼓励类，十一、石化化工，5、优质钾肥及各种专用肥、水溶肥、液体肥、中微量元素肥、硝基肥、缓控释肥的生产，磷石膏综合利用技术开发与应用，属于鼓励类建设项目。项目已取得永城市产业集聚区管理委员会的备案（项目代码2203-411481-04-01-667780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 w:hRule="atLeast"/>
                <w:tblHeader/>
                <w:jc w:val="center"/>
              </w:trPr>
              <w:tc>
                <w:tcPr>
                  <w:tcW w:w="854"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污染治理技术</w:t>
                  </w:r>
                </w:p>
              </w:tc>
              <w:tc>
                <w:tcPr>
                  <w:tcW w:w="322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1.造粒工序采用袋式、水喷淋、旋风除尘等组合工艺；其他除尘采用覆膜袋式除尘器、滤筒除尘器、湿电除尘等高效除尘技术（除湿电除尘外，设计效率不低于99%）；</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2.NOx治理采用低氮燃烧、SNCR/SCR等适宜技术；</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3.NH</w:t>
                  </w:r>
                  <w:r>
                    <w:rPr>
                      <w:rFonts w:hint="default" w:ascii="Times New Roman" w:hAnsi="Times New Roman" w:eastAsia="宋体" w:cs="Times New Roman"/>
                      <w:b/>
                      <w:bCs/>
                      <w:color w:val="auto"/>
                      <w:sz w:val="21"/>
                      <w:szCs w:val="21"/>
                      <w:u w:val="single"/>
                      <w:vertAlign w:val="subscript"/>
                    </w:rPr>
                    <w:t>3</w:t>
                  </w:r>
                  <w:r>
                    <w:rPr>
                      <w:rFonts w:hint="default" w:ascii="Times New Roman" w:hAnsi="Times New Roman" w:eastAsia="宋体" w:cs="Times New Roman"/>
                      <w:b/>
                      <w:bCs/>
                      <w:color w:val="auto"/>
                      <w:sz w:val="21"/>
                      <w:szCs w:val="21"/>
                      <w:u w:val="single"/>
                    </w:rPr>
                    <w:t>、H</w:t>
                  </w:r>
                  <w:r>
                    <w:rPr>
                      <w:rFonts w:hint="default" w:ascii="Times New Roman" w:hAnsi="Times New Roman" w:eastAsia="宋体" w:cs="Times New Roman"/>
                      <w:b/>
                      <w:bCs/>
                      <w:color w:val="auto"/>
                      <w:sz w:val="21"/>
                      <w:szCs w:val="21"/>
                      <w:u w:val="single"/>
                      <w:vertAlign w:val="subscript"/>
                    </w:rPr>
                    <w:t>2</w:t>
                  </w:r>
                  <w:r>
                    <w:rPr>
                      <w:rFonts w:hint="default" w:ascii="Times New Roman" w:hAnsi="Times New Roman" w:eastAsia="宋体" w:cs="Times New Roman"/>
                      <w:b/>
                      <w:bCs/>
                      <w:color w:val="auto"/>
                      <w:sz w:val="21"/>
                      <w:szCs w:val="21"/>
                      <w:u w:val="single"/>
                    </w:rPr>
                    <w:t>S治理采用洗涤、生物除臭（滴滤法、过滤法）等工艺；</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4.硫酸雾采用酸雾吸收塔或其他等效适宜技术；</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5.废水收集与处理环节：废水储存、处理设施，在曝气池之前加盖密闭，并密闭排气至废气治理设施或脱臭设施；污水处理站废气采用吸收、氧化、生物法等两级及以上组合工艺进行处理。</w:t>
                  </w:r>
                </w:p>
              </w:tc>
              <w:tc>
                <w:tcPr>
                  <w:tcW w:w="300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本项目生产过程中混合、烘干产生粉尘采用袋式除尘器处理，无废水外排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 w:hRule="atLeast"/>
                <w:tblHeader/>
                <w:jc w:val="center"/>
              </w:trPr>
              <w:tc>
                <w:tcPr>
                  <w:tcW w:w="854"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无组织管控</w:t>
                  </w:r>
                </w:p>
              </w:tc>
              <w:tc>
                <w:tcPr>
                  <w:tcW w:w="322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1.粉状物料全部采取储罐、筒仓、覆膜吨包袋等密闭储存；粒状、块状物料全部封闭或密闭储存；并配备废气收集和除尘设施；</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2.粉状物料采取管状带式输送机或其他密闭方式输送；块状物料输送环节采取封闭或其他清洁运输方式；每个下料口设置独立集气罩，配套的除尘设施不与其他工序混用；</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3.投料、粉碎、筛分等产尘工序应在封闭的厂房内，并安装集气罩和除尘设施；</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4.磷肥尾矿采用封闭皮带廊输送；</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5.厂内地面全部硬化或绿化，车间规范干净整洁，无散落物料。</w:t>
                  </w:r>
                </w:p>
              </w:tc>
              <w:tc>
                <w:tcPr>
                  <w:tcW w:w="300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本项目粉状物料均采用吨包包装，并密闭储存，产尘点均设置集气罩收集后，进入袋式除尘器处理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 w:hRule="atLeast"/>
                <w:tblHeader/>
                <w:jc w:val="center"/>
              </w:trPr>
              <w:tc>
                <w:tcPr>
                  <w:tcW w:w="427"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bCs/>
                      <w:color w:val="auto"/>
                      <w:sz w:val="21"/>
                      <w:szCs w:val="21"/>
                      <w:u w:val="single"/>
                      <w:lang w:eastAsia="zh-CN"/>
                    </w:rPr>
                  </w:pPr>
                  <w:r>
                    <w:rPr>
                      <w:rFonts w:hint="eastAsia" w:ascii="Times New Roman" w:hAnsi="Times New Roman" w:cs="Times New Roman"/>
                      <w:b/>
                      <w:bCs/>
                      <w:color w:val="auto"/>
                      <w:sz w:val="21"/>
                      <w:szCs w:val="21"/>
                      <w:u w:val="single"/>
                      <w:lang w:eastAsia="zh-CN"/>
                    </w:rPr>
                    <w:t>排放限值</w:t>
                  </w:r>
                </w:p>
              </w:tc>
              <w:tc>
                <w:tcPr>
                  <w:tcW w:w="427"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b/>
                      <w:bCs/>
                      <w:color w:val="auto"/>
                      <w:sz w:val="21"/>
                      <w:szCs w:val="21"/>
                      <w:u w:val="single"/>
                      <w:lang w:eastAsia="zh-CN"/>
                    </w:rPr>
                  </w:pPr>
                  <w:r>
                    <w:rPr>
                      <w:rFonts w:hint="eastAsia" w:ascii="Times New Roman" w:hAnsi="Times New Roman" w:cs="Times New Roman"/>
                      <w:b/>
                      <w:bCs/>
                      <w:color w:val="auto"/>
                      <w:sz w:val="21"/>
                      <w:szCs w:val="21"/>
                      <w:u w:val="single"/>
                      <w:lang w:eastAsia="zh-CN"/>
                    </w:rPr>
                    <w:t>锅炉</w:t>
                  </w:r>
                </w:p>
              </w:tc>
              <w:tc>
                <w:tcPr>
                  <w:tcW w:w="322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1.燃气锅炉烟气PM、SO</w:t>
                  </w:r>
                  <w:r>
                    <w:rPr>
                      <w:rFonts w:hint="default" w:ascii="Times New Roman" w:hAnsi="Times New Roman" w:eastAsia="宋体" w:cs="Times New Roman"/>
                      <w:b/>
                      <w:bCs/>
                      <w:color w:val="auto"/>
                      <w:sz w:val="21"/>
                      <w:szCs w:val="21"/>
                      <w:u w:val="single"/>
                      <w:vertAlign w:val="subscript"/>
                    </w:rPr>
                    <w:t>2</w:t>
                  </w:r>
                  <w:r>
                    <w:rPr>
                      <w:rFonts w:hint="default" w:ascii="Times New Roman" w:hAnsi="Times New Roman" w:eastAsia="宋体" w:cs="Times New Roman"/>
                      <w:b/>
                      <w:bCs/>
                      <w:color w:val="auto"/>
                      <w:sz w:val="21"/>
                      <w:szCs w:val="21"/>
                      <w:u w:val="single"/>
                    </w:rPr>
                    <w:t>、NOx排放浓度分别不高于5、10、50/30mg/m</w:t>
                  </w:r>
                  <w:r>
                    <w:rPr>
                      <w:rFonts w:hint="default" w:ascii="Times New Roman" w:hAnsi="Times New Roman" w:eastAsia="宋体" w:cs="Times New Roman"/>
                      <w:b/>
                      <w:bCs/>
                      <w:color w:val="auto"/>
                      <w:sz w:val="21"/>
                      <w:szCs w:val="21"/>
                      <w:u w:val="single"/>
                      <w:vertAlign w:val="superscript"/>
                    </w:rPr>
                    <w:t>3</w:t>
                  </w:r>
                  <w:r>
                    <w:rPr>
                      <w:rFonts w:hint="default" w:ascii="Times New Roman" w:hAnsi="Times New Roman" w:eastAsia="宋体" w:cs="Times New Roman"/>
                      <w:b/>
                      <w:bCs/>
                      <w:color w:val="auto"/>
                      <w:sz w:val="21"/>
                      <w:szCs w:val="21"/>
                      <w:u w:val="single"/>
                    </w:rPr>
                    <w:t>（基准氧含量：3.5%）；</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2.氨逃逸排放浓度不高于8mg/m</w:t>
                  </w:r>
                  <w:r>
                    <w:rPr>
                      <w:rFonts w:hint="default" w:ascii="Times New Roman" w:hAnsi="Times New Roman" w:eastAsia="宋体" w:cs="Times New Roman"/>
                      <w:b/>
                      <w:bCs/>
                      <w:color w:val="auto"/>
                      <w:sz w:val="21"/>
                      <w:szCs w:val="21"/>
                      <w:u w:val="single"/>
                      <w:vertAlign w:val="superscript"/>
                    </w:rPr>
                    <w:t>3</w:t>
                  </w:r>
                  <w:r>
                    <w:rPr>
                      <w:rFonts w:hint="default" w:ascii="Times New Roman" w:hAnsi="Times New Roman" w:eastAsia="宋体" w:cs="Times New Roman"/>
                      <w:b/>
                      <w:bCs/>
                      <w:color w:val="auto"/>
                      <w:sz w:val="21"/>
                      <w:szCs w:val="21"/>
                      <w:u w:val="single"/>
                    </w:rPr>
                    <w:t>（使用氨水、尿素作还原剂）。</w:t>
                  </w:r>
                </w:p>
              </w:tc>
              <w:tc>
                <w:tcPr>
                  <w:tcW w:w="300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 w:hRule="atLeast"/>
                <w:tblHeader/>
                <w:jc w:val="center"/>
              </w:trPr>
              <w:tc>
                <w:tcPr>
                  <w:tcW w:w="427"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single"/>
                    </w:rPr>
                  </w:pPr>
                </w:p>
              </w:tc>
              <w:tc>
                <w:tcPr>
                  <w:tcW w:w="427"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bCs/>
                      <w:color w:val="auto"/>
                      <w:sz w:val="21"/>
                      <w:szCs w:val="21"/>
                      <w:u w:val="single"/>
                      <w:lang w:eastAsia="zh-CN"/>
                    </w:rPr>
                  </w:pPr>
                  <w:r>
                    <w:rPr>
                      <w:rFonts w:hint="eastAsia" w:ascii="Times New Roman" w:hAnsi="Times New Roman" w:cs="Times New Roman"/>
                      <w:b/>
                      <w:bCs/>
                      <w:color w:val="auto"/>
                      <w:sz w:val="21"/>
                      <w:szCs w:val="21"/>
                      <w:u w:val="single"/>
                      <w:lang w:eastAsia="zh-CN"/>
                    </w:rPr>
                    <w:t>工业炉窑</w:t>
                  </w:r>
                </w:p>
              </w:tc>
              <w:tc>
                <w:tcPr>
                  <w:tcW w:w="322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1.电窑PM排放浓度不高于10mg/m</w:t>
                  </w:r>
                  <w:r>
                    <w:rPr>
                      <w:rFonts w:hint="default" w:ascii="Times New Roman" w:hAnsi="Times New Roman" w:eastAsia="宋体" w:cs="Times New Roman"/>
                      <w:b/>
                      <w:bCs/>
                      <w:color w:val="auto"/>
                      <w:sz w:val="21"/>
                      <w:szCs w:val="21"/>
                      <w:u w:val="single"/>
                      <w:vertAlign w:val="superscript"/>
                    </w:rPr>
                    <w:t>3</w:t>
                  </w:r>
                  <w:r>
                    <w:rPr>
                      <w:rFonts w:hint="default" w:ascii="Times New Roman" w:hAnsi="Times New Roman" w:eastAsia="宋体" w:cs="Times New Roman"/>
                      <w:b/>
                      <w:bCs/>
                      <w:color w:val="auto"/>
                      <w:sz w:val="21"/>
                      <w:szCs w:val="21"/>
                      <w:u w:val="single"/>
                    </w:rPr>
                    <w:t>（按实测浓度计）；</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2.燃气工业炉窑烟气PM、SO</w:t>
                  </w:r>
                  <w:r>
                    <w:rPr>
                      <w:rFonts w:hint="default" w:ascii="Times New Roman" w:hAnsi="Times New Roman" w:eastAsia="宋体" w:cs="Times New Roman"/>
                      <w:b/>
                      <w:bCs/>
                      <w:color w:val="auto"/>
                      <w:sz w:val="21"/>
                      <w:szCs w:val="21"/>
                      <w:u w:val="single"/>
                      <w:vertAlign w:val="subscript"/>
                    </w:rPr>
                    <w:t>2</w:t>
                  </w:r>
                  <w:r>
                    <w:rPr>
                      <w:rFonts w:hint="default" w:ascii="Times New Roman" w:hAnsi="Times New Roman" w:eastAsia="宋体" w:cs="Times New Roman"/>
                      <w:b/>
                      <w:bCs/>
                      <w:color w:val="auto"/>
                      <w:sz w:val="21"/>
                      <w:szCs w:val="21"/>
                      <w:u w:val="single"/>
                    </w:rPr>
                    <w:t>、NOx排放浓度分别不高于10、50、100mg/m</w:t>
                  </w:r>
                  <w:r>
                    <w:rPr>
                      <w:rFonts w:hint="default" w:ascii="Times New Roman" w:hAnsi="Times New Roman" w:eastAsia="宋体" w:cs="Times New Roman"/>
                      <w:b/>
                      <w:bCs/>
                      <w:color w:val="auto"/>
                      <w:sz w:val="21"/>
                      <w:szCs w:val="21"/>
                      <w:u w:val="single"/>
                      <w:vertAlign w:val="superscript"/>
                    </w:rPr>
                    <w:t>3</w:t>
                  </w:r>
                  <w:r>
                    <w:rPr>
                      <w:rFonts w:hint="default" w:ascii="Times New Roman" w:hAnsi="Times New Roman" w:eastAsia="宋体" w:cs="Times New Roman"/>
                      <w:b/>
                      <w:bCs/>
                      <w:color w:val="auto"/>
                      <w:sz w:val="21"/>
                      <w:szCs w:val="21"/>
                      <w:u w:val="single"/>
                    </w:rPr>
                    <w:t>（基准氧含量3.5%，因工艺需要掺入空气/非密闭式生产的按实测浓度计）；</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3.氨逃逸排放浓度不高于8mg/m</w:t>
                  </w:r>
                  <w:r>
                    <w:rPr>
                      <w:rFonts w:hint="default" w:ascii="Times New Roman" w:hAnsi="Times New Roman" w:eastAsia="宋体" w:cs="Times New Roman"/>
                      <w:b/>
                      <w:bCs/>
                      <w:color w:val="auto"/>
                      <w:sz w:val="21"/>
                      <w:szCs w:val="21"/>
                      <w:u w:val="single"/>
                      <w:vertAlign w:val="superscript"/>
                    </w:rPr>
                    <w:t>3</w:t>
                  </w:r>
                  <w:r>
                    <w:rPr>
                      <w:rFonts w:hint="default" w:ascii="Times New Roman" w:hAnsi="Times New Roman" w:eastAsia="宋体" w:cs="Times New Roman"/>
                      <w:b/>
                      <w:bCs/>
                      <w:color w:val="auto"/>
                      <w:sz w:val="21"/>
                      <w:szCs w:val="21"/>
                      <w:u w:val="single"/>
                    </w:rPr>
                    <w:t>（使用氨水、尿素作还原剂）。</w:t>
                  </w:r>
                </w:p>
              </w:tc>
              <w:tc>
                <w:tcPr>
                  <w:tcW w:w="300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 w:hRule="atLeast"/>
                <w:tblHeader/>
                <w:jc w:val="center"/>
              </w:trPr>
              <w:tc>
                <w:tcPr>
                  <w:tcW w:w="427"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single"/>
                    </w:rPr>
                  </w:pPr>
                </w:p>
              </w:tc>
              <w:tc>
                <w:tcPr>
                  <w:tcW w:w="427"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bCs/>
                      <w:color w:val="auto"/>
                      <w:sz w:val="21"/>
                      <w:szCs w:val="21"/>
                      <w:u w:val="single"/>
                      <w:lang w:eastAsia="zh-CN"/>
                    </w:rPr>
                  </w:pPr>
                  <w:r>
                    <w:rPr>
                      <w:rFonts w:hint="eastAsia" w:ascii="Times New Roman" w:hAnsi="Times New Roman" w:cs="Times New Roman"/>
                      <w:b/>
                      <w:bCs/>
                      <w:color w:val="auto"/>
                      <w:sz w:val="21"/>
                      <w:szCs w:val="21"/>
                      <w:u w:val="single"/>
                      <w:lang w:eastAsia="zh-CN"/>
                    </w:rPr>
                    <w:t>其他</w:t>
                  </w:r>
                </w:p>
              </w:tc>
              <w:tc>
                <w:tcPr>
                  <w:tcW w:w="322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1.PM有组织排放浓度≤10mg/m</w:t>
                  </w:r>
                  <w:r>
                    <w:rPr>
                      <w:rFonts w:hint="default" w:ascii="Times New Roman" w:hAnsi="Times New Roman" w:eastAsia="宋体" w:cs="Times New Roman"/>
                      <w:b/>
                      <w:bCs/>
                      <w:color w:val="auto"/>
                      <w:sz w:val="21"/>
                      <w:szCs w:val="21"/>
                      <w:u w:val="single"/>
                      <w:vertAlign w:val="superscript"/>
                    </w:rPr>
                    <w:t>3</w:t>
                  </w:r>
                  <w:r>
                    <w:rPr>
                      <w:rFonts w:hint="default" w:ascii="Times New Roman" w:hAnsi="Times New Roman" w:eastAsia="宋体" w:cs="Times New Roman"/>
                      <w:b/>
                      <w:bCs/>
                      <w:color w:val="auto"/>
                      <w:sz w:val="21"/>
                      <w:szCs w:val="21"/>
                      <w:u w:val="single"/>
                    </w:rPr>
                    <w:t>；</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s="Times New Roman"/>
                      <w:b/>
                      <w:bCs/>
                      <w:color w:val="auto"/>
                      <w:sz w:val="21"/>
                      <w:szCs w:val="21"/>
                      <w:u w:val="single"/>
                      <w:lang w:eastAsia="zh-CN"/>
                    </w:rPr>
                  </w:pPr>
                  <w:r>
                    <w:rPr>
                      <w:rFonts w:hint="eastAsia" w:ascii="Times New Roman" w:hAnsi="Times New Roman" w:cs="Times New Roman"/>
                      <w:b/>
                      <w:bCs/>
                      <w:color w:val="auto"/>
                      <w:sz w:val="21"/>
                      <w:szCs w:val="21"/>
                      <w:u w:val="single"/>
                      <w:lang w:eastAsia="zh-CN"/>
                    </w:rPr>
                    <w:t>2.造粒工序NH</w:t>
                  </w:r>
                  <w:r>
                    <w:rPr>
                      <w:rFonts w:hint="eastAsia" w:ascii="Times New Roman" w:hAnsi="Times New Roman" w:cs="Times New Roman"/>
                      <w:b/>
                      <w:bCs/>
                      <w:color w:val="auto"/>
                      <w:sz w:val="21"/>
                      <w:szCs w:val="21"/>
                      <w:u w:val="single"/>
                      <w:vertAlign w:val="subscript"/>
                      <w:lang w:eastAsia="zh-CN"/>
                    </w:rPr>
                    <w:t>3</w:t>
                  </w:r>
                  <w:r>
                    <w:rPr>
                      <w:rFonts w:hint="eastAsia" w:ascii="Times New Roman" w:hAnsi="Times New Roman" w:cs="Times New Roman"/>
                      <w:b/>
                      <w:bCs/>
                      <w:color w:val="auto"/>
                      <w:sz w:val="21"/>
                      <w:szCs w:val="21"/>
                      <w:u w:val="single"/>
                      <w:lang w:eastAsia="zh-CN"/>
                    </w:rPr>
                    <w:t>排放浓度≤30mg/m</w:t>
                  </w:r>
                  <w:r>
                    <w:rPr>
                      <w:rFonts w:hint="eastAsia" w:ascii="Times New Roman" w:hAnsi="Times New Roman" w:cs="Times New Roman"/>
                      <w:b/>
                      <w:bCs/>
                      <w:color w:val="auto"/>
                      <w:sz w:val="21"/>
                      <w:szCs w:val="21"/>
                      <w:u w:val="single"/>
                      <w:vertAlign w:val="superscript"/>
                      <w:lang w:eastAsia="zh-CN"/>
                    </w:rPr>
                    <w:t>3</w:t>
                  </w:r>
                  <w:r>
                    <w:rPr>
                      <w:rFonts w:hint="eastAsia" w:ascii="Times New Roman" w:hAnsi="Times New Roman" w:cs="Times New Roman"/>
                      <w:b/>
                      <w:bCs/>
                      <w:color w:val="auto"/>
                      <w:sz w:val="21"/>
                      <w:szCs w:val="21"/>
                      <w:u w:val="single"/>
                      <w:lang w:eastAsia="zh-CN"/>
                    </w:rPr>
                    <w:t>；</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s="Times New Roman"/>
                      <w:b/>
                      <w:bCs/>
                      <w:color w:val="auto"/>
                      <w:sz w:val="21"/>
                      <w:szCs w:val="21"/>
                      <w:u w:val="single"/>
                      <w:lang w:eastAsia="zh-CN"/>
                    </w:rPr>
                  </w:pPr>
                  <w:r>
                    <w:rPr>
                      <w:rFonts w:hint="eastAsia" w:ascii="Times New Roman" w:hAnsi="Times New Roman" w:cs="Times New Roman"/>
                      <w:b/>
                      <w:bCs/>
                      <w:color w:val="auto"/>
                      <w:sz w:val="21"/>
                      <w:szCs w:val="21"/>
                      <w:u w:val="single"/>
                      <w:lang w:eastAsia="zh-CN"/>
                    </w:rPr>
                    <w:t>3.氯化氢排放浓度≤150mg/m</w:t>
                  </w:r>
                  <w:r>
                    <w:rPr>
                      <w:rFonts w:hint="eastAsia" w:ascii="Times New Roman" w:hAnsi="Times New Roman" w:cs="Times New Roman"/>
                      <w:b/>
                      <w:bCs/>
                      <w:color w:val="auto"/>
                      <w:sz w:val="21"/>
                      <w:szCs w:val="21"/>
                      <w:u w:val="single"/>
                      <w:vertAlign w:val="superscript"/>
                      <w:lang w:eastAsia="zh-CN"/>
                    </w:rPr>
                    <w:t>3</w:t>
                  </w:r>
                  <w:r>
                    <w:rPr>
                      <w:rFonts w:hint="eastAsia" w:ascii="Times New Roman" w:hAnsi="Times New Roman" w:cs="Times New Roman"/>
                      <w:b/>
                      <w:bCs/>
                      <w:color w:val="auto"/>
                      <w:sz w:val="21"/>
                      <w:szCs w:val="21"/>
                      <w:u w:val="single"/>
                      <w:lang w:eastAsia="zh-CN"/>
                    </w:rPr>
                    <w:t>；硫酸雾排放浓度≤70mg/m</w:t>
                  </w:r>
                  <w:r>
                    <w:rPr>
                      <w:rFonts w:hint="eastAsia" w:ascii="Times New Roman" w:hAnsi="Times New Roman" w:cs="Times New Roman"/>
                      <w:b/>
                      <w:bCs/>
                      <w:color w:val="auto"/>
                      <w:sz w:val="21"/>
                      <w:szCs w:val="21"/>
                      <w:u w:val="single"/>
                      <w:vertAlign w:val="superscript"/>
                      <w:lang w:eastAsia="zh-CN"/>
                    </w:rPr>
                    <w:t>3</w:t>
                  </w:r>
                  <w:r>
                    <w:rPr>
                      <w:rFonts w:hint="eastAsia" w:ascii="Times New Roman" w:hAnsi="Times New Roman" w:cs="Times New Roman"/>
                      <w:b/>
                      <w:bCs/>
                      <w:color w:val="auto"/>
                      <w:sz w:val="21"/>
                      <w:szCs w:val="21"/>
                      <w:u w:val="single"/>
                      <w:lang w:eastAsia="zh-CN"/>
                    </w:rPr>
                    <w:t>；</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cs="Times New Roman"/>
                      <w:b/>
                      <w:bCs/>
                      <w:color w:val="auto"/>
                      <w:sz w:val="21"/>
                      <w:szCs w:val="21"/>
                      <w:u w:val="single"/>
                      <w:lang w:eastAsia="zh-CN"/>
                    </w:rPr>
                  </w:pPr>
                  <w:r>
                    <w:rPr>
                      <w:rFonts w:hint="eastAsia" w:ascii="Times New Roman" w:hAnsi="Times New Roman" w:cs="Times New Roman"/>
                      <w:b/>
                      <w:bCs/>
                      <w:color w:val="auto"/>
                      <w:sz w:val="21"/>
                      <w:szCs w:val="21"/>
                      <w:u w:val="single"/>
                      <w:lang w:eastAsia="zh-CN"/>
                    </w:rPr>
                    <w:t>4.企业边界NH</w:t>
                  </w:r>
                  <w:r>
                    <w:rPr>
                      <w:rFonts w:hint="eastAsia" w:ascii="Times New Roman" w:hAnsi="Times New Roman" w:cs="Times New Roman"/>
                      <w:b/>
                      <w:bCs/>
                      <w:color w:val="auto"/>
                      <w:sz w:val="21"/>
                      <w:szCs w:val="21"/>
                      <w:u w:val="single"/>
                      <w:vertAlign w:val="subscript"/>
                      <w:lang w:eastAsia="zh-CN"/>
                    </w:rPr>
                    <w:t>3</w:t>
                  </w:r>
                  <w:r>
                    <w:rPr>
                      <w:rFonts w:hint="eastAsia" w:ascii="Times New Roman" w:hAnsi="Times New Roman" w:cs="Times New Roman"/>
                      <w:b/>
                      <w:bCs/>
                      <w:color w:val="auto"/>
                      <w:sz w:val="21"/>
                      <w:szCs w:val="21"/>
                      <w:u w:val="single"/>
                      <w:lang w:eastAsia="zh-CN"/>
                    </w:rPr>
                    <w:t>浓度≤0.75mg/m</w:t>
                  </w:r>
                  <w:r>
                    <w:rPr>
                      <w:rFonts w:hint="eastAsia" w:ascii="Times New Roman" w:hAnsi="Times New Roman" w:cs="Times New Roman"/>
                      <w:b/>
                      <w:bCs/>
                      <w:color w:val="auto"/>
                      <w:sz w:val="21"/>
                      <w:szCs w:val="21"/>
                      <w:u w:val="single"/>
                      <w:vertAlign w:val="superscript"/>
                      <w:lang w:eastAsia="zh-CN"/>
                    </w:rPr>
                    <w:t>3</w:t>
                  </w:r>
                  <w:r>
                    <w:rPr>
                      <w:rFonts w:hint="eastAsia" w:ascii="Times New Roman" w:hAnsi="Times New Roman" w:cs="Times New Roman"/>
                      <w:b/>
                      <w:bCs/>
                      <w:color w:val="auto"/>
                      <w:sz w:val="21"/>
                      <w:szCs w:val="21"/>
                      <w:u w:val="single"/>
                      <w:lang w:eastAsia="zh-CN"/>
                    </w:rPr>
                    <w:t>；氯化氢≤0.25mg/m</w:t>
                  </w:r>
                  <w:r>
                    <w:rPr>
                      <w:rFonts w:hint="eastAsia" w:ascii="Times New Roman" w:hAnsi="Times New Roman" w:cs="Times New Roman"/>
                      <w:b/>
                      <w:bCs/>
                      <w:color w:val="auto"/>
                      <w:sz w:val="21"/>
                      <w:szCs w:val="21"/>
                      <w:u w:val="single"/>
                      <w:vertAlign w:val="superscript"/>
                      <w:lang w:eastAsia="zh-CN"/>
                    </w:rPr>
                    <w:t>3</w:t>
                  </w:r>
                  <w:r>
                    <w:rPr>
                      <w:rFonts w:hint="eastAsia" w:ascii="Times New Roman" w:hAnsi="Times New Roman" w:cs="Times New Roman"/>
                      <w:b/>
                      <w:bCs/>
                      <w:color w:val="auto"/>
                      <w:sz w:val="21"/>
                      <w:szCs w:val="21"/>
                      <w:u w:val="single"/>
                      <w:lang w:eastAsia="zh-CN"/>
                    </w:rPr>
                    <w:t>；硫酸雾排放浓度≤1.5mg/m</w:t>
                  </w:r>
                  <w:r>
                    <w:rPr>
                      <w:rFonts w:hint="eastAsia" w:ascii="Times New Roman" w:hAnsi="Times New Roman" w:cs="Times New Roman"/>
                      <w:b/>
                      <w:bCs/>
                      <w:color w:val="auto"/>
                      <w:sz w:val="21"/>
                      <w:szCs w:val="21"/>
                      <w:u w:val="single"/>
                      <w:vertAlign w:val="superscript"/>
                      <w:lang w:eastAsia="zh-CN"/>
                    </w:rPr>
                    <w:t>3</w:t>
                  </w:r>
                  <w:r>
                    <w:rPr>
                      <w:rFonts w:hint="eastAsia" w:ascii="Times New Roman" w:hAnsi="Times New Roman" w:cs="Times New Roman"/>
                      <w:b/>
                      <w:bCs/>
                      <w:color w:val="auto"/>
                      <w:sz w:val="21"/>
                      <w:szCs w:val="21"/>
                      <w:u w:val="single"/>
                      <w:lang w:eastAsia="zh-CN"/>
                    </w:rPr>
                    <w:t>；</w:t>
                  </w:r>
                </w:p>
              </w:tc>
              <w:tc>
                <w:tcPr>
                  <w:tcW w:w="300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根据工程分析，本项目PM有组织排放浓度均小于10</w:t>
                  </w:r>
                  <w:r>
                    <w:rPr>
                      <w:rFonts w:hint="default" w:ascii="Times New Roman" w:hAnsi="Times New Roman" w:eastAsia="宋体" w:cs="Times New Roman"/>
                      <w:b/>
                      <w:bCs/>
                      <w:color w:val="auto"/>
                      <w:sz w:val="21"/>
                      <w:szCs w:val="21"/>
                      <w:u w:val="single"/>
                    </w:rPr>
                    <w:t>mg/m</w:t>
                  </w:r>
                  <w:r>
                    <w:rPr>
                      <w:rFonts w:hint="default" w:ascii="Times New Roman" w:hAnsi="Times New Roman" w:eastAsia="宋体" w:cs="Times New Roman"/>
                      <w:b/>
                      <w:bCs/>
                      <w:color w:val="auto"/>
                      <w:sz w:val="21"/>
                      <w:szCs w:val="21"/>
                      <w:u w:val="single"/>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 w:hRule="atLeast"/>
                <w:tblHeader/>
                <w:jc w:val="center"/>
              </w:trPr>
              <w:tc>
                <w:tcPr>
                  <w:tcW w:w="854"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bCs/>
                      <w:color w:val="auto"/>
                      <w:sz w:val="21"/>
                      <w:szCs w:val="21"/>
                      <w:u w:val="single"/>
                      <w:lang w:eastAsia="zh-CN"/>
                    </w:rPr>
                  </w:pPr>
                  <w:r>
                    <w:rPr>
                      <w:rFonts w:hint="eastAsia" w:ascii="Times New Roman" w:hAnsi="Times New Roman" w:cs="Times New Roman"/>
                      <w:b/>
                      <w:bCs/>
                      <w:color w:val="auto"/>
                      <w:sz w:val="21"/>
                      <w:szCs w:val="21"/>
                      <w:u w:val="single"/>
                      <w:lang w:eastAsia="zh-CN"/>
                    </w:rPr>
                    <w:t>监测监控水平</w:t>
                  </w:r>
                </w:p>
              </w:tc>
              <w:tc>
                <w:tcPr>
                  <w:tcW w:w="322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1.有组织排放口按生态环境部门要求安装烟气排放自动监控设施（CEMS），并按要求联网；</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2.有组织排放口按照排污许可证要求开展自行监测；</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3.涉气生产工序、生产装置及污染治理设施按生态环境部门要求安装用电监管设备，用电监管设备与省、市生态环境部门用电监管平台联网；</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4.厂内未安装在线监控的涉气生产设施主要投料口安装高清视频监控系统，视频能够保存三个月以上。</w:t>
                  </w:r>
                </w:p>
              </w:tc>
              <w:tc>
                <w:tcPr>
                  <w:tcW w:w="300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评价建议本项目环评手续完善后，及时申请变更排污许可手续，并依照监管部门要求，对厂区内监管设备进行完善，并安装高清视频监控系统，且</w:t>
                  </w:r>
                  <w:r>
                    <w:rPr>
                      <w:rFonts w:hint="default" w:ascii="Times New Roman" w:hAnsi="Times New Roman" w:eastAsia="宋体" w:cs="Times New Roman"/>
                      <w:b/>
                      <w:bCs/>
                      <w:color w:val="auto"/>
                      <w:sz w:val="21"/>
                      <w:szCs w:val="21"/>
                      <w:u w:val="single"/>
                    </w:rPr>
                    <w:t>视频保存三个月以上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 w:hRule="atLeast"/>
                <w:tblHeader/>
                <w:jc w:val="center"/>
              </w:trPr>
              <w:tc>
                <w:tcPr>
                  <w:tcW w:w="427"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bCs/>
                      <w:color w:val="auto"/>
                      <w:sz w:val="21"/>
                      <w:szCs w:val="21"/>
                      <w:u w:val="single"/>
                      <w:lang w:eastAsia="zh-CN"/>
                    </w:rPr>
                  </w:pPr>
                  <w:r>
                    <w:rPr>
                      <w:rFonts w:hint="eastAsia" w:ascii="Times New Roman" w:hAnsi="Times New Roman" w:cs="Times New Roman"/>
                      <w:b/>
                      <w:bCs/>
                      <w:color w:val="auto"/>
                      <w:sz w:val="21"/>
                      <w:szCs w:val="21"/>
                      <w:u w:val="single"/>
                      <w:lang w:eastAsia="zh-CN"/>
                    </w:rPr>
                    <w:t>环境管理水平</w:t>
                  </w:r>
                </w:p>
              </w:tc>
              <w:tc>
                <w:tcPr>
                  <w:tcW w:w="427"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bCs/>
                      <w:color w:val="auto"/>
                      <w:sz w:val="21"/>
                      <w:szCs w:val="21"/>
                      <w:u w:val="single"/>
                      <w:lang w:eastAsia="zh-CN"/>
                    </w:rPr>
                  </w:pPr>
                  <w:r>
                    <w:rPr>
                      <w:rFonts w:hint="eastAsia" w:ascii="Times New Roman" w:hAnsi="Times New Roman" w:cs="Times New Roman"/>
                      <w:b/>
                      <w:bCs/>
                      <w:color w:val="auto"/>
                      <w:sz w:val="21"/>
                      <w:szCs w:val="21"/>
                      <w:u w:val="single"/>
                      <w:lang w:eastAsia="zh-CN"/>
                    </w:rPr>
                    <w:t>环保档案</w:t>
                  </w:r>
                </w:p>
              </w:tc>
              <w:tc>
                <w:tcPr>
                  <w:tcW w:w="322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1.环评批复文件和竣工环保验收文件或环境现状评估备案证明；</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2.国家版排污许可证；</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3.环境管理制度（有组织、无组织排放长效管理机制，主要包括岗位责任制度、达标公示制度和定期巡查维护制度等）；</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4.废气治理设施运行管理规程；</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5.一年内废气监测报告（符合排污许可证监测项目及频次要求）。</w:t>
                  </w:r>
                </w:p>
              </w:tc>
              <w:tc>
                <w:tcPr>
                  <w:tcW w:w="3008"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评价要求建设单位按照绩效分级</w:t>
                  </w:r>
                  <w:r>
                    <w:rPr>
                      <w:rFonts w:hint="eastAsia" w:ascii="Times New Roman" w:hAnsi="Times New Roman" w:cs="Times New Roman"/>
                      <w:b/>
                      <w:bCs/>
                      <w:color w:val="auto"/>
                      <w:sz w:val="21"/>
                      <w:szCs w:val="21"/>
                      <w:u w:val="single"/>
                      <w:lang w:val="en-US" w:eastAsia="zh-CN"/>
                    </w:rPr>
                    <w:t>A</w:t>
                  </w:r>
                  <w:r>
                    <w:rPr>
                      <w:rFonts w:hint="eastAsia" w:ascii="Times New Roman" w:hAnsi="Times New Roman" w:eastAsia="宋体" w:cs="Times New Roman"/>
                      <w:b/>
                      <w:bCs/>
                      <w:color w:val="auto"/>
                      <w:sz w:val="21"/>
                      <w:szCs w:val="21"/>
                      <w:u w:val="single"/>
                      <w:lang w:val="en-US" w:eastAsia="zh-CN"/>
                    </w:rPr>
                    <w:t>级要求进行环境管理水平，各环保档案及台账记录完整规范。</w:t>
                  </w:r>
                  <w:r>
                    <w:rPr>
                      <w:rFonts w:hint="eastAsia" w:ascii="Times New Roman" w:hAnsi="Times New Roman" w:cs="Times New Roman"/>
                      <w:b/>
                      <w:bCs/>
                      <w:color w:val="auto"/>
                      <w:sz w:val="21"/>
                      <w:szCs w:val="21"/>
                      <w:u w:val="single"/>
                      <w:lang w:val="en-US" w:eastAsia="zh-CN"/>
                    </w:rPr>
                    <w:t>并配备专职人员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 w:hRule="atLeast"/>
                <w:tblHeader/>
                <w:jc w:val="center"/>
              </w:trPr>
              <w:tc>
                <w:tcPr>
                  <w:tcW w:w="427"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single"/>
                    </w:rPr>
                  </w:pPr>
                </w:p>
              </w:tc>
              <w:tc>
                <w:tcPr>
                  <w:tcW w:w="427"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bCs/>
                      <w:color w:val="auto"/>
                      <w:sz w:val="21"/>
                      <w:szCs w:val="21"/>
                      <w:u w:val="single"/>
                      <w:lang w:eastAsia="zh-CN"/>
                    </w:rPr>
                  </w:pPr>
                  <w:r>
                    <w:rPr>
                      <w:rFonts w:hint="eastAsia" w:ascii="Times New Roman" w:hAnsi="Times New Roman" w:cs="Times New Roman"/>
                      <w:b/>
                      <w:bCs/>
                      <w:color w:val="auto"/>
                      <w:sz w:val="21"/>
                      <w:szCs w:val="21"/>
                      <w:u w:val="single"/>
                      <w:lang w:eastAsia="zh-CN"/>
                    </w:rPr>
                    <w:t>台账记录</w:t>
                  </w:r>
                </w:p>
              </w:tc>
              <w:tc>
                <w:tcPr>
                  <w:tcW w:w="322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1.生产设施运行管理信息（生产时间、运行负荷、产品产量等）；</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2.废气污染治理设施运行管理信息；</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3.监测记录信息（主要污染排放口废气排放记录等）；</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4.主要原辅材料消耗记录；</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s="Times New Roman"/>
                      <w:b/>
                      <w:bCs/>
                      <w:color w:val="auto"/>
                      <w:sz w:val="21"/>
                      <w:szCs w:val="21"/>
                      <w:u w:val="single"/>
                      <w:lang w:eastAsia="zh-CN"/>
                    </w:rPr>
                  </w:pPr>
                  <w:r>
                    <w:rPr>
                      <w:rFonts w:hint="eastAsia" w:ascii="Times New Roman" w:hAnsi="Times New Roman" w:cs="Times New Roman"/>
                      <w:b/>
                      <w:bCs/>
                      <w:color w:val="auto"/>
                      <w:sz w:val="21"/>
                      <w:szCs w:val="21"/>
                      <w:u w:val="single"/>
                      <w:lang w:eastAsia="zh-CN"/>
                    </w:rPr>
                    <w:t>5.燃料消耗记录；</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cs="Times New Roman"/>
                      <w:b/>
                      <w:bCs/>
                      <w:color w:val="auto"/>
                      <w:sz w:val="21"/>
                      <w:szCs w:val="21"/>
                      <w:u w:val="single"/>
                      <w:lang w:eastAsia="zh-CN"/>
                    </w:rPr>
                  </w:pPr>
                  <w:r>
                    <w:rPr>
                      <w:rFonts w:hint="eastAsia" w:ascii="Times New Roman" w:hAnsi="Times New Roman" w:cs="Times New Roman"/>
                      <w:b/>
                      <w:bCs/>
                      <w:color w:val="auto"/>
                      <w:sz w:val="21"/>
                      <w:szCs w:val="21"/>
                      <w:u w:val="single"/>
                      <w:lang w:eastAsia="zh-CN"/>
                    </w:rPr>
                    <w:t>6.固废、危废处理记录。</w:t>
                  </w:r>
                </w:p>
              </w:tc>
              <w:tc>
                <w:tcPr>
                  <w:tcW w:w="3008"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bCs/>
                      <w:color w:val="auto"/>
                      <w:sz w:val="21"/>
                      <w:szCs w:val="21"/>
                      <w:u w:val="singl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 w:hRule="atLeast"/>
                <w:tblHeader/>
                <w:jc w:val="center"/>
              </w:trPr>
              <w:tc>
                <w:tcPr>
                  <w:tcW w:w="427"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single"/>
                    </w:rPr>
                  </w:pPr>
                </w:p>
              </w:tc>
              <w:tc>
                <w:tcPr>
                  <w:tcW w:w="427"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bCs/>
                      <w:color w:val="auto"/>
                      <w:sz w:val="21"/>
                      <w:szCs w:val="21"/>
                      <w:u w:val="single"/>
                      <w:lang w:eastAsia="zh-CN"/>
                    </w:rPr>
                  </w:pPr>
                  <w:r>
                    <w:rPr>
                      <w:rFonts w:hint="eastAsia" w:ascii="Times New Roman" w:hAnsi="Times New Roman" w:cs="Times New Roman"/>
                      <w:b/>
                      <w:bCs/>
                      <w:color w:val="auto"/>
                      <w:sz w:val="21"/>
                      <w:szCs w:val="21"/>
                      <w:u w:val="single"/>
                      <w:lang w:eastAsia="zh-CN"/>
                    </w:rPr>
                    <w:t>人员配置</w:t>
                  </w:r>
                </w:p>
              </w:tc>
              <w:tc>
                <w:tcPr>
                  <w:tcW w:w="322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设置环保部门，配备专职环保人员，并具备相应的环境管理能力（学历、培训、从业经验等）。</w:t>
                  </w:r>
                </w:p>
              </w:tc>
              <w:tc>
                <w:tcPr>
                  <w:tcW w:w="3008"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bCs/>
                      <w:color w:val="auto"/>
                      <w:sz w:val="21"/>
                      <w:szCs w:val="21"/>
                      <w:u w:val="singl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 w:hRule="atLeast"/>
                <w:tblHeader/>
                <w:jc w:val="center"/>
              </w:trPr>
              <w:tc>
                <w:tcPr>
                  <w:tcW w:w="854"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bCs/>
                      <w:color w:val="auto"/>
                      <w:sz w:val="21"/>
                      <w:szCs w:val="21"/>
                      <w:u w:val="single"/>
                      <w:lang w:eastAsia="zh-CN"/>
                    </w:rPr>
                  </w:pPr>
                  <w:r>
                    <w:rPr>
                      <w:rFonts w:hint="eastAsia" w:ascii="Times New Roman" w:hAnsi="Times New Roman" w:cs="Times New Roman"/>
                      <w:b/>
                      <w:bCs/>
                      <w:color w:val="auto"/>
                      <w:sz w:val="21"/>
                      <w:szCs w:val="21"/>
                      <w:u w:val="single"/>
                      <w:lang w:eastAsia="zh-CN"/>
                    </w:rPr>
                    <w:t>运输方式</w:t>
                  </w:r>
                </w:p>
              </w:tc>
              <w:tc>
                <w:tcPr>
                  <w:tcW w:w="322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1物料、产品公路运输全部使用国五及以上排放标准的重型载货车辆（不含国五重型燃气车辆）或新能源车辆；</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2.厂区车辆全部达国五及以上排放标准（不含国五重型燃气车辆）使用新能源车辆；</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3.厂内非道路移动机械达到国三及以上排放标准或使用新能源机械。</w:t>
                  </w:r>
                </w:p>
              </w:tc>
              <w:tc>
                <w:tcPr>
                  <w:tcW w:w="300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rPr>
                    <w:t>本项目运输采用</w:t>
                  </w:r>
                  <w:r>
                    <w:rPr>
                      <w:rFonts w:hint="default" w:ascii="Times New Roman" w:hAnsi="Times New Roman" w:eastAsia="宋体" w:cs="Times New Roman"/>
                      <w:b/>
                      <w:bCs/>
                      <w:color w:val="auto"/>
                      <w:sz w:val="21"/>
                      <w:szCs w:val="21"/>
                      <w:u w:val="single"/>
                    </w:rPr>
                    <w:t>达到国五及以上排放标准车辆</w:t>
                  </w:r>
                  <w:r>
                    <w:rPr>
                      <w:rFonts w:hint="eastAsia" w:ascii="Times New Roman" w:hAnsi="Times New Roman" w:cs="Times New Roman"/>
                      <w:b/>
                      <w:bCs/>
                      <w:color w:val="auto"/>
                      <w:sz w:val="21"/>
                      <w:szCs w:val="21"/>
                      <w:u w:val="single"/>
                      <w:lang w:eastAsia="zh-CN"/>
                    </w:rPr>
                    <w:t>，厂内运输采用国三及以上排放标准机械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 w:hRule="atLeast"/>
                <w:tblHeader/>
                <w:jc w:val="center"/>
              </w:trPr>
              <w:tc>
                <w:tcPr>
                  <w:tcW w:w="854"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bCs/>
                      <w:color w:val="auto"/>
                      <w:sz w:val="21"/>
                      <w:szCs w:val="21"/>
                      <w:u w:val="single"/>
                      <w:lang w:eastAsia="zh-CN"/>
                    </w:rPr>
                  </w:pPr>
                  <w:r>
                    <w:rPr>
                      <w:rFonts w:hint="eastAsia" w:ascii="Times New Roman" w:hAnsi="Times New Roman" w:cs="Times New Roman"/>
                      <w:b/>
                      <w:bCs/>
                      <w:color w:val="auto"/>
                      <w:sz w:val="21"/>
                      <w:szCs w:val="21"/>
                      <w:u w:val="single"/>
                      <w:lang w:eastAsia="zh-CN"/>
                    </w:rPr>
                    <w:t>运输监管</w:t>
                  </w:r>
                </w:p>
              </w:tc>
              <w:tc>
                <w:tcPr>
                  <w:tcW w:w="322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日均进出货物150吨（或载货车辆日进出10辆次）及以上（货物包括原料、辅料、燃料、产品和其他与生产相关物料）的企业，或纳入我省重点行业年产值1000万及以上的企业，应参照《重污染天气重点行业移动源应急管理技术指南》建立门禁视频监控系统和电子台账；其他企业建立门禁视频监控系统和台账，其他企业建立电子台账。</w:t>
                  </w:r>
                </w:p>
              </w:tc>
              <w:tc>
                <w:tcPr>
                  <w:tcW w:w="3008"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rPr>
                    <w:t>厂区大门设置有门禁，本项目设置电子台账</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color w:val="auto"/>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32"/>
                <w:vertAlign w:val="baseline"/>
                <w:lang w:val="en-US" w:eastAsia="zh-CN"/>
              </w:rPr>
            </w:pPr>
          </w:p>
        </w:tc>
      </w:tr>
    </w:tbl>
    <w:p>
      <w:pPr>
        <w:jc w:val="center"/>
        <w:rPr>
          <w:rFonts w:hint="eastAsia" w:ascii="黑体" w:hAnsi="黑体" w:eastAsia="黑体" w:cs="黑体"/>
          <w:color w:val="auto"/>
          <w:sz w:val="28"/>
          <w:szCs w:val="36"/>
          <w:lang w:val="en-US" w:eastAsia="zh-CN"/>
        </w:rPr>
        <w:sectPr>
          <w:footerReference r:id="rId3" w:type="default"/>
          <w:pgSz w:w="11906" w:h="16838"/>
          <w:pgMar w:top="1440" w:right="1800" w:bottom="1440" w:left="1800" w:header="851" w:footer="992" w:gutter="0"/>
          <w:pgNumType w:fmt="decimal" w:start="1"/>
          <w:cols w:space="720" w:num="1"/>
          <w:docGrid w:type="lines" w:linePitch="312" w:charSpace="0"/>
        </w:sectPr>
      </w:pPr>
    </w:p>
    <w:p>
      <w:pPr>
        <w:jc w:val="center"/>
        <w:rPr>
          <w:rFonts w:hint="eastAsia" w:ascii="黑体" w:hAnsi="黑体" w:eastAsia="黑体" w:cs="黑体"/>
          <w:color w:val="auto"/>
          <w:sz w:val="28"/>
          <w:szCs w:val="36"/>
          <w:lang w:val="en-US" w:eastAsia="zh-CN"/>
        </w:rPr>
      </w:pPr>
      <w:r>
        <w:rPr>
          <w:rFonts w:hint="eastAsia" w:ascii="黑体" w:hAnsi="黑体" w:eastAsia="黑体" w:cs="黑体"/>
          <w:color w:val="auto"/>
          <w:sz w:val="28"/>
          <w:szCs w:val="36"/>
          <w:lang w:val="en-US" w:eastAsia="zh-CN"/>
        </w:rPr>
        <w:t>二、建设项目工程分析</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建设内容</w:t>
            </w:r>
          </w:p>
        </w:tc>
        <w:tc>
          <w:tcPr>
            <w:tcW w:w="7944" w:type="dxa"/>
            <w:noWrap w:val="0"/>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1、项目概况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val="0"/>
                <w:bCs/>
                <w:color w:val="auto"/>
                <w:kern w:val="0"/>
                <w:sz w:val="24"/>
              </w:rPr>
            </w:pPr>
            <w:r>
              <w:rPr>
                <w:rFonts w:hint="default" w:ascii="Times New Roman" w:hAnsi="Times New Roman" w:eastAsia="宋体" w:cs="Times New Roman"/>
                <w:color w:val="auto"/>
                <w:sz w:val="24"/>
                <w:szCs w:val="32"/>
                <w:vertAlign w:val="baseline"/>
                <w:lang w:val="en-US" w:eastAsia="zh-CN"/>
              </w:rPr>
              <w:t>（1）</w:t>
            </w:r>
            <w:r>
              <w:rPr>
                <w:rFonts w:hint="default" w:ascii="Times New Roman" w:hAnsi="Times New Roman" w:eastAsia="宋体" w:cs="Times New Roman"/>
                <w:b w:val="0"/>
                <w:bCs/>
                <w:color w:val="auto"/>
                <w:kern w:val="0"/>
                <w:sz w:val="24"/>
              </w:rPr>
              <w:t>项目内容和规模</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本项目位于永城市产业集聚区南外环与芒砀路南段交叉口，位于永城市产业集聚区内，项目为扩建项目，在现有厂区内新建厂房，项目新增建筑面积约7000m</w:t>
            </w:r>
            <w:r>
              <w:rPr>
                <w:rFonts w:hint="eastAsia" w:ascii="Times New Roman" w:hAnsi="Times New Roman" w:cs="Times New Roman"/>
                <w:color w:val="auto"/>
                <w:sz w:val="24"/>
                <w:szCs w:val="32"/>
                <w:vertAlign w:val="superscript"/>
                <w:lang w:val="en-US" w:eastAsia="zh-CN"/>
              </w:rPr>
              <w:t>2</w:t>
            </w:r>
            <w:r>
              <w:rPr>
                <w:rFonts w:hint="eastAsia" w:ascii="Times New Roman" w:hAnsi="Times New Roman" w:cs="Times New Roman"/>
                <w:color w:val="auto"/>
                <w:sz w:val="24"/>
                <w:szCs w:val="32"/>
                <w:vertAlign w:val="baseline"/>
                <w:lang w:val="en-US" w:eastAsia="zh-CN"/>
              </w:rPr>
              <w:t>，项目建成后可年产10000吨水溶肥。</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本项目</w:t>
            </w:r>
            <w:r>
              <w:rPr>
                <w:rFonts w:hint="default" w:ascii="Times New Roman" w:hAnsi="Times New Roman" w:eastAsia="宋体" w:cs="Times New Roman"/>
                <w:color w:val="auto"/>
                <w:sz w:val="24"/>
                <w:szCs w:val="32"/>
                <w:vertAlign w:val="baseline"/>
                <w:lang w:val="en-US" w:eastAsia="zh-CN"/>
              </w:rPr>
              <w:t>主要建设内容见表2-1。</w:t>
            </w:r>
          </w:p>
          <w:p>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bCs/>
                <w:color w:val="auto"/>
                <w:sz w:val="21"/>
                <w:szCs w:val="24"/>
                <w:vertAlign w:val="baseline"/>
                <w:lang w:val="en-US" w:eastAsia="zh-CN"/>
              </w:rPr>
            </w:pPr>
            <w:r>
              <w:rPr>
                <w:rFonts w:hint="default" w:ascii="Times New Roman" w:hAnsi="Times New Roman" w:eastAsia="宋体" w:cs="Times New Roman"/>
                <w:b/>
                <w:bCs/>
                <w:color w:val="auto"/>
                <w:sz w:val="21"/>
                <w:szCs w:val="24"/>
                <w:vertAlign w:val="baseline"/>
                <w:lang w:val="en-US" w:eastAsia="zh-CN"/>
              </w:rPr>
              <w:t>表2-1  建设内容一览表</w:t>
            </w:r>
          </w:p>
          <w:tbl>
            <w:tblPr>
              <w:tblStyle w:val="15"/>
              <w:tblW w:w="7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715"/>
              <w:gridCol w:w="801"/>
              <w:gridCol w:w="3431"/>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06"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4"/>
                      <w:vertAlign w:val="baseline"/>
                      <w:lang w:val="en-US" w:eastAsia="zh-CN"/>
                    </w:rPr>
                  </w:pPr>
                  <w:r>
                    <w:rPr>
                      <w:rFonts w:hint="eastAsia" w:ascii="Times New Roman" w:hAnsi="Times New Roman" w:cs="Times New Roman"/>
                      <w:b/>
                      <w:bCs/>
                      <w:color w:val="auto"/>
                      <w:sz w:val="21"/>
                      <w:szCs w:val="24"/>
                      <w:vertAlign w:val="baseline"/>
                      <w:lang w:val="en-US" w:eastAsia="zh-CN"/>
                    </w:rPr>
                    <w:t>序号</w:t>
                  </w:r>
                </w:p>
              </w:tc>
              <w:tc>
                <w:tcPr>
                  <w:tcW w:w="71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4"/>
                      <w:vertAlign w:val="baseline"/>
                      <w:lang w:val="en-US" w:eastAsia="zh-CN"/>
                    </w:rPr>
                  </w:pPr>
                  <w:r>
                    <w:rPr>
                      <w:rFonts w:hint="eastAsia" w:ascii="Times New Roman" w:hAnsi="Times New Roman" w:cs="Times New Roman"/>
                      <w:b/>
                      <w:bCs/>
                      <w:color w:val="auto"/>
                      <w:sz w:val="21"/>
                      <w:szCs w:val="24"/>
                      <w:vertAlign w:val="baseline"/>
                      <w:lang w:val="en-US" w:eastAsia="zh-CN"/>
                    </w:rPr>
                    <w:t>项目</w:t>
                  </w:r>
                </w:p>
              </w:tc>
              <w:tc>
                <w:tcPr>
                  <w:tcW w:w="801"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4"/>
                      <w:vertAlign w:val="baseline"/>
                      <w:lang w:val="en-US" w:eastAsia="zh-CN"/>
                    </w:rPr>
                  </w:pPr>
                  <w:r>
                    <w:rPr>
                      <w:rFonts w:hint="eastAsia" w:ascii="Times New Roman" w:hAnsi="Times New Roman" w:cs="Times New Roman"/>
                      <w:b/>
                      <w:bCs/>
                      <w:color w:val="auto"/>
                      <w:sz w:val="21"/>
                      <w:szCs w:val="24"/>
                      <w:vertAlign w:val="baseline"/>
                      <w:lang w:val="en-US" w:eastAsia="zh-CN"/>
                    </w:rPr>
                    <w:t>名称</w:t>
                  </w:r>
                </w:p>
              </w:tc>
              <w:tc>
                <w:tcPr>
                  <w:tcW w:w="3431"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4"/>
                      <w:vertAlign w:val="baseline"/>
                      <w:lang w:val="en-US" w:eastAsia="zh-CN"/>
                    </w:rPr>
                  </w:pPr>
                  <w:r>
                    <w:rPr>
                      <w:rFonts w:hint="eastAsia" w:ascii="Times New Roman" w:hAnsi="Times New Roman" w:cs="Times New Roman"/>
                      <w:b/>
                      <w:bCs/>
                      <w:color w:val="auto"/>
                      <w:sz w:val="21"/>
                      <w:szCs w:val="24"/>
                      <w:vertAlign w:val="baseline"/>
                      <w:lang w:val="en-US" w:eastAsia="zh-CN"/>
                    </w:rPr>
                    <w:t>建筑面积</w:t>
                  </w:r>
                </w:p>
              </w:tc>
              <w:tc>
                <w:tcPr>
                  <w:tcW w:w="2162"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4"/>
                      <w:vertAlign w:val="baseline"/>
                      <w:lang w:val="en-US" w:eastAsia="zh-CN"/>
                    </w:rPr>
                  </w:pPr>
                  <w:r>
                    <w:rPr>
                      <w:rFonts w:hint="eastAsia" w:ascii="Times New Roman" w:hAnsi="Times New Roman" w:cs="Times New Roman"/>
                      <w:b/>
                      <w:bCs/>
                      <w:color w:val="auto"/>
                      <w:sz w:val="21"/>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606"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1</w:t>
                  </w:r>
                </w:p>
              </w:tc>
              <w:tc>
                <w:tcPr>
                  <w:tcW w:w="71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主体工程</w:t>
                  </w:r>
                </w:p>
              </w:tc>
              <w:tc>
                <w:tcPr>
                  <w:tcW w:w="801"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生产车间</w:t>
                  </w:r>
                </w:p>
              </w:tc>
              <w:tc>
                <w:tcPr>
                  <w:tcW w:w="3431"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7000m</w:t>
                  </w:r>
                  <w:r>
                    <w:rPr>
                      <w:rFonts w:hint="eastAsia" w:ascii="Times New Roman" w:hAnsi="Times New Roman" w:cs="Times New Roman"/>
                      <w:b w:val="0"/>
                      <w:bCs w:val="0"/>
                      <w:color w:val="auto"/>
                      <w:sz w:val="21"/>
                      <w:szCs w:val="24"/>
                      <w:vertAlign w:val="superscript"/>
                      <w:lang w:val="en-US" w:eastAsia="zh-CN"/>
                    </w:rPr>
                    <w:t>2</w:t>
                  </w:r>
                </w:p>
              </w:tc>
              <w:tc>
                <w:tcPr>
                  <w:tcW w:w="2162"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1层，钢结构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2</w:t>
                  </w:r>
                </w:p>
              </w:tc>
              <w:tc>
                <w:tcPr>
                  <w:tcW w:w="71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辅助工程</w:t>
                  </w:r>
                </w:p>
              </w:tc>
              <w:tc>
                <w:tcPr>
                  <w:tcW w:w="801"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办公室</w:t>
                  </w:r>
                </w:p>
              </w:tc>
              <w:tc>
                <w:tcPr>
                  <w:tcW w:w="5593"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依托现有办公楼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606"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3</w:t>
                  </w:r>
                </w:p>
              </w:tc>
              <w:tc>
                <w:tcPr>
                  <w:tcW w:w="71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公用工程</w:t>
                  </w:r>
                </w:p>
              </w:tc>
              <w:tc>
                <w:tcPr>
                  <w:tcW w:w="801"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供水</w:t>
                  </w:r>
                </w:p>
              </w:tc>
              <w:tc>
                <w:tcPr>
                  <w:tcW w:w="5593"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市政供水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trPr>
              <w:tc>
                <w:tcPr>
                  <w:tcW w:w="60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b w:val="0"/>
                      <w:bCs w:val="0"/>
                      <w:color w:val="auto"/>
                      <w:sz w:val="21"/>
                      <w:szCs w:val="24"/>
                      <w:vertAlign w:val="baseline"/>
                      <w:lang w:val="en-US" w:eastAsia="zh-CN"/>
                    </w:rPr>
                  </w:pPr>
                </w:p>
              </w:tc>
              <w:tc>
                <w:tcPr>
                  <w:tcW w:w="71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p>
              </w:tc>
              <w:tc>
                <w:tcPr>
                  <w:tcW w:w="801"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排水</w:t>
                  </w:r>
                </w:p>
              </w:tc>
              <w:tc>
                <w:tcPr>
                  <w:tcW w:w="5593"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b w:val="0"/>
                      <w:bCs w:val="0"/>
                      <w:color w:val="auto"/>
                      <w:sz w:val="21"/>
                      <w:szCs w:val="21"/>
                      <w:vertAlign w:val="baseline"/>
                      <w:lang w:val="en-US" w:eastAsia="zh-CN"/>
                    </w:rPr>
                    <w:t>本项目无新增生活污水，设备清洗水回用于生产，生产过程添加水，部分以水蒸气形式损失，部分随产品带走，因此本项目无废水外排。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60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b w:val="0"/>
                      <w:bCs w:val="0"/>
                      <w:color w:val="auto"/>
                      <w:sz w:val="21"/>
                      <w:szCs w:val="24"/>
                      <w:vertAlign w:val="baseline"/>
                      <w:lang w:val="en-US" w:eastAsia="zh-CN"/>
                    </w:rPr>
                  </w:pPr>
                </w:p>
              </w:tc>
              <w:tc>
                <w:tcPr>
                  <w:tcW w:w="71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p>
              </w:tc>
              <w:tc>
                <w:tcPr>
                  <w:tcW w:w="801"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供电</w:t>
                  </w:r>
                </w:p>
              </w:tc>
              <w:tc>
                <w:tcPr>
                  <w:tcW w:w="5593"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市政供电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606"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4</w:t>
                  </w:r>
                </w:p>
              </w:tc>
              <w:tc>
                <w:tcPr>
                  <w:tcW w:w="71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环保工程</w:t>
                  </w:r>
                </w:p>
              </w:tc>
              <w:tc>
                <w:tcPr>
                  <w:tcW w:w="801"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废气</w:t>
                  </w:r>
                </w:p>
              </w:tc>
              <w:tc>
                <w:tcPr>
                  <w:tcW w:w="5593"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投料混合粉尘：集气装置</w:t>
                  </w:r>
                  <w:r>
                    <w:rPr>
                      <w:rFonts w:hint="eastAsia" w:ascii="Times New Roman" w:hAnsi="Times New Roman" w:cs="Times New Roman"/>
                      <w:color w:val="auto"/>
                      <w:sz w:val="21"/>
                      <w:szCs w:val="21"/>
                      <w:lang w:val="en-US" w:eastAsia="zh-CN"/>
                    </w:rPr>
                    <w:t>+袋式除尘器+15m高排气筒（1#）；</w:t>
                  </w:r>
                </w:p>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color w:val="auto"/>
                      <w:sz w:val="21"/>
                      <w:szCs w:val="21"/>
                      <w:lang w:val="en-US" w:eastAsia="zh-CN"/>
                    </w:rPr>
                    <w:t>烘干粉尘：自带袋式除尘器+15m高排气筒</w:t>
                  </w:r>
                  <w:r>
                    <w:rPr>
                      <w:rFonts w:hint="eastAsia"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60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b w:val="0"/>
                      <w:bCs w:val="0"/>
                      <w:color w:val="auto"/>
                      <w:sz w:val="21"/>
                      <w:szCs w:val="24"/>
                      <w:vertAlign w:val="baseline"/>
                      <w:lang w:val="en-US" w:eastAsia="zh-CN"/>
                    </w:rPr>
                  </w:pPr>
                </w:p>
              </w:tc>
              <w:tc>
                <w:tcPr>
                  <w:tcW w:w="71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p>
              </w:tc>
              <w:tc>
                <w:tcPr>
                  <w:tcW w:w="801"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废水</w:t>
                  </w:r>
                </w:p>
              </w:tc>
              <w:tc>
                <w:tcPr>
                  <w:tcW w:w="5593" w:type="dxa"/>
                  <w:gridSpan w:val="2"/>
                  <w:vAlign w:val="center"/>
                </w:tcPr>
                <w:p>
                  <w:pPr>
                    <w:rPr>
                      <w:rFonts w:hint="default" w:ascii="Times New Roman" w:hAnsi="Times New Roman" w:eastAsia="宋体" w:cs="Times New Roman"/>
                      <w:b w:val="0"/>
                      <w:bCs w:val="0"/>
                      <w:color w:val="auto"/>
                      <w:sz w:val="21"/>
                      <w:szCs w:val="24"/>
                      <w:vertAlign w:val="baseline"/>
                      <w:lang w:val="en-US" w:eastAsia="zh-CN"/>
                    </w:rPr>
                  </w:pPr>
                  <w:r>
                    <w:rPr>
                      <w:rFonts w:hint="eastAsia"/>
                      <w:b w:val="0"/>
                      <w:bCs w:val="0"/>
                      <w:color w:val="auto"/>
                      <w:sz w:val="21"/>
                      <w:szCs w:val="21"/>
                      <w:u w:val="none"/>
                      <w:lang w:val="en-US" w:eastAsia="zh-CN"/>
                    </w:rPr>
                    <w:t>本项目无新增生活污水，设备清洗水回用于生产，生产过程添加水，部分以水蒸气形式损失，部分随产品带走，因此本项目无废水外排。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60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b w:val="0"/>
                      <w:bCs w:val="0"/>
                      <w:color w:val="auto"/>
                      <w:sz w:val="21"/>
                      <w:szCs w:val="24"/>
                      <w:vertAlign w:val="baseline"/>
                      <w:lang w:val="en-US" w:eastAsia="zh-CN"/>
                    </w:rPr>
                  </w:pPr>
                </w:p>
              </w:tc>
              <w:tc>
                <w:tcPr>
                  <w:tcW w:w="71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p>
              </w:tc>
              <w:tc>
                <w:tcPr>
                  <w:tcW w:w="801"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噪声</w:t>
                  </w:r>
                </w:p>
              </w:tc>
              <w:tc>
                <w:tcPr>
                  <w:tcW w:w="5593"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基础减震、厂房隔声、距离衰减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60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b w:val="0"/>
                      <w:bCs w:val="0"/>
                      <w:color w:val="auto"/>
                      <w:sz w:val="21"/>
                      <w:szCs w:val="24"/>
                      <w:vertAlign w:val="baseline"/>
                      <w:lang w:val="en-US" w:eastAsia="zh-CN"/>
                    </w:rPr>
                  </w:pPr>
                </w:p>
              </w:tc>
              <w:tc>
                <w:tcPr>
                  <w:tcW w:w="71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p>
              </w:tc>
              <w:tc>
                <w:tcPr>
                  <w:tcW w:w="801"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固废</w:t>
                  </w:r>
                </w:p>
              </w:tc>
              <w:tc>
                <w:tcPr>
                  <w:tcW w:w="5593"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default" w:ascii="Times New Roman" w:hAnsi="Times New Roman" w:eastAsia="宋体" w:cs="Times New Roman"/>
                      <w:color w:val="auto"/>
                      <w:sz w:val="21"/>
                      <w:szCs w:val="21"/>
                      <w:lang w:val="zh-CN"/>
                    </w:rPr>
                    <w:t>除尘器收集粉尘中投料、混合粉尘收集后回用于生产，烘干粉尘收集后作为产品外售；废包装袋收集后外售；废包装桶经收集后由厂家回收利用。</w:t>
                  </w:r>
                </w:p>
              </w:tc>
            </w:tr>
          </w:tbl>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color w:val="auto"/>
                <w:kern w:val="0"/>
                <w:sz w:val="24"/>
              </w:rPr>
            </w:pPr>
            <w:r>
              <w:rPr>
                <w:rFonts w:hint="default" w:ascii="Times New Roman" w:hAnsi="Times New Roman" w:eastAsia="宋体" w:cs="Times New Roman"/>
                <w:color w:val="auto"/>
                <w:sz w:val="24"/>
                <w:szCs w:val="32"/>
                <w:vertAlign w:val="baseline"/>
                <w:lang w:val="en-US" w:eastAsia="zh-CN"/>
              </w:rPr>
              <w:t>（2）</w:t>
            </w:r>
            <w:r>
              <w:rPr>
                <w:rFonts w:hint="default" w:ascii="Times New Roman" w:hAnsi="Times New Roman" w:eastAsia="宋体" w:cs="Times New Roman"/>
                <w:b w:val="0"/>
                <w:bCs/>
                <w:color w:val="auto"/>
                <w:kern w:val="0"/>
                <w:sz w:val="24"/>
              </w:rPr>
              <w:t>产品方案及规模</w:t>
            </w:r>
          </w:p>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w:t>
            </w:r>
            <w:r>
              <w:rPr>
                <w:rFonts w:hint="default" w:ascii="Times New Roman" w:hAnsi="Times New Roman" w:eastAsia="宋体" w:cs="Times New Roman"/>
                <w:b/>
                <w:color w:val="auto"/>
                <w:sz w:val="21"/>
                <w:szCs w:val="21"/>
                <w:lang w:val="en-US" w:eastAsia="zh-CN"/>
              </w:rPr>
              <w:t>2-2</w:t>
            </w:r>
            <w:r>
              <w:rPr>
                <w:rFonts w:hint="default" w:ascii="Times New Roman" w:hAnsi="Times New Roman" w:eastAsia="宋体" w:cs="Times New Roman"/>
                <w:b/>
                <w:color w:val="auto"/>
                <w:sz w:val="21"/>
                <w:szCs w:val="21"/>
              </w:rPr>
              <w:t xml:space="preserve">  产品方案及规模一览表</w:t>
            </w:r>
          </w:p>
          <w:tbl>
            <w:tblPr>
              <w:tblStyle w:val="14"/>
              <w:tblW w:w="7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2136"/>
              <w:gridCol w:w="4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144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产品名称</w:t>
                  </w:r>
                </w:p>
              </w:tc>
              <w:tc>
                <w:tcPr>
                  <w:tcW w:w="213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产量</w:t>
                  </w:r>
                </w:p>
              </w:tc>
              <w:tc>
                <w:tcPr>
                  <w:tcW w:w="413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449" w:type="dxa"/>
                  <w:noWrap w:val="0"/>
                  <w:vAlign w:val="center"/>
                </w:tcPr>
                <w:p>
                  <w:pPr>
                    <w:keepNext w:val="0"/>
                    <w:keepLines w:val="0"/>
                    <w:pageBreakBefore w:val="0"/>
                    <w:widowControl w:val="0"/>
                    <w:numPr>
                      <w:ilvl w:val="0"/>
                      <w:numId w:val="0"/>
                    </w:numPr>
                    <w:kinsoku/>
                    <w:wordWrap/>
                    <w:overflowPunct/>
                    <w:topLinePunct w:val="0"/>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固态水溶肥</w:t>
                  </w:r>
                </w:p>
              </w:tc>
              <w:tc>
                <w:tcPr>
                  <w:tcW w:w="2136" w:type="dxa"/>
                  <w:noWrap w:val="0"/>
                  <w:vAlign w:val="center"/>
                </w:tcPr>
                <w:p>
                  <w:pPr>
                    <w:keepNext w:val="0"/>
                    <w:keepLines w:val="0"/>
                    <w:pageBreakBefore w:val="0"/>
                    <w:widowControl w:val="0"/>
                    <w:numPr>
                      <w:ilvl w:val="0"/>
                      <w:numId w:val="0"/>
                    </w:numPr>
                    <w:kinsoku/>
                    <w:wordWrap/>
                    <w:overflowPunct/>
                    <w:topLinePunct w:val="0"/>
                    <w:bidi w:val="0"/>
                    <w:adjustRightInd/>
                    <w:snapToGrid/>
                    <w:spacing w:line="360" w:lineRule="exact"/>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7000t/a</w:t>
                  </w:r>
                </w:p>
              </w:tc>
              <w:tc>
                <w:tcPr>
                  <w:tcW w:w="4130" w:type="dxa"/>
                  <w:noWrap w:val="0"/>
                  <w:vAlign w:val="center"/>
                </w:tcPr>
                <w:p>
                  <w:pPr>
                    <w:keepNext w:val="0"/>
                    <w:keepLines w:val="0"/>
                    <w:pageBreakBefore w:val="0"/>
                    <w:widowControl w:val="0"/>
                    <w:numPr>
                      <w:ilvl w:val="0"/>
                      <w:numId w:val="0"/>
                    </w:numPr>
                    <w:kinsoku/>
                    <w:wordWrap/>
                    <w:overflowPunct/>
                    <w:topLinePunct w:val="0"/>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执行《大量元素水溶肥料》（NY1107-2010）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1449" w:type="dxa"/>
                  <w:noWrap w:val="0"/>
                  <w:vAlign w:val="center"/>
                </w:tcPr>
                <w:p>
                  <w:pPr>
                    <w:keepNext w:val="0"/>
                    <w:keepLines w:val="0"/>
                    <w:pageBreakBefore w:val="0"/>
                    <w:widowControl w:val="0"/>
                    <w:numPr>
                      <w:ilvl w:val="0"/>
                      <w:numId w:val="0"/>
                    </w:numPr>
                    <w:kinsoku/>
                    <w:wordWrap/>
                    <w:overflowPunct/>
                    <w:topLinePunct w:val="0"/>
                    <w:bidi w:val="0"/>
                    <w:adjustRightInd/>
                    <w:snapToGrid/>
                    <w:spacing w:line="360" w:lineRule="exact"/>
                    <w:ind w:left="0" w:leftChars="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液态水溶肥</w:t>
                  </w:r>
                </w:p>
              </w:tc>
              <w:tc>
                <w:tcPr>
                  <w:tcW w:w="2136" w:type="dxa"/>
                  <w:noWrap w:val="0"/>
                  <w:vAlign w:val="center"/>
                </w:tcPr>
                <w:p>
                  <w:pPr>
                    <w:keepNext w:val="0"/>
                    <w:keepLines w:val="0"/>
                    <w:pageBreakBefore w:val="0"/>
                    <w:widowControl w:val="0"/>
                    <w:numPr>
                      <w:ilvl w:val="0"/>
                      <w:numId w:val="0"/>
                    </w:numPr>
                    <w:kinsoku/>
                    <w:wordWrap/>
                    <w:overflowPunct/>
                    <w:topLinePunct w:val="0"/>
                    <w:bidi w:val="0"/>
                    <w:adjustRightInd/>
                    <w:snapToGrid/>
                    <w:spacing w:line="360" w:lineRule="exact"/>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3000t/a</w:t>
                  </w:r>
                </w:p>
              </w:tc>
              <w:tc>
                <w:tcPr>
                  <w:tcW w:w="4130" w:type="dxa"/>
                  <w:noWrap w:val="0"/>
                  <w:vAlign w:val="center"/>
                </w:tcPr>
                <w:p>
                  <w:pPr>
                    <w:keepNext w:val="0"/>
                    <w:keepLines w:val="0"/>
                    <w:pageBreakBefore w:val="0"/>
                    <w:widowControl w:val="0"/>
                    <w:numPr>
                      <w:ilvl w:val="0"/>
                      <w:numId w:val="0"/>
                    </w:numPr>
                    <w:kinsoku/>
                    <w:wordWrap/>
                    <w:overflowPunct/>
                    <w:topLinePunct w:val="0"/>
                    <w:bidi w:val="0"/>
                    <w:adjustRightInd/>
                    <w:snapToGrid/>
                    <w:spacing w:line="360" w:lineRule="exact"/>
                    <w:ind w:left="0" w:leftChars="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执行《含腐殖酸水溶肥料》（NY1106-2010）</w:t>
                  </w:r>
                </w:p>
              </w:tc>
            </w:tr>
          </w:tbl>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（3）主要生产设备</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主要生产设备见下表。</w:t>
            </w:r>
          </w:p>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z w:val="21"/>
                <w:szCs w:val="21"/>
                <w:lang w:val="en-US" w:eastAsia="zh-CN"/>
              </w:rPr>
              <w:t>2-3</w:t>
            </w:r>
            <w:r>
              <w:rPr>
                <w:rFonts w:hint="default" w:ascii="Times New Roman" w:hAnsi="Times New Roman" w:eastAsia="宋体" w:cs="Times New Roman"/>
                <w:b/>
                <w:bCs/>
                <w:color w:val="auto"/>
                <w:sz w:val="21"/>
                <w:szCs w:val="21"/>
              </w:rPr>
              <w:t xml:space="preserve">  主要生产设备一览表</w:t>
            </w:r>
          </w:p>
          <w:tbl>
            <w:tblPr>
              <w:tblStyle w:val="14"/>
              <w:tblW w:w="7715"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2"/>
              <w:gridCol w:w="2880"/>
              <w:gridCol w:w="2322"/>
              <w:gridCol w:w="187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28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设备名称</w:t>
                  </w:r>
                </w:p>
              </w:tc>
              <w:tc>
                <w:tcPr>
                  <w:tcW w:w="23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规格</w:t>
                  </w:r>
                  <w:r>
                    <w:rPr>
                      <w:rFonts w:hint="eastAsia" w:ascii="Times New Roman" w:hAnsi="Times New Roman" w:eastAsia="宋体" w:cs="Times New Roman"/>
                      <w:color w:val="auto"/>
                      <w:sz w:val="21"/>
                      <w:szCs w:val="21"/>
                      <w:lang w:eastAsia="zh-CN"/>
                    </w:rPr>
                    <w:t>型号</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数</w:t>
                  </w:r>
                  <w:r>
                    <w:rPr>
                      <w:rFonts w:hint="eastAsia" w:ascii="Times New Roman" w:hAnsi="Times New Roman" w:eastAsia="宋体" w:cs="Times New Roman"/>
                      <w:color w:val="auto"/>
                      <w:sz w:val="21"/>
                      <w:szCs w:val="21"/>
                      <w:lang w:eastAsia="zh-CN"/>
                    </w:rPr>
                    <w:t>量（台</w:t>
                  </w:r>
                  <w:r>
                    <w:rPr>
                      <w:rFonts w:hint="eastAsia" w:ascii="Times New Roman" w:hAnsi="Times New Roman" w:eastAsia="宋体" w:cs="Times New Roman"/>
                      <w:color w:val="auto"/>
                      <w:sz w:val="21"/>
                      <w:szCs w:val="21"/>
                      <w:lang w:val="en-US" w:eastAsia="zh-CN"/>
                    </w:rPr>
                    <w:t>/套</w:t>
                  </w:r>
                  <w:r>
                    <w:rPr>
                      <w:rFonts w:hint="eastAsia" w:ascii="Times New Roman" w:hAnsi="Times New Roman" w:eastAsia="宋体"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28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配料罐</w:t>
                  </w:r>
                </w:p>
              </w:tc>
              <w:tc>
                <w:tcPr>
                  <w:tcW w:w="23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60m</w:t>
                  </w:r>
                  <w:r>
                    <w:rPr>
                      <w:rFonts w:hint="eastAsia" w:ascii="Times New Roman" w:hAnsi="Times New Roman" w:cs="Times New Roman"/>
                      <w:color w:val="auto"/>
                      <w:sz w:val="21"/>
                      <w:szCs w:val="21"/>
                      <w:vertAlign w:val="superscript"/>
                      <w:lang w:val="en-US" w:eastAsia="zh-CN"/>
                    </w:rPr>
                    <w:t>3</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28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物料罐</w:t>
                  </w:r>
                </w:p>
              </w:tc>
              <w:tc>
                <w:tcPr>
                  <w:tcW w:w="23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不锈钢</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28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缓冲罐</w:t>
                  </w:r>
                </w:p>
              </w:tc>
              <w:tc>
                <w:tcPr>
                  <w:tcW w:w="23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不锈钢</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28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消泡灌</w:t>
                  </w:r>
                </w:p>
              </w:tc>
              <w:tc>
                <w:tcPr>
                  <w:tcW w:w="23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不锈钢</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28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一级培养罐</w:t>
                  </w:r>
                </w:p>
              </w:tc>
              <w:tc>
                <w:tcPr>
                  <w:tcW w:w="23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不锈钢</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28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二级培养罐</w:t>
                  </w:r>
                </w:p>
              </w:tc>
              <w:tc>
                <w:tcPr>
                  <w:tcW w:w="23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不锈钢</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28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三级培养罐</w:t>
                  </w:r>
                </w:p>
              </w:tc>
              <w:tc>
                <w:tcPr>
                  <w:tcW w:w="23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rPr>
                  </w:pPr>
                  <w:r>
                    <w:rPr>
                      <w:rFonts w:hint="eastAsia" w:ascii="Times New Roman" w:hAnsi="Times New Roman" w:cs="Times New Roman"/>
                      <w:color w:val="auto"/>
                      <w:sz w:val="21"/>
                      <w:szCs w:val="21"/>
                      <w:lang w:val="en-US" w:eastAsia="zh-CN"/>
                    </w:rPr>
                    <w:t>不锈钢</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p>
              </w:tc>
              <w:tc>
                <w:tcPr>
                  <w:tcW w:w="28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补料罐</w:t>
                  </w:r>
                </w:p>
              </w:tc>
              <w:tc>
                <w:tcPr>
                  <w:tcW w:w="23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不锈钢</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w:t>
                  </w:r>
                </w:p>
              </w:tc>
              <w:tc>
                <w:tcPr>
                  <w:tcW w:w="28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贮罐</w:t>
                  </w:r>
                </w:p>
              </w:tc>
              <w:tc>
                <w:tcPr>
                  <w:tcW w:w="23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不锈钢</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28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离心机</w:t>
                  </w:r>
                </w:p>
              </w:tc>
              <w:tc>
                <w:tcPr>
                  <w:tcW w:w="23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SS1000</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w:t>
                  </w:r>
                </w:p>
              </w:tc>
              <w:tc>
                <w:tcPr>
                  <w:tcW w:w="28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板框过滤机</w:t>
                  </w:r>
                </w:p>
              </w:tc>
              <w:tc>
                <w:tcPr>
                  <w:tcW w:w="23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XAYR40/800-UK</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28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烘干机</w:t>
                  </w:r>
                </w:p>
              </w:tc>
              <w:tc>
                <w:tcPr>
                  <w:tcW w:w="23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w:t>
                  </w:r>
                </w:p>
              </w:tc>
            </w:tr>
          </w:tbl>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（4）原辅材料及能源消耗</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本项目</w:t>
            </w:r>
            <w:r>
              <w:rPr>
                <w:rFonts w:hint="default" w:ascii="Times New Roman" w:hAnsi="Times New Roman" w:eastAsia="宋体" w:cs="Times New Roman"/>
                <w:color w:val="auto"/>
                <w:sz w:val="24"/>
                <w:szCs w:val="32"/>
                <w:vertAlign w:val="baseline"/>
                <w:lang w:val="en-US" w:eastAsia="zh-CN"/>
              </w:rPr>
              <w:t>主要</w:t>
            </w:r>
            <w:r>
              <w:rPr>
                <w:rFonts w:hint="eastAsia" w:ascii="Times New Roman" w:hAnsi="Times New Roman" w:cs="Times New Roman"/>
                <w:color w:val="auto"/>
                <w:sz w:val="24"/>
                <w:szCs w:val="32"/>
                <w:vertAlign w:val="baseline"/>
                <w:lang w:val="en-US" w:eastAsia="zh-CN"/>
              </w:rPr>
              <w:t>原辅材料及能源消耗量</w:t>
            </w:r>
            <w:r>
              <w:rPr>
                <w:rFonts w:hint="default" w:ascii="Times New Roman" w:hAnsi="Times New Roman" w:eastAsia="宋体" w:cs="Times New Roman"/>
                <w:color w:val="auto"/>
                <w:sz w:val="24"/>
                <w:szCs w:val="32"/>
                <w:vertAlign w:val="baseline"/>
                <w:lang w:val="en-US" w:eastAsia="zh-CN"/>
              </w:rPr>
              <w:t>见下表。</w:t>
            </w:r>
          </w:p>
          <w:p>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表2-4  主要原辅材料及资源能源消耗一览表</w:t>
            </w:r>
          </w:p>
          <w:tbl>
            <w:tblPr>
              <w:tblStyle w:val="14"/>
              <w:tblpPr w:leftFromText="180" w:rightFromText="180" w:vertAnchor="text" w:horzAnchor="margin" w:tblpXSpec="center" w:tblpY="84"/>
              <w:tblOverlap w:val="never"/>
              <w:tblW w:w="7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219"/>
              <w:gridCol w:w="1395"/>
              <w:gridCol w:w="1091"/>
              <w:gridCol w:w="1773"/>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序号</w:t>
                  </w:r>
                </w:p>
              </w:tc>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名称</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单位</w:t>
                  </w: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年</w:t>
                  </w:r>
                  <w:r>
                    <w:rPr>
                      <w:rFonts w:hint="default" w:ascii="Times New Roman" w:hAnsi="Times New Roman" w:eastAsia="宋体" w:cs="Times New Roman"/>
                      <w:b/>
                      <w:bCs/>
                      <w:color w:val="auto"/>
                      <w:sz w:val="21"/>
                      <w:szCs w:val="21"/>
                      <w:lang w:eastAsia="zh-CN"/>
                    </w:rPr>
                    <w:t>耗</w:t>
                  </w:r>
                  <w:r>
                    <w:rPr>
                      <w:rFonts w:hint="default" w:ascii="Times New Roman" w:hAnsi="Times New Roman" w:eastAsia="宋体" w:cs="Times New Roman"/>
                      <w:b/>
                      <w:bCs/>
                      <w:color w:val="auto"/>
                      <w:sz w:val="21"/>
                      <w:szCs w:val="21"/>
                    </w:rPr>
                    <w:t>量</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使用工段</w:t>
                  </w:r>
                </w:p>
              </w:tc>
              <w:tc>
                <w:tcPr>
                  <w:tcW w:w="1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4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硅藻土</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b w:val="0"/>
                      <w:bCs w:val="0"/>
                      <w:color w:val="auto"/>
                      <w:sz w:val="20"/>
                      <w:szCs w:val="20"/>
                      <w:u w:val="none"/>
                      <w:lang w:val="en-US" w:eastAsia="zh-CN"/>
                    </w:rPr>
                    <w:t>t/a</w:t>
                  </w:r>
                </w:p>
              </w:tc>
              <w:tc>
                <w:tcPr>
                  <w:tcW w:w="10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3300</w:t>
                  </w:r>
                </w:p>
              </w:tc>
              <w:tc>
                <w:tcPr>
                  <w:tcW w:w="17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混合工段</w:t>
                  </w:r>
                </w:p>
              </w:tc>
              <w:tc>
                <w:tcPr>
                  <w:tcW w:w="17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外购，袋装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4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2</w:t>
                  </w:r>
                </w:p>
              </w:tc>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葡萄糖</w:t>
                  </w:r>
                </w:p>
              </w:tc>
              <w:tc>
                <w:tcPr>
                  <w:tcW w:w="1395" w:type="dxa"/>
                  <w:noWrap w:val="0"/>
                  <w:vAlign w:val="center"/>
                </w:tcPr>
                <w:p>
                  <w:pPr>
                    <w:pageBreakBefore w:val="0"/>
                    <w:kinsoku/>
                    <w:wordWrap/>
                    <w:overflowPunct/>
                    <w:bidi w:val="0"/>
                    <w:adjustRightInd/>
                    <w:snapToGrid/>
                    <w:jc w:val="center"/>
                    <w:rPr>
                      <w:rFonts w:hint="default" w:ascii="Times New Roman" w:hAnsi="Times New Roman"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0"/>
                      <w:szCs w:val="20"/>
                      <w:u w:val="none"/>
                      <w:lang w:val="en-US" w:eastAsia="zh-CN"/>
                    </w:rPr>
                    <w:t>t/a</w:t>
                  </w:r>
                </w:p>
              </w:tc>
              <w:tc>
                <w:tcPr>
                  <w:tcW w:w="10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100</w:t>
                  </w:r>
                </w:p>
              </w:tc>
              <w:tc>
                <w:tcPr>
                  <w:tcW w:w="17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混合工段</w:t>
                  </w:r>
                </w:p>
              </w:tc>
              <w:tc>
                <w:tcPr>
                  <w:tcW w:w="17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外购，袋装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tc>
                <w:tcPr>
                  <w:tcW w:w="4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腐殖酸</w:t>
                  </w:r>
                </w:p>
              </w:tc>
              <w:tc>
                <w:tcPr>
                  <w:tcW w:w="1395" w:type="dxa"/>
                  <w:noWrap w:val="0"/>
                  <w:vAlign w:val="center"/>
                </w:tcPr>
                <w:p>
                  <w:pPr>
                    <w:pageBreakBefore w:val="0"/>
                    <w:kinsoku/>
                    <w:wordWrap/>
                    <w:overflowPunct/>
                    <w:bidi w:val="0"/>
                    <w:adjustRightInd/>
                    <w:snapToGrid/>
                    <w:jc w:val="center"/>
                    <w:rPr>
                      <w:rFonts w:hint="eastAsia" w:ascii="Times New Roman" w:hAnsi="Times New Roman" w:cs="Times New Roman"/>
                      <w:color w:val="auto"/>
                      <w:sz w:val="21"/>
                      <w:szCs w:val="21"/>
                      <w:lang w:val="en-US" w:eastAsia="zh-CN"/>
                    </w:rPr>
                  </w:pPr>
                  <w:r>
                    <w:rPr>
                      <w:rFonts w:hint="eastAsia" w:ascii="Times New Roman" w:hAnsi="Times New Roman" w:eastAsia="宋体" w:cs="Times New Roman"/>
                      <w:b w:val="0"/>
                      <w:bCs w:val="0"/>
                      <w:color w:val="auto"/>
                      <w:sz w:val="20"/>
                      <w:szCs w:val="20"/>
                      <w:u w:val="none"/>
                      <w:lang w:val="en-US" w:eastAsia="zh-CN"/>
                    </w:rPr>
                    <w:t>t/a</w:t>
                  </w:r>
                </w:p>
              </w:tc>
              <w:tc>
                <w:tcPr>
                  <w:tcW w:w="10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2000</w:t>
                  </w:r>
                </w:p>
              </w:tc>
              <w:tc>
                <w:tcPr>
                  <w:tcW w:w="17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混合工段</w:t>
                  </w:r>
                </w:p>
              </w:tc>
              <w:tc>
                <w:tcPr>
                  <w:tcW w:w="17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外购，袋装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4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黄腐酸钾</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eastAsia="宋体" w:cs="Times New Roman"/>
                      <w:b w:val="0"/>
                      <w:bCs w:val="0"/>
                      <w:color w:val="auto"/>
                      <w:sz w:val="20"/>
                      <w:szCs w:val="20"/>
                      <w:u w:val="none"/>
                      <w:lang w:val="en-US" w:eastAsia="zh-CN"/>
                    </w:rPr>
                    <w:t>t/a</w:t>
                  </w:r>
                </w:p>
              </w:tc>
              <w:tc>
                <w:tcPr>
                  <w:tcW w:w="10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800</w:t>
                  </w:r>
                </w:p>
              </w:tc>
              <w:tc>
                <w:tcPr>
                  <w:tcW w:w="17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混合工段</w:t>
                  </w:r>
                </w:p>
              </w:tc>
              <w:tc>
                <w:tcPr>
                  <w:tcW w:w="17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外购，袋装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4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玉米淀粉</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eastAsia="宋体" w:cs="Times New Roman"/>
                      <w:b w:val="0"/>
                      <w:bCs w:val="0"/>
                      <w:color w:val="auto"/>
                      <w:sz w:val="20"/>
                      <w:szCs w:val="20"/>
                      <w:u w:val="none"/>
                      <w:lang w:val="en-US" w:eastAsia="zh-CN"/>
                    </w:rPr>
                    <w:t>t/a</w:t>
                  </w:r>
                </w:p>
              </w:tc>
              <w:tc>
                <w:tcPr>
                  <w:tcW w:w="10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100</w:t>
                  </w:r>
                </w:p>
              </w:tc>
              <w:tc>
                <w:tcPr>
                  <w:tcW w:w="17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菌种培养</w:t>
                  </w:r>
                </w:p>
              </w:tc>
              <w:tc>
                <w:tcPr>
                  <w:tcW w:w="17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外购，袋装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4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w:t>
                  </w:r>
                </w:p>
              </w:tc>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玉米面</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eastAsia="宋体" w:cs="Times New Roman"/>
                      <w:b w:val="0"/>
                      <w:bCs w:val="0"/>
                      <w:color w:val="auto"/>
                      <w:sz w:val="20"/>
                      <w:szCs w:val="20"/>
                      <w:u w:val="none"/>
                      <w:lang w:val="en-US" w:eastAsia="zh-CN"/>
                    </w:rPr>
                    <w:t>t/a</w:t>
                  </w:r>
                </w:p>
              </w:tc>
              <w:tc>
                <w:tcPr>
                  <w:tcW w:w="10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1500</w:t>
                  </w:r>
                </w:p>
              </w:tc>
              <w:tc>
                <w:tcPr>
                  <w:tcW w:w="17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菌种培养</w:t>
                  </w:r>
                </w:p>
              </w:tc>
              <w:tc>
                <w:tcPr>
                  <w:tcW w:w="17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外购，袋装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4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w:t>
                  </w:r>
                </w:p>
              </w:tc>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糖蜜粉</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eastAsia="宋体" w:cs="Times New Roman"/>
                      <w:b w:val="0"/>
                      <w:bCs w:val="0"/>
                      <w:color w:val="auto"/>
                      <w:sz w:val="20"/>
                      <w:szCs w:val="20"/>
                      <w:u w:val="none"/>
                      <w:lang w:val="en-US" w:eastAsia="zh-CN"/>
                    </w:rPr>
                    <w:t>t/a</w:t>
                  </w:r>
                </w:p>
              </w:tc>
              <w:tc>
                <w:tcPr>
                  <w:tcW w:w="10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160</w:t>
                  </w:r>
                </w:p>
              </w:tc>
              <w:tc>
                <w:tcPr>
                  <w:tcW w:w="17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混合工段</w:t>
                  </w:r>
                </w:p>
              </w:tc>
              <w:tc>
                <w:tcPr>
                  <w:tcW w:w="17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外购，袋装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4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9</w:t>
                  </w:r>
                </w:p>
              </w:tc>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加维粉</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eastAsia="宋体" w:cs="Times New Roman"/>
                      <w:b w:val="0"/>
                      <w:bCs w:val="0"/>
                      <w:color w:val="auto"/>
                      <w:sz w:val="20"/>
                      <w:szCs w:val="20"/>
                      <w:u w:val="none"/>
                      <w:lang w:val="en-US" w:eastAsia="zh-CN"/>
                    </w:rPr>
                    <w:t>t/a</w:t>
                  </w:r>
                </w:p>
              </w:tc>
              <w:tc>
                <w:tcPr>
                  <w:tcW w:w="10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200</w:t>
                  </w:r>
                </w:p>
              </w:tc>
              <w:tc>
                <w:tcPr>
                  <w:tcW w:w="17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混合工段</w:t>
                  </w:r>
                </w:p>
              </w:tc>
              <w:tc>
                <w:tcPr>
                  <w:tcW w:w="17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外购，桶装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4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鱼溶浆</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eastAsia="宋体" w:cs="Times New Roman"/>
                      <w:b w:val="0"/>
                      <w:bCs w:val="0"/>
                      <w:color w:val="auto"/>
                      <w:sz w:val="20"/>
                      <w:szCs w:val="20"/>
                      <w:u w:val="none"/>
                      <w:lang w:val="en-US" w:eastAsia="zh-CN"/>
                    </w:rPr>
                    <w:t>t/a</w:t>
                  </w:r>
                </w:p>
              </w:tc>
              <w:tc>
                <w:tcPr>
                  <w:tcW w:w="10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500</w:t>
                  </w:r>
                </w:p>
              </w:tc>
              <w:tc>
                <w:tcPr>
                  <w:tcW w:w="17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混合工段</w:t>
                  </w:r>
                </w:p>
              </w:tc>
              <w:tc>
                <w:tcPr>
                  <w:tcW w:w="17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外购，桶装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4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w:t>
                  </w:r>
                </w:p>
              </w:tc>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菌种</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eastAsia="宋体" w:cs="Times New Roman"/>
                      <w:b w:val="0"/>
                      <w:bCs w:val="0"/>
                      <w:color w:val="auto"/>
                      <w:sz w:val="20"/>
                      <w:szCs w:val="20"/>
                      <w:u w:val="none"/>
                      <w:lang w:val="en-US" w:eastAsia="zh-CN"/>
                    </w:rPr>
                    <w:t>t/a</w:t>
                  </w:r>
                </w:p>
              </w:tc>
              <w:tc>
                <w:tcPr>
                  <w:tcW w:w="10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280</w:t>
                  </w:r>
                </w:p>
              </w:tc>
              <w:tc>
                <w:tcPr>
                  <w:tcW w:w="17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菌种培养</w:t>
                  </w:r>
                </w:p>
              </w:tc>
              <w:tc>
                <w:tcPr>
                  <w:tcW w:w="17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外购，袋装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4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水</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t/a</w:t>
                  </w:r>
                </w:p>
              </w:tc>
              <w:tc>
                <w:tcPr>
                  <w:tcW w:w="10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150</w:t>
                  </w:r>
                </w:p>
              </w:tc>
              <w:tc>
                <w:tcPr>
                  <w:tcW w:w="17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w:t>
                  </w:r>
                </w:p>
              </w:tc>
              <w:tc>
                <w:tcPr>
                  <w:tcW w:w="17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市政供水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4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13</w:t>
                  </w:r>
                </w:p>
              </w:tc>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电</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kwh/a</w:t>
                  </w:r>
                </w:p>
              </w:tc>
              <w:tc>
                <w:tcPr>
                  <w:tcW w:w="10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50万</w:t>
                  </w:r>
                </w:p>
              </w:tc>
              <w:tc>
                <w:tcPr>
                  <w:tcW w:w="17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w:t>
                  </w:r>
                </w:p>
              </w:tc>
              <w:tc>
                <w:tcPr>
                  <w:tcW w:w="17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市政供电</w:t>
                  </w:r>
                </w:p>
              </w:tc>
            </w:tr>
          </w:tbl>
          <w:p>
            <w:pPr>
              <w:pageBreakBefore w:val="0"/>
              <w:kinsoku/>
              <w:wordWrap/>
              <w:overflowPunct/>
              <w:bidi w:val="0"/>
              <w:adjustRightInd/>
              <w:snapToGrid/>
              <w:spacing w:line="360" w:lineRule="auto"/>
              <w:rPr>
                <w:rFonts w:hint="eastAsia" w:ascii="Times New Roman" w:hAnsi="Times New Roman" w:eastAsia="宋体" w:cs="宋体"/>
                <w:b/>
                <w:bCs/>
                <w:color w:val="auto"/>
                <w:sz w:val="24"/>
                <w:lang w:eastAsia="zh-CN"/>
              </w:rPr>
            </w:pPr>
            <w:r>
              <w:rPr>
                <w:rFonts w:hint="eastAsia" w:ascii="Times New Roman" w:hAnsi="Times New Roman" w:eastAsia="宋体" w:cs="宋体"/>
                <w:b/>
                <w:bCs/>
                <w:color w:val="auto"/>
                <w:sz w:val="24"/>
                <w:lang w:eastAsia="zh-CN"/>
              </w:rPr>
              <w:t>理化性质：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b w:val="0"/>
                <w:bCs w:val="0"/>
                <w:color w:val="auto"/>
                <w:sz w:val="24"/>
                <w:lang w:val="en-US" w:eastAsia="zh-CN"/>
              </w:rPr>
            </w:pPr>
            <w:r>
              <w:rPr>
                <w:rFonts w:hint="eastAsia" w:ascii="Times New Roman" w:hAnsi="Times New Roman" w:eastAsia="宋体" w:cs="宋体"/>
                <w:b/>
                <w:bCs/>
                <w:color w:val="auto"/>
                <w:sz w:val="24"/>
                <w:lang w:val="en-US" w:eastAsia="zh-CN"/>
              </w:rPr>
              <w:t>腐殖酸</w:t>
            </w:r>
            <w:r>
              <w:rPr>
                <w:rFonts w:hint="eastAsia" w:ascii="Times New Roman" w:hAnsi="Times New Roman" w:cs="宋体"/>
                <w:b/>
                <w:bCs/>
                <w:color w:val="auto"/>
                <w:sz w:val="24"/>
                <w:lang w:val="en-US" w:eastAsia="zh-CN"/>
              </w:rPr>
              <w:t>：</w:t>
            </w:r>
            <w:r>
              <w:rPr>
                <w:rFonts w:hint="eastAsia" w:ascii="Times New Roman" w:hAnsi="Times New Roman" w:cs="宋体"/>
                <w:b w:val="0"/>
                <w:bCs w:val="0"/>
                <w:color w:val="auto"/>
                <w:sz w:val="24"/>
                <w:lang w:val="en-US" w:eastAsia="zh-CN"/>
              </w:rPr>
              <w:t>腐植酸是动植物遗骸，主要是植物的遗骸，经过微生物的分解和转化，以及地球化学的一系列过程造成和积累起来的一类有机物质。腐植酸大分子的基本结构是芳环和脂环，环上连有羧基、羟基、羰基、醌基、甲氧基等官能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b w:val="0"/>
                <w:bCs w:val="0"/>
                <w:color w:val="auto"/>
                <w:sz w:val="24"/>
                <w:lang w:val="en-US" w:eastAsia="zh-CN"/>
              </w:rPr>
            </w:pPr>
            <w:r>
              <w:rPr>
                <w:rFonts w:hint="eastAsia" w:ascii="Times New Roman" w:hAnsi="Times New Roman" w:eastAsia="宋体" w:cs="宋体"/>
                <w:b/>
                <w:bCs/>
                <w:color w:val="auto"/>
                <w:sz w:val="24"/>
                <w:lang w:val="en-US" w:eastAsia="zh-CN"/>
              </w:rPr>
              <w:t>硅藻土</w:t>
            </w:r>
            <w:r>
              <w:rPr>
                <w:rFonts w:hint="eastAsia" w:ascii="Times New Roman" w:hAnsi="Times New Roman" w:cs="宋体"/>
                <w:b/>
                <w:bCs/>
                <w:color w:val="auto"/>
                <w:sz w:val="24"/>
                <w:lang w:val="en-US" w:eastAsia="zh-CN"/>
              </w:rPr>
              <w:t>：</w:t>
            </w:r>
            <w:r>
              <w:rPr>
                <w:rFonts w:hint="eastAsia" w:ascii="Times New Roman" w:hAnsi="Times New Roman" w:cs="宋体"/>
                <w:b w:val="0"/>
                <w:bCs w:val="0"/>
                <w:color w:val="auto"/>
                <w:sz w:val="24"/>
                <w:lang w:val="en-US" w:eastAsia="zh-CN"/>
              </w:rPr>
              <w:t>硅藻土由无定形的SiO</w:t>
            </w:r>
            <w:r>
              <w:rPr>
                <w:rFonts w:hint="eastAsia" w:ascii="Times New Roman" w:hAnsi="Times New Roman" w:cs="宋体"/>
                <w:b w:val="0"/>
                <w:bCs w:val="0"/>
                <w:color w:val="auto"/>
                <w:sz w:val="24"/>
                <w:vertAlign w:val="subscript"/>
                <w:lang w:val="en-US" w:eastAsia="zh-CN"/>
              </w:rPr>
              <w:t>2</w:t>
            </w:r>
            <w:r>
              <w:rPr>
                <w:rFonts w:hint="eastAsia" w:ascii="Times New Roman" w:hAnsi="Times New Roman" w:cs="宋体"/>
                <w:b w:val="0"/>
                <w:bCs w:val="0"/>
                <w:color w:val="auto"/>
                <w:sz w:val="24"/>
                <w:lang w:val="en-US" w:eastAsia="zh-CN"/>
              </w:rPr>
              <w:t>组成，并含有少量Fe</w:t>
            </w:r>
            <w:r>
              <w:rPr>
                <w:rFonts w:hint="eastAsia" w:ascii="Times New Roman" w:hAnsi="Times New Roman" w:cs="宋体"/>
                <w:b w:val="0"/>
                <w:bCs w:val="0"/>
                <w:color w:val="auto"/>
                <w:sz w:val="24"/>
                <w:vertAlign w:val="subscript"/>
                <w:lang w:val="en-US" w:eastAsia="zh-CN"/>
              </w:rPr>
              <w:t>2</w:t>
            </w:r>
            <w:r>
              <w:rPr>
                <w:rFonts w:hint="eastAsia" w:ascii="Times New Roman" w:hAnsi="Times New Roman" w:cs="宋体"/>
                <w:b w:val="0"/>
                <w:bCs w:val="0"/>
                <w:color w:val="auto"/>
                <w:sz w:val="24"/>
                <w:lang w:val="en-US" w:eastAsia="zh-CN"/>
              </w:rPr>
              <w:t>O</w:t>
            </w:r>
            <w:r>
              <w:rPr>
                <w:rFonts w:hint="eastAsia" w:ascii="Times New Roman" w:hAnsi="Times New Roman" w:cs="宋体"/>
                <w:b w:val="0"/>
                <w:bCs w:val="0"/>
                <w:color w:val="auto"/>
                <w:sz w:val="24"/>
                <w:vertAlign w:val="subscript"/>
                <w:lang w:val="en-US" w:eastAsia="zh-CN"/>
              </w:rPr>
              <w:t>3</w:t>
            </w:r>
            <w:r>
              <w:rPr>
                <w:rFonts w:hint="eastAsia" w:ascii="Times New Roman" w:hAnsi="Times New Roman" w:cs="宋体"/>
                <w:b w:val="0"/>
                <w:bCs w:val="0"/>
                <w:color w:val="auto"/>
                <w:sz w:val="24"/>
                <w:lang w:val="en-US" w:eastAsia="zh-CN"/>
              </w:rPr>
              <w:t>、CaO、MgO、Al</w:t>
            </w:r>
            <w:r>
              <w:rPr>
                <w:rFonts w:hint="eastAsia" w:ascii="Times New Roman" w:hAnsi="Times New Roman" w:cs="宋体"/>
                <w:b w:val="0"/>
                <w:bCs w:val="0"/>
                <w:color w:val="auto"/>
                <w:sz w:val="24"/>
                <w:vertAlign w:val="subscript"/>
                <w:lang w:val="en-US" w:eastAsia="zh-CN"/>
              </w:rPr>
              <w:t>2</w:t>
            </w:r>
            <w:r>
              <w:rPr>
                <w:rFonts w:hint="eastAsia" w:ascii="Times New Roman" w:hAnsi="Times New Roman" w:cs="宋体"/>
                <w:b w:val="0"/>
                <w:bCs w:val="0"/>
                <w:color w:val="auto"/>
                <w:sz w:val="24"/>
                <w:lang w:val="en-US" w:eastAsia="zh-CN"/>
              </w:rPr>
              <w:t>O</w:t>
            </w:r>
            <w:r>
              <w:rPr>
                <w:rFonts w:hint="eastAsia" w:ascii="Times New Roman" w:hAnsi="Times New Roman" w:cs="宋体"/>
                <w:b w:val="0"/>
                <w:bCs w:val="0"/>
                <w:color w:val="auto"/>
                <w:sz w:val="24"/>
                <w:vertAlign w:val="subscript"/>
                <w:lang w:val="en-US" w:eastAsia="zh-CN"/>
              </w:rPr>
              <w:t>3</w:t>
            </w:r>
            <w:r>
              <w:rPr>
                <w:rFonts w:hint="eastAsia" w:ascii="Times New Roman" w:hAnsi="Times New Roman" w:cs="宋体"/>
                <w:b w:val="0"/>
                <w:bCs w:val="0"/>
                <w:color w:val="auto"/>
                <w:sz w:val="24"/>
                <w:lang w:val="en-US" w:eastAsia="zh-CN"/>
              </w:rPr>
              <w:t>及有机杂质。硅藻土通常呈浅黄色或浅灰色，质软，多孔而轻。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宋体"/>
                <w:b w:val="0"/>
                <w:bCs w:val="0"/>
                <w:color w:val="auto"/>
                <w:sz w:val="24"/>
                <w:lang w:val="en-US" w:eastAsia="zh-CN"/>
              </w:rPr>
            </w:pPr>
            <w:r>
              <w:rPr>
                <w:rFonts w:hint="eastAsia" w:ascii="Times New Roman" w:hAnsi="Times New Roman" w:eastAsia="宋体" w:cs="宋体"/>
                <w:b/>
                <w:bCs/>
                <w:color w:val="auto"/>
                <w:sz w:val="24"/>
                <w:lang w:val="en-US" w:eastAsia="zh-CN"/>
              </w:rPr>
              <w:t>黄腐酸钾</w:t>
            </w:r>
            <w:r>
              <w:rPr>
                <w:rFonts w:hint="eastAsia" w:ascii="Times New Roman" w:hAnsi="Times New Roman" w:cs="宋体"/>
                <w:b/>
                <w:bCs/>
                <w:color w:val="auto"/>
                <w:sz w:val="24"/>
                <w:lang w:val="en-US" w:eastAsia="zh-CN"/>
              </w:rPr>
              <w:t>：</w:t>
            </w:r>
            <w:r>
              <w:rPr>
                <w:rFonts w:hint="eastAsia" w:ascii="Times New Roman" w:hAnsi="Times New Roman" w:eastAsia="宋体" w:cs="宋体"/>
                <w:b w:val="0"/>
                <w:bCs w:val="0"/>
                <w:color w:val="auto"/>
                <w:sz w:val="24"/>
                <w:lang w:val="en-US" w:eastAsia="zh-CN"/>
              </w:rPr>
              <w:t>黄腐酸钾是一种纯天然矿物质活性钾元素肥，黄腐酸钾内含微量元素、稀土元素、植物生长调节剂、病毒抑制剂等多种营养成分，使养分更充足、补给更合理</w:t>
            </w:r>
            <w:r>
              <w:rPr>
                <w:rFonts w:hint="eastAsia" w:ascii="Times New Roman" w:hAnsi="Times New Roman" w:cs="宋体"/>
                <w:b w:val="0"/>
                <w:bCs w:val="0"/>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b w:val="0"/>
                <w:bCs w:val="0"/>
                <w:color w:val="auto"/>
                <w:sz w:val="24"/>
                <w:lang w:val="en-US" w:eastAsia="zh-CN"/>
              </w:rPr>
            </w:pPr>
            <w:r>
              <w:rPr>
                <w:rFonts w:hint="eastAsia" w:ascii="Times New Roman" w:hAnsi="Times New Roman" w:eastAsia="宋体" w:cs="宋体"/>
                <w:b/>
                <w:bCs/>
                <w:color w:val="auto"/>
                <w:sz w:val="24"/>
                <w:lang w:val="en-US" w:eastAsia="zh-CN"/>
              </w:rPr>
              <w:t>糖蜜粉</w:t>
            </w:r>
            <w:r>
              <w:rPr>
                <w:rFonts w:hint="eastAsia" w:ascii="Times New Roman" w:hAnsi="Times New Roman" w:cs="宋体"/>
                <w:b/>
                <w:bCs/>
                <w:color w:val="auto"/>
                <w:sz w:val="24"/>
                <w:lang w:val="en-US" w:eastAsia="zh-CN"/>
              </w:rPr>
              <w:t>：</w:t>
            </w:r>
            <w:r>
              <w:rPr>
                <w:rFonts w:hint="eastAsia" w:ascii="Times New Roman" w:hAnsi="Times New Roman" w:cs="宋体"/>
                <w:b w:val="0"/>
                <w:bCs w:val="0"/>
                <w:color w:val="auto"/>
                <w:sz w:val="24"/>
                <w:lang w:val="en-US" w:eastAsia="zh-CN"/>
              </w:rPr>
              <w:t>外观为棕黄色特细粉末，略有焦糖味，细度&lt;120目，水可溶物&gt;99%，水溶性黄腐酸&gt;50%，粗蛋白含量19.78%氨基酸8.51%，以及大量的B族维生素、维生素C、肌醇、多糖等，PH在5-6之间，其活性是天然腐殖酸的10倍，还含有多种维生素、微量元素、菌体蛋白、核酸、表面活性物及促生长因子（生物活性物质）等。本品抗酸碱、抗氧化、对二价阳离子有很强的螯合能力，因此可与Fe、Cu、Zn、Mn、Ca等金属离子形成有机螯合微量元素，可促进植物对矿物质的吸收和利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b w:val="0"/>
                <w:bCs w:val="0"/>
                <w:color w:val="auto"/>
                <w:sz w:val="24"/>
                <w:lang w:val="en-US" w:eastAsia="zh-CN"/>
              </w:rPr>
            </w:pPr>
            <w:r>
              <w:rPr>
                <w:rFonts w:hint="eastAsia" w:ascii="Times New Roman" w:hAnsi="Times New Roman" w:eastAsia="宋体" w:cs="宋体"/>
                <w:b/>
                <w:bCs/>
                <w:color w:val="auto"/>
                <w:sz w:val="24"/>
                <w:lang w:val="en-US" w:eastAsia="zh-CN"/>
              </w:rPr>
              <w:t>加维粉</w:t>
            </w:r>
            <w:r>
              <w:rPr>
                <w:rFonts w:hint="eastAsia" w:ascii="Times New Roman" w:hAnsi="Times New Roman" w:cs="宋体"/>
                <w:b/>
                <w:bCs/>
                <w:color w:val="auto"/>
                <w:sz w:val="24"/>
                <w:lang w:val="en-US" w:eastAsia="zh-CN"/>
              </w:rPr>
              <w:t>：</w:t>
            </w:r>
            <w:r>
              <w:rPr>
                <w:rFonts w:hint="eastAsia" w:ascii="Times New Roman" w:hAnsi="Times New Roman" w:cs="宋体"/>
                <w:b w:val="0"/>
                <w:bCs w:val="0"/>
                <w:color w:val="auto"/>
                <w:sz w:val="24"/>
                <w:lang w:val="en-US" w:eastAsia="zh-CN"/>
              </w:rPr>
              <w:t>是由多种矿物质，可溶性淀粉及其他进口辅助溶质辅料等经高温处理而制成的高科技复合物。它具有性质稳定、水溶性好、流动性佳、色泽均匀、不易吸湿和不结块等特点。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b w:val="0"/>
                <w:bCs w:val="0"/>
                <w:color w:val="auto"/>
                <w:sz w:val="24"/>
                <w:lang w:val="en-US" w:eastAsia="zh-CN"/>
              </w:rPr>
            </w:pPr>
            <w:r>
              <w:rPr>
                <w:rFonts w:hint="eastAsia" w:ascii="Times New Roman" w:hAnsi="Times New Roman" w:eastAsia="宋体" w:cs="宋体"/>
                <w:b/>
                <w:bCs/>
                <w:color w:val="auto"/>
                <w:sz w:val="24"/>
                <w:lang w:val="en-US" w:eastAsia="zh-CN"/>
              </w:rPr>
              <w:t>鱼溶浆</w:t>
            </w:r>
            <w:r>
              <w:rPr>
                <w:rFonts w:hint="eastAsia" w:ascii="Times New Roman" w:hAnsi="Times New Roman" w:cs="宋体"/>
                <w:b/>
                <w:bCs/>
                <w:color w:val="auto"/>
                <w:sz w:val="24"/>
                <w:lang w:val="en-US" w:eastAsia="zh-CN"/>
              </w:rPr>
              <w:t>：</w:t>
            </w:r>
            <w:r>
              <w:rPr>
                <w:rFonts w:hint="eastAsia" w:ascii="Times New Roman" w:hAnsi="Times New Roman" w:cs="宋体"/>
                <w:b w:val="0"/>
                <w:bCs w:val="0"/>
                <w:color w:val="auto"/>
                <w:sz w:val="24"/>
                <w:lang w:val="en-US" w:eastAsia="zh-CN"/>
              </w:rPr>
              <w:t>含有大量的小分子多肽、氨基酸，牛磺酸，以及矿物质等有益成分，保留了鱼粉特有的未知生长因子，对水产、畜禽养殖动物具有很好的诱食和促生长作用，是很好的优质动物蛋白源、诱食剂和营养补充剂，可增强动物消化吸收功能和肠道发育作用、增强动物免疫机能和抗应激能力。</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（5）劳动定员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65"/>
              <w:textAlignment w:val="auto"/>
              <w:rPr>
                <w:rFonts w:hint="eastAsia" w:ascii="Times New Roman" w:hAnsi="Times New Roman" w:eastAsia="宋体" w:cs="Times New Roman"/>
                <w:color w:val="auto"/>
                <w:sz w:val="24"/>
                <w:lang w:eastAsia="zh-CN"/>
              </w:rPr>
            </w:pPr>
            <w:r>
              <w:rPr>
                <w:rFonts w:hint="eastAsia" w:ascii="Times New Roman" w:hAnsi="Times New Roman" w:cs="Times New Roman"/>
                <w:color w:val="auto"/>
                <w:kern w:val="0"/>
                <w:sz w:val="24"/>
                <w:lang w:eastAsia="zh-CN"/>
              </w:rPr>
              <w:t>现有工程</w:t>
            </w:r>
            <w:r>
              <w:rPr>
                <w:rFonts w:hint="default" w:ascii="Times New Roman" w:hAnsi="Times New Roman" w:eastAsia="宋体" w:cs="Times New Roman"/>
                <w:color w:val="auto"/>
                <w:kern w:val="0"/>
                <w:sz w:val="24"/>
              </w:rPr>
              <w:t>劳动定员</w:t>
            </w:r>
            <w:r>
              <w:rPr>
                <w:rFonts w:hint="eastAsia" w:ascii="Times New Roman" w:hAnsi="Times New Roman" w:cs="Times New Roman"/>
                <w:color w:val="auto"/>
                <w:kern w:val="0"/>
                <w:sz w:val="24"/>
                <w:lang w:val="en-US" w:eastAsia="zh-CN"/>
              </w:rPr>
              <w:t>60</w:t>
            </w:r>
            <w:r>
              <w:rPr>
                <w:rFonts w:hint="default" w:ascii="Times New Roman" w:hAnsi="Times New Roman" w:eastAsia="宋体" w:cs="Times New Roman"/>
                <w:color w:val="auto"/>
                <w:kern w:val="0"/>
                <w:sz w:val="24"/>
              </w:rPr>
              <w:t>人，项目采取三班制，每班工作8小时，每年生产330天，年工作7920小时。</w:t>
            </w:r>
            <w:r>
              <w:rPr>
                <w:rFonts w:hint="eastAsia" w:ascii="Times New Roman" w:hAnsi="Times New Roman" w:cs="Times New Roman"/>
                <w:color w:val="auto"/>
                <w:kern w:val="0"/>
                <w:sz w:val="24"/>
                <w:lang w:eastAsia="zh-CN"/>
              </w:rPr>
              <w:t>本项目劳动定员在现有员工中进行调配，不新增劳动定员。</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（6）公用工程及辅助设施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①</w:t>
            </w:r>
            <w:r>
              <w:rPr>
                <w:rFonts w:hint="default" w:ascii="Times New Roman" w:hAnsi="Times New Roman" w:eastAsia="宋体" w:cs="Times New Roman"/>
                <w:color w:val="auto"/>
                <w:sz w:val="24"/>
                <w:highlight w:val="none"/>
              </w:rPr>
              <w:t>供电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本项目用电由</w:t>
            </w:r>
            <w:r>
              <w:rPr>
                <w:rFonts w:hint="eastAsia" w:ascii="Times New Roman" w:hAnsi="Times New Roman" w:cs="Times New Roman"/>
                <w:color w:val="auto"/>
                <w:sz w:val="24"/>
                <w:highlight w:val="none"/>
                <w:lang w:val="en-US" w:eastAsia="zh-CN"/>
              </w:rPr>
              <w:t>市政电网</w:t>
            </w:r>
            <w:r>
              <w:rPr>
                <w:rFonts w:hint="default" w:ascii="Times New Roman" w:hAnsi="Times New Roman" w:eastAsia="宋体" w:cs="Times New Roman"/>
                <w:color w:val="auto"/>
                <w:sz w:val="24"/>
                <w:highlight w:val="none"/>
              </w:rPr>
              <w:t>统一供给，可满足项目生产生活用电需求。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②</w:t>
            </w:r>
            <w:r>
              <w:rPr>
                <w:rFonts w:hint="default" w:ascii="Times New Roman" w:hAnsi="Times New Roman" w:eastAsia="宋体" w:cs="Times New Roman"/>
                <w:color w:val="auto"/>
                <w:sz w:val="24"/>
                <w:highlight w:val="none"/>
              </w:rPr>
              <w:t>给排水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val="0"/>
                <w:bCs w:val="0"/>
                <w:color w:val="auto"/>
                <w:sz w:val="24"/>
                <w:highlight w:val="none"/>
                <w:u w:val="none"/>
                <w:lang w:val="en-US" w:eastAsia="zh-CN"/>
              </w:rPr>
            </w:pPr>
            <w:r>
              <w:rPr>
                <w:rFonts w:hint="default" w:ascii="Times New Roman" w:hAnsi="Times New Roman" w:eastAsia="宋体" w:cs="Times New Roman"/>
                <w:b/>
                <w:bCs/>
                <w:color w:val="auto"/>
                <w:sz w:val="24"/>
                <w:highlight w:val="none"/>
                <w:lang w:val="zh-CN"/>
              </w:rPr>
              <w:t>给水：</w:t>
            </w:r>
            <w:r>
              <w:rPr>
                <w:rFonts w:hint="eastAsia" w:ascii="Times New Roman" w:hAnsi="Times New Roman" w:cs="Times New Roman"/>
                <w:color w:val="auto"/>
                <w:sz w:val="24"/>
                <w:highlight w:val="none"/>
                <w:lang w:val="en-US" w:eastAsia="zh-CN"/>
              </w:rPr>
              <w:t>本项目用水主要为设备清洗水、生产过程添加水，由园区供水官网集中供给。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bCs/>
                <w:color w:val="auto"/>
                <w:sz w:val="24"/>
                <w:highlight w:val="none"/>
                <w:u w:val="none"/>
                <w:lang w:val="en-US" w:eastAsia="zh-CN"/>
              </w:rPr>
              <w:t>生活污水：</w:t>
            </w:r>
            <w:r>
              <w:rPr>
                <w:rFonts w:hint="eastAsia" w:ascii="Times New Roman" w:hAnsi="Times New Roman" w:cs="Times New Roman"/>
                <w:b w:val="0"/>
                <w:bCs w:val="0"/>
                <w:color w:val="auto"/>
                <w:sz w:val="24"/>
                <w:highlight w:val="none"/>
                <w:u w:val="none"/>
                <w:lang w:val="en-US" w:eastAsia="zh-CN"/>
              </w:rPr>
              <w:t>本项目仅需在现有员工进行调配，无需新增劳动定员。无新增生活污水外排。</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bCs/>
                <w:color w:val="auto"/>
                <w:sz w:val="24"/>
                <w:highlight w:val="none"/>
                <w:u w:val="none"/>
                <w:lang w:val="en-US" w:eastAsia="zh-CN"/>
              </w:rPr>
              <w:t>设备清洗水：</w:t>
            </w:r>
            <w:r>
              <w:rPr>
                <w:rFonts w:hint="eastAsia" w:ascii="Times New Roman" w:hAnsi="Times New Roman" w:cs="Times New Roman"/>
                <w:b w:val="0"/>
                <w:bCs w:val="0"/>
                <w:color w:val="auto"/>
                <w:sz w:val="24"/>
                <w:highlight w:val="none"/>
                <w:u w:val="none"/>
                <w:lang w:val="en-US" w:eastAsia="zh-CN"/>
              </w:rPr>
              <w:t>根据项目运行特点，需定期对设备进行清洗，清洗用水量约为1.2m</w:t>
            </w:r>
            <w:r>
              <w:rPr>
                <w:rFonts w:hint="eastAsia" w:ascii="Times New Roman" w:hAnsi="Times New Roman" w:cs="Times New Roman"/>
                <w:b w:val="0"/>
                <w:bCs w:val="0"/>
                <w:color w:val="auto"/>
                <w:sz w:val="24"/>
                <w:highlight w:val="none"/>
                <w:u w:val="none"/>
                <w:vertAlign w:val="superscript"/>
                <w:lang w:val="en-US" w:eastAsia="zh-CN"/>
              </w:rPr>
              <w:t>3</w:t>
            </w:r>
            <w:r>
              <w:rPr>
                <w:rFonts w:hint="eastAsia" w:ascii="Times New Roman" w:hAnsi="Times New Roman" w:cs="Times New Roman"/>
                <w:b w:val="0"/>
                <w:bCs w:val="0"/>
                <w:color w:val="auto"/>
                <w:sz w:val="24"/>
                <w:highlight w:val="none"/>
                <w:u w:val="none"/>
                <w:lang w:val="en-US" w:eastAsia="zh-CN"/>
              </w:rPr>
              <w:t>/次，一月清洗一次，则清洗废水量约为14.4m</w:t>
            </w:r>
            <w:r>
              <w:rPr>
                <w:rFonts w:hint="eastAsia" w:ascii="Times New Roman" w:hAnsi="Times New Roman" w:cs="Times New Roman"/>
                <w:b w:val="0"/>
                <w:bCs w:val="0"/>
                <w:color w:val="auto"/>
                <w:sz w:val="24"/>
                <w:highlight w:val="none"/>
                <w:u w:val="none"/>
                <w:vertAlign w:val="superscript"/>
                <w:lang w:val="en-US" w:eastAsia="zh-CN"/>
              </w:rPr>
              <w:t>3</w:t>
            </w:r>
            <w:r>
              <w:rPr>
                <w:rFonts w:hint="eastAsia" w:ascii="Times New Roman" w:hAnsi="Times New Roman" w:cs="Times New Roman"/>
                <w:b w:val="0"/>
                <w:bCs w:val="0"/>
                <w:color w:val="auto"/>
                <w:sz w:val="24"/>
                <w:highlight w:val="none"/>
                <w:u w:val="none"/>
                <w:lang w:val="en-US" w:eastAsia="zh-CN"/>
              </w:rPr>
              <w:t>/a。由于清洗产生的废水含有大量的有益元素，经2m</w:t>
            </w:r>
            <w:r>
              <w:rPr>
                <w:rFonts w:hint="eastAsia" w:ascii="Times New Roman" w:hAnsi="Times New Roman" w:cs="Times New Roman"/>
                <w:b w:val="0"/>
                <w:bCs w:val="0"/>
                <w:color w:val="auto"/>
                <w:sz w:val="24"/>
                <w:highlight w:val="none"/>
                <w:u w:val="none"/>
                <w:vertAlign w:val="superscript"/>
                <w:lang w:val="en-US" w:eastAsia="zh-CN"/>
              </w:rPr>
              <w:t>3</w:t>
            </w:r>
            <w:r>
              <w:rPr>
                <w:rFonts w:hint="eastAsia" w:ascii="Times New Roman" w:hAnsi="Times New Roman" w:cs="Times New Roman"/>
                <w:b w:val="0"/>
                <w:bCs w:val="0"/>
                <w:color w:val="auto"/>
                <w:sz w:val="24"/>
                <w:highlight w:val="none"/>
                <w:u w:val="none"/>
                <w:lang w:val="en-US" w:eastAsia="zh-CN"/>
              </w:rPr>
              <w:t>的收集池收集后，用于项目生产线原料生产使用，不外排。</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val="0"/>
                <w:bCs w:val="0"/>
                <w:color w:val="auto"/>
                <w:sz w:val="24"/>
                <w:highlight w:val="none"/>
                <w:u w:val="none"/>
                <w:lang w:val="en-US" w:eastAsia="zh-CN"/>
              </w:rPr>
            </w:pPr>
            <w:r>
              <w:rPr>
                <w:rFonts w:hint="eastAsia" w:ascii="Times New Roman" w:hAnsi="Times New Roman" w:cs="Times New Roman"/>
                <w:b/>
                <w:bCs/>
                <w:color w:val="auto"/>
                <w:sz w:val="24"/>
                <w:highlight w:val="none"/>
                <w:lang w:val="en-US" w:eastAsia="zh-CN"/>
              </w:rPr>
              <w:t>生产过程添加水：</w:t>
            </w:r>
            <w:r>
              <w:rPr>
                <w:rFonts w:hint="eastAsia" w:ascii="Times New Roman" w:hAnsi="Times New Roman" w:cs="Times New Roman"/>
                <w:color w:val="auto"/>
                <w:sz w:val="24"/>
                <w:highlight w:val="none"/>
                <w:lang w:val="en-US" w:eastAsia="zh-CN"/>
              </w:rPr>
              <w:t>根据项目生产工艺特点，生产过程添加水用量约1000m</w:t>
            </w:r>
            <w:r>
              <w:rPr>
                <w:rFonts w:hint="eastAsia" w:ascii="Times New Roman" w:hAnsi="Times New Roman" w:cs="Times New Roman"/>
                <w:color w:val="auto"/>
                <w:sz w:val="24"/>
                <w:highlight w:val="none"/>
                <w:vertAlign w:val="superscript"/>
                <w:lang w:val="en-US" w:eastAsia="zh-CN"/>
              </w:rPr>
              <w:t>3</w:t>
            </w:r>
            <w:r>
              <w:rPr>
                <w:rFonts w:hint="eastAsia" w:ascii="Times New Roman" w:hAnsi="Times New Roman" w:cs="Times New Roman"/>
                <w:color w:val="auto"/>
                <w:sz w:val="24"/>
                <w:highlight w:val="none"/>
                <w:lang w:val="en-US" w:eastAsia="zh-CN"/>
              </w:rPr>
              <w:t>/a，70%部分在烘干工序以水蒸气形式损失，剩余部分由产品带走</w:t>
            </w:r>
            <w:r>
              <w:rPr>
                <w:rFonts w:hint="eastAsia" w:ascii="Times New Roman" w:hAnsi="Times New Roman" w:cs="Times New Roman"/>
                <w:b w:val="0"/>
                <w:bCs w:val="0"/>
                <w:color w:val="auto"/>
                <w:sz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b w:val="0"/>
                <w:bCs w:val="0"/>
                <w:color w:val="auto"/>
                <w:sz w:val="24"/>
                <w:highlight w:val="none"/>
                <w:u w:val="none"/>
                <w:lang w:val="en-US" w:eastAsia="zh-CN"/>
              </w:rPr>
            </w:pPr>
            <w:r>
              <w:rPr>
                <w:rFonts w:hint="default" w:ascii="Times New Roman" w:hAnsi="Times New Roman" w:eastAsia="宋体" w:cs="Times New Roman"/>
                <w:b/>
                <w:bCs/>
                <w:color w:val="auto"/>
                <w:sz w:val="21"/>
                <w:szCs w:val="24"/>
                <w:vertAlign w:val="baseline"/>
                <w:lang w:val="en-US" w:eastAsia="zh-CN"/>
              </w:rPr>
              <w:drawing>
                <wp:anchor distT="0" distB="0" distL="114300" distR="114300" simplePos="0" relativeHeight="251669504" behindDoc="1" locked="0" layoutInCell="1" allowOverlap="1">
                  <wp:simplePos x="0" y="0"/>
                  <wp:positionH relativeFrom="column">
                    <wp:posOffset>73660</wp:posOffset>
                  </wp:positionH>
                  <wp:positionV relativeFrom="paragraph">
                    <wp:posOffset>244475</wp:posOffset>
                  </wp:positionV>
                  <wp:extent cx="4709795" cy="1579245"/>
                  <wp:effectExtent l="0" t="0" r="0" b="0"/>
                  <wp:wrapTight wrapText="bothSides">
                    <wp:wrapPolygon>
                      <wp:start x="5504" y="3387"/>
                      <wp:lineTo x="5242" y="5211"/>
                      <wp:lineTo x="5155" y="6774"/>
                      <wp:lineTo x="961" y="10162"/>
                      <wp:lineTo x="961" y="12507"/>
                      <wp:lineTo x="4456" y="15894"/>
                      <wp:lineTo x="5155" y="15894"/>
                      <wp:lineTo x="5155" y="18239"/>
                      <wp:lineTo x="7688" y="19281"/>
                      <wp:lineTo x="13629" y="19802"/>
                      <wp:lineTo x="16512" y="19802"/>
                      <wp:lineTo x="16687" y="16676"/>
                      <wp:lineTo x="16250" y="16154"/>
                      <wp:lineTo x="13629" y="15894"/>
                      <wp:lineTo x="10484" y="11725"/>
                      <wp:lineTo x="10659" y="10422"/>
                      <wp:lineTo x="5504" y="7556"/>
                      <wp:lineTo x="20881" y="7556"/>
                      <wp:lineTo x="21055" y="3387"/>
                      <wp:lineTo x="13454" y="3387"/>
                      <wp:lineTo x="5504" y="3387"/>
                    </wp:wrapPolygon>
                  </wp:wrapTight>
                  <wp:docPr id="36" name="ECB019B1-382A-4266-B25C-5B523AA43C14-1" descr="C:/Users/Administrator/AppData/Local/Temp/wps.ipxyUg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CB019B1-382A-4266-B25C-5B523AA43C14-1" descr="C:/Users/Administrator/AppData/Local/Temp/wps.ipxyUgwps"/>
                          <pic:cNvPicPr>
                            <a:picLocks noChangeAspect="1"/>
                          </pic:cNvPicPr>
                        </pic:nvPicPr>
                        <pic:blipFill>
                          <a:blip r:embed="rId6"/>
                          <a:stretch>
                            <a:fillRect/>
                          </a:stretch>
                        </pic:blipFill>
                        <pic:spPr>
                          <a:xfrm>
                            <a:off x="0" y="0"/>
                            <a:ext cx="4709795" cy="1579245"/>
                          </a:xfrm>
                          <a:prstGeom prst="rect">
                            <a:avLst/>
                          </a:prstGeom>
                        </pic:spPr>
                      </pic:pic>
                    </a:graphicData>
                  </a:graphic>
                </wp:anchor>
              </w:drawing>
            </w:r>
            <w:r>
              <w:rPr>
                <w:rFonts w:hint="eastAsia" w:ascii="Times New Roman" w:hAnsi="Times New Roman" w:cs="Times New Roman"/>
                <w:b w:val="0"/>
                <w:bCs w:val="0"/>
                <w:color w:val="auto"/>
                <w:sz w:val="24"/>
                <w:highlight w:val="none"/>
                <w:u w:val="none"/>
                <w:lang w:val="en-US" w:eastAsia="zh-CN"/>
              </w:rPr>
              <w:t>项目水平衡图见下图。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bCs w:val="0"/>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val="0"/>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val="0"/>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val="0"/>
                <w:color w:val="auto"/>
                <w:sz w:val="21"/>
                <w:szCs w:val="21"/>
                <w:highlight w:val="none"/>
                <w:lang w:val="en-US" w:eastAsia="zh-CN"/>
              </w:rPr>
            </w:pPr>
            <w:r>
              <w:rPr>
                <w:rFonts w:hint="eastAsia" w:ascii="Times New Roman" w:hAnsi="Times New Roman" w:cs="Times New Roman"/>
                <w:b/>
                <w:bCs w:val="0"/>
                <w:color w:val="auto"/>
                <w:sz w:val="21"/>
                <w:szCs w:val="21"/>
                <w:highlight w:val="none"/>
                <w:lang w:val="en-US" w:eastAsia="zh-CN"/>
              </w:rPr>
              <w:t>图2-1  项目水平衡图  单位：m</w:t>
            </w:r>
            <w:r>
              <w:rPr>
                <w:rFonts w:hint="eastAsia" w:ascii="Times New Roman" w:hAnsi="Times New Roman" w:cs="Times New Roman"/>
                <w:b/>
                <w:bCs w:val="0"/>
                <w:color w:val="auto"/>
                <w:sz w:val="21"/>
                <w:szCs w:val="21"/>
                <w:highlight w:val="none"/>
                <w:vertAlign w:val="superscript"/>
                <w:lang w:val="en-US" w:eastAsia="zh-CN"/>
              </w:rPr>
              <w:t>3</w:t>
            </w:r>
            <w:r>
              <w:rPr>
                <w:rFonts w:hint="eastAsia" w:ascii="Times New Roman" w:hAnsi="Times New Roman" w:cs="Times New Roman"/>
                <w:b/>
                <w:bCs w:val="0"/>
                <w:color w:val="auto"/>
                <w:sz w:val="21"/>
                <w:szCs w:val="21"/>
                <w:highlight w:val="none"/>
                <w:lang w:val="en-US" w:eastAsia="zh-CN"/>
              </w:rPr>
              <w:t>/a</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（7）总平面布置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lang w:eastAsia="zh-CN"/>
              </w:rPr>
              <w:t>本项目</w:t>
            </w:r>
            <w:r>
              <w:rPr>
                <w:rFonts w:hint="default" w:ascii="Times New Roman" w:hAnsi="Times New Roman" w:eastAsia="宋体" w:cs="Times New Roman"/>
                <w:color w:val="auto"/>
                <w:sz w:val="24"/>
                <w:lang w:val="en-US" w:eastAsia="zh-CN"/>
              </w:rPr>
              <w:t>位于</w:t>
            </w:r>
            <w:r>
              <w:rPr>
                <w:rFonts w:hint="eastAsia" w:ascii="Times New Roman" w:hAnsi="Times New Roman" w:cs="Times New Roman"/>
                <w:color w:val="auto"/>
                <w:sz w:val="24"/>
                <w:szCs w:val="32"/>
                <w:vertAlign w:val="baseline"/>
                <w:lang w:val="en-US" w:eastAsia="zh-CN"/>
              </w:rPr>
              <w:t>永城市产业集聚区南外环与芒砀路南段交叉口</w:t>
            </w:r>
            <w:r>
              <w:rPr>
                <w:rFonts w:hint="default" w:ascii="Times New Roman" w:hAnsi="Times New Roman" w:eastAsia="宋体" w:cs="Times New Roman"/>
                <w:color w:val="auto"/>
                <w:sz w:val="24"/>
                <w:lang w:val="en-US" w:eastAsia="zh-CN"/>
              </w:rPr>
              <w:t>，在满足生产及运输的条件下，节约土地，力求布置紧凑，提高场地利用系数。厂区及厂房布置设计符合设计规范，交通方便，布置合理，能够满足项目生产要求和相关环保要求。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工艺流程和产排污环节</w:t>
            </w:r>
          </w:p>
        </w:tc>
        <w:tc>
          <w:tcPr>
            <w:tcW w:w="7944" w:type="dxa"/>
            <w:noWrap w:val="0"/>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1、施工期工艺流程及产污环节</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eastAsia="宋体" w:cs="Times New Roman"/>
                <w:b w:val="0"/>
                <w:bCs w:val="0"/>
                <w:color w:val="auto"/>
                <w:sz w:val="24"/>
                <w:szCs w:val="32"/>
                <w:vertAlign w:val="baseline"/>
                <w:lang w:val="en-US" w:eastAsia="zh-CN"/>
              </w:rPr>
            </w:pPr>
            <w:r>
              <w:rPr>
                <w:rFonts w:hint="default" w:ascii="Times New Roman" w:hAnsi="Times New Roman" w:eastAsia="宋体" w:cs="Times New Roman"/>
                <w:b/>
                <w:bCs/>
                <w:color w:val="auto"/>
              </w:rPr>
              <w:t>图2-2  项目施工期生产工艺流程及产污环节图</w:t>
            </w:r>
            <w:r>
              <w:rPr>
                <w:color w:val="auto"/>
              </w:rPr>
              <w:drawing>
                <wp:anchor distT="0" distB="0" distL="114300" distR="114300" simplePos="0" relativeHeight="251670528" behindDoc="1" locked="0" layoutInCell="1" allowOverlap="1">
                  <wp:simplePos x="0" y="0"/>
                  <wp:positionH relativeFrom="column">
                    <wp:posOffset>-34290</wp:posOffset>
                  </wp:positionH>
                  <wp:positionV relativeFrom="paragraph">
                    <wp:posOffset>61595</wp:posOffset>
                  </wp:positionV>
                  <wp:extent cx="4910455" cy="1148080"/>
                  <wp:effectExtent l="0" t="0" r="4445" b="13970"/>
                  <wp:wrapTight wrapText="bothSides">
                    <wp:wrapPolygon>
                      <wp:start x="0" y="0"/>
                      <wp:lineTo x="0" y="21146"/>
                      <wp:lineTo x="21536" y="21146"/>
                      <wp:lineTo x="21536" y="0"/>
                      <wp:lineTo x="0" y="0"/>
                    </wp:wrapPolygon>
                  </wp:wrapTight>
                  <wp:docPr id="3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6"/>
                          <pic:cNvPicPr>
                            <a:picLocks noChangeAspect="1"/>
                          </pic:cNvPicPr>
                        </pic:nvPicPr>
                        <pic:blipFill>
                          <a:blip r:embed="rId7"/>
                          <a:stretch>
                            <a:fillRect/>
                          </a:stretch>
                        </pic:blipFill>
                        <pic:spPr>
                          <a:xfrm>
                            <a:off x="0" y="0"/>
                            <a:ext cx="4910455" cy="1148080"/>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2、营运期工艺流程及产污环节</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auto"/>
                <w:sz w:val="21"/>
                <w:szCs w:val="24"/>
                <w:vertAlign w:val="baseline"/>
                <w:lang w:val="en-US" w:eastAsia="zh-CN"/>
              </w:rPr>
            </w:pPr>
            <w:r>
              <w:rPr>
                <w:rFonts w:hint="eastAsia" w:ascii="Times New Roman" w:hAnsi="Times New Roman" w:cs="Times New Roman"/>
                <w:b/>
                <w:bCs/>
                <w:color w:val="auto"/>
                <w:sz w:val="21"/>
                <w:szCs w:val="24"/>
                <w:vertAlign w:val="baseline"/>
                <w:lang w:val="en-US" w:eastAsia="zh-CN"/>
              </w:rPr>
              <w:drawing>
                <wp:inline distT="0" distB="0" distL="114300" distR="114300">
                  <wp:extent cx="4897120" cy="3406775"/>
                  <wp:effectExtent l="0" t="0" r="0" b="0"/>
                  <wp:docPr id="10" name="ECB019B1-382A-4266-B25C-5B523AA43C14-2" descr="C:/Users/Administrator/AppData/Local/Temp/wps.QkMCbE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B019B1-382A-4266-B25C-5B523AA43C14-2" descr="C:/Users/Administrator/AppData/Local/Temp/wps.QkMCbEwps"/>
                          <pic:cNvPicPr>
                            <a:picLocks noChangeAspect="1"/>
                          </pic:cNvPicPr>
                        </pic:nvPicPr>
                        <pic:blipFill>
                          <a:blip r:embed="rId8"/>
                          <a:stretch>
                            <a:fillRect/>
                          </a:stretch>
                        </pic:blipFill>
                        <pic:spPr>
                          <a:xfrm>
                            <a:off x="0" y="0"/>
                            <a:ext cx="4897120" cy="3406775"/>
                          </a:xfrm>
                          <a:prstGeom prst="rect">
                            <a:avLst/>
                          </a:prstGeom>
                        </pic:spPr>
                      </pic:pic>
                    </a:graphicData>
                  </a:graphic>
                </wp:inline>
              </w:drawing>
            </w:r>
            <w:r>
              <w:rPr>
                <w:rFonts w:hint="eastAsia" w:ascii="Times New Roman" w:hAnsi="Times New Roman" w:cs="Times New Roman"/>
                <w:b/>
                <w:bCs/>
                <w:color w:val="auto"/>
                <w:sz w:val="21"/>
                <w:szCs w:val="24"/>
                <w:u w:val="single"/>
                <w:vertAlign w:val="baseline"/>
                <w:lang w:val="en-US" w:eastAsia="zh-CN"/>
              </w:rPr>
              <w:t>图2-3  生产工艺流程及产污环节图</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工艺流程简述：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color w:val="auto"/>
                <w:sz w:val="24"/>
                <w:szCs w:val="32"/>
                <w:lang w:eastAsia="zh-CN"/>
              </w:rPr>
            </w:pPr>
            <w:r>
              <w:rPr>
                <w:rFonts w:hint="eastAsia" w:ascii="Times New Roman" w:hAnsi="Times New Roman" w:eastAsia="宋体" w:cs="Times New Roman"/>
                <w:b/>
                <w:bCs/>
                <w:color w:val="auto"/>
                <w:sz w:val="24"/>
                <w:szCs w:val="32"/>
                <w:lang w:eastAsia="zh-CN"/>
              </w:rPr>
              <w:t>本项目不涉及菌种培育。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32"/>
                <w:lang w:eastAsia="zh-CN"/>
              </w:rPr>
            </w:pPr>
            <w:r>
              <w:rPr>
                <w:rFonts w:hint="eastAsia" w:ascii="Times New Roman" w:hAnsi="Times New Roman" w:eastAsia="宋体" w:cs="Times New Roman"/>
                <w:color w:val="auto"/>
                <w:sz w:val="24"/>
                <w:szCs w:val="32"/>
                <w:lang w:eastAsia="zh-CN"/>
              </w:rPr>
              <w:t>（1）</w:t>
            </w:r>
            <w:r>
              <w:rPr>
                <w:rFonts w:hint="eastAsia" w:ascii="Times New Roman" w:hAnsi="Times New Roman" w:cs="Times New Roman"/>
                <w:color w:val="auto"/>
                <w:sz w:val="24"/>
                <w:szCs w:val="32"/>
                <w:lang w:eastAsia="zh-CN"/>
              </w:rPr>
              <w:t>一、二、三级</w:t>
            </w:r>
            <w:r>
              <w:rPr>
                <w:rFonts w:hint="eastAsia" w:ascii="Times New Roman" w:hAnsi="Times New Roman" w:eastAsia="宋体" w:cs="Times New Roman"/>
                <w:color w:val="auto"/>
                <w:sz w:val="24"/>
                <w:szCs w:val="32"/>
                <w:lang w:eastAsia="zh-CN"/>
              </w:rPr>
              <w:t>菌种培养：首先将原始菌种进行扩大培养，经过一级、二级种子培养，目的为了让细菌有一个适应过程，确保菌种从培养基顺利进入发酵培养基保证菌种安全扩培。菌种经一级种子罐、二级种子罐</w:t>
            </w:r>
            <w:r>
              <w:rPr>
                <w:rFonts w:hint="eastAsia" w:ascii="Times New Roman" w:hAnsi="Times New Roman" w:cs="Times New Roman"/>
                <w:color w:val="auto"/>
                <w:sz w:val="24"/>
                <w:szCs w:val="32"/>
                <w:lang w:eastAsia="zh-CN"/>
              </w:rPr>
              <w:t>、三级种子罐</w:t>
            </w:r>
            <w:r>
              <w:rPr>
                <w:rFonts w:hint="eastAsia" w:ascii="Times New Roman" w:hAnsi="Times New Roman" w:eastAsia="宋体" w:cs="Times New Roman"/>
                <w:color w:val="auto"/>
                <w:sz w:val="24"/>
                <w:szCs w:val="32"/>
                <w:lang w:eastAsia="zh-CN"/>
              </w:rPr>
              <w:t>初步扩培后，进入生产发酵罐发酵培养，发酵温度30℃，培养周期约40h，发酵培养结束。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32"/>
                <w:lang w:eastAsia="zh-CN"/>
              </w:rPr>
            </w:pPr>
            <w:r>
              <w:rPr>
                <w:rFonts w:hint="eastAsia" w:ascii="Times New Roman" w:hAnsi="Times New Roman" w:cs="Times New Roman"/>
                <w:color w:val="auto"/>
                <w:sz w:val="24"/>
                <w:szCs w:val="32"/>
                <w:lang w:eastAsia="zh-CN"/>
              </w:rPr>
              <w:t>（</w:t>
            </w:r>
            <w:r>
              <w:rPr>
                <w:rFonts w:hint="eastAsia" w:ascii="Times New Roman" w:hAnsi="Times New Roman" w:cs="Times New Roman"/>
                <w:color w:val="auto"/>
                <w:sz w:val="24"/>
                <w:szCs w:val="32"/>
                <w:lang w:val="en-US" w:eastAsia="zh-CN"/>
              </w:rPr>
              <w:t>2</w:t>
            </w:r>
            <w:r>
              <w:rPr>
                <w:rFonts w:hint="eastAsia" w:ascii="Times New Roman" w:hAnsi="Times New Roman" w:cs="Times New Roman"/>
                <w:color w:val="auto"/>
                <w:sz w:val="24"/>
                <w:szCs w:val="32"/>
                <w:lang w:eastAsia="zh-CN"/>
              </w:rPr>
              <w:t>）离心浓缩、混合：物料进入离心机内，进行离心分离，分离出的物料进行缓冲罐内进行混合。将其他辅料按照设定的比例加入到搅拌机内，在搅拌机内充分混合均匀后即可得到液体水溶肥产品。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32"/>
                <w:lang w:eastAsia="zh-CN"/>
              </w:rPr>
            </w:pPr>
            <w:r>
              <w:rPr>
                <w:rFonts w:hint="eastAsia" w:ascii="Times New Roman" w:hAnsi="Times New Roman" w:cs="Times New Roman"/>
                <w:color w:val="auto"/>
                <w:sz w:val="24"/>
                <w:szCs w:val="32"/>
                <w:lang w:eastAsia="zh-CN"/>
              </w:rPr>
              <w:t>（</w:t>
            </w:r>
            <w:r>
              <w:rPr>
                <w:rFonts w:hint="eastAsia" w:ascii="Times New Roman" w:hAnsi="Times New Roman" w:cs="Times New Roman"/>
                <w:color w:val="auto"/>
                <w:sz w:val="24"/>
                <w:szCs w:val="32"/>
                <w:lang w:val="en-US" w:eastAsia="zh-CN"/>
              </w:rPr>
              <w:t>3</w:t>
            </w:r>
            <w:r>
              <w:rPr>
                <w:rFonts w:hint="eastAsia" w:ascii="Times New Roman" w:hAnsi="Times New Roman" w:cs="Times New Roman"/>
                <w:color w:val="auto"/>
                <w:sz w:val="24"/>
                <w:szCs w:val="32"/>
                <w:lang w:eastAsia="zh-CN"/>
              </w:rPr>
              <w:t>）罐装：将液体水溶肥用塑料桶进行分装，分装规格为</w:t>
            </w:r>
            <w:r>
              <w:rPr>
                <w:rFonts w:hint="eastAsia" w:ascii="Times New Roman" w:hAnsi="Times New Roman" w:cs="Times New Roman"/>
                <w:color w:val="auto"/>
                <w:sz w:val="24"/>
                <w:szCs w:val="32"/>
                <w:lang w:val="en-US" w:eastAsia="zh-CN"/>
              </w:rPr>
              <w:t>10kg/桶或20kg/桶，打包好后暂存于产品堆存区，等待外售。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32"/>
                <w:lang w:val="en-US" w:eastAsia="zh-CN"/>
              </w:rPr>
            </w:pPr>
            <w:r>
              <w:rPr>
                <w:rFonts w:hint="eastAsia" w:ascii="Times New Roman" w:hAnsi="Times New Roman" w:cs="Times New Roman"/>
                <w:color w:val="auto"/>
                <w:sz w:val="24"/>
                <w:szCs w:val="32"/>
                <w:lang w:val="en-US" w:eastAsia="zh-CN"/>
              </w:rPr>
              <w:t>（4）烘干：项目设计粉料、粒料水溶肥的加工，将混合后的液体水溶肥进入烘干机（电加热）内进行烘干，烘干后的物料即为产品（固体水溶肥）。烘干后物料经包装袋包装后，暂存于产品堆存区，等待外售。</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产污环节：</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运营期主要污染工序见下表：</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eastAsia="宋体" w:cs="Times New Roman"/>
                <w:b/>
                <w:bCs/>
                <w:color w:val="auto"/>
                <w:sz w:val="21"/>
                <w:szCs w:val="24"/>
                <w:vertAlign w:val="baseline"/>
                <w:lang w:val="en-US" w:eastAsia="zh-CN"/>
              </w:rPr>
            </w:pPr>
            <w:r>
              <w:rPr>
                <w:rFonts w:hint="default" w:ascii="Times New Roman" w:hAnsi="Times New Roman" w:eastAsia="宋体" w:cs="Times New Roman"/>
                <w:b/>
                <w:bCs/>
                <w:color w:val="auto"/>
                <w:sz w:val="21"/>
                <w:szCs w:val="24"/>
                <w:vertAlign w:val="baseline"/>
                <w:lang w:val="en-US" w:eastAsia="zh-CN"/>
              </w:rPr>
              <w:t>表2-</w:t>
            </w:r>
            <w:r>
              <w:rPr>
                <w:rFonts w:hint="eastAsia" w:ascii="Times New Roman" w:hAnsi="Times New Roman" w:cs="Times New Roman"/>
                <w:b/>
                <w:bCs/>
                <w:color w:val="auto"/>
                <w:sz w:val="21"/>
                <w:szCs w:val="24"/>
                <w:vertAlign w:val="baseline"/>
                <w:lang w:val="en-US" w:eastAsia="zh-CN"/>
              </w:rPr>
              <w:t>5</w:t>
            </w:r>
            <w:r>
              <w:rPr>
                <w:rFonts w:hint="default" w:ascii="Times New Roman" w:hAnsi="Times New Roman" w:eastAsia="宋体" w:cs="Times New Roman"/>
                <w:b/>
                <w:bCs/>
                <w:color w:val="auto"/>
                <w:sz w:val="21"/>
                <w:szCs w:val="24"/>
                <w:vertAlign w:val="baseline"/>
                <w:lang w:val="en-US" w:eastAsia="zh-CN"/>
              </w:rPr>
              <w:t xml:space="preserve">  营运期主要污染工序</w:t>
            </w:r>
          </w:p>
          <w:tbl>
            <w:tblPr>
              <w:tblStyle w:val="15"/>
              <w:tblW w:w="7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061"/>
              <w:gridCol w:w="1931"/>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污染类别</w:t>
                  </w:r>
                </w:p>
              </w:tc>
              <w:tc>
                <w:tcPr>
                  <w:tcW w:w="20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污染源名称</w:t>
                  </w:r>
                </w:p>
              </w:tc>
              <w:tc>
                <w:tcPr>
                  <w:tcW w:w="19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产生工序</w:t>
                  </w:r>
                </w:p>
              </w:tc>
              <w:tc>
                <w:tcPr>
                  <w:tcW w:w="19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污染因子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178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废气</w:t>
                  </w:r>
                </w:p>
              </w:tc>
              <w:tc>
                <w:tcPr>
                  <w:tcW w:w="20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投料、混合粉尘</w:t>
                  </w:r>
                </w:p>
              </w:tc>
              <w:tc>
                <w:tcPr>
                  <w:tcW w:w="19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投料、混合</w:t>
                  </w:r>
                </w:p>
              </w:tc>
              <w:tc>
                <w:tcPr>
                  <w:tcW w:w="193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78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b w:val="0"/>
                      <w:bCs w:val="0"/>
                      <w:color w:val="auto"/>
                      <w:sz w:val="21"/>
                      <w:szCs w:val="21"/>
                      <w:u w:val="none"/>
                      <w:vertAlign w:val="baseline"/>
                      <w:lang w:val="en-US" w:eastAsia="zh-CN"/>
                    </w:rPr>
                  </w:pPr>
                </w:p>
              </w:tc>
              <w:tc>
                <w:tcPr>
                  <w:tcW w:w="20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烘干粉尘</w:t>
                  </w:r>
                </w:p>
              </w:tc>
              <w:tc>
                <w:tcPr>
                  <w:tcW w:w="19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烘干</w:t>
                  </w:r>
                </w:p>
              </w:tc>
              <w:tc>
                <w:tcPr>
                  <w:tcW w:w="193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b w:val="0"/>
                      <w:bCs w:val="0"/>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噪声</w:t>
                  </w:r>
                </w:p>
              </w:tc>
              <w:tc>
                <w:tcPr>
                  <w:tcW w:w="20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设备噪声</w:t>
                  </w:r>
                </w:p>
              </w:tc>
              <w:tc>
                <w:tcPr>
                  <w:tcW w:w="19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生产过程</w:t>
                  </w:r>
                </w:p>
              </w:tc>
              <w:tc>
                <w:tcPr>
                  <w:tcW w:w="19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178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固废</w:t>
                  </w:r>
                </w:p>
              </w:tc>
              <w:tc>
                <w:tcPr>
                  <w:tcW w:w="2061"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color w:val="auto"/>
                      <w:sz w:val="21"/>
                      <w:szCs w:val="21"/>
                      <w:lang w:eastAsia="zh-CN"/>
                    </w:rPr>
                    <w:t>除尘器收集粉尘</w:t>
                  </w:r>
                </w:p>
              </w:tc>
              <w:tc>
                <w:tcPr>
                  <w:tcW w:w="19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环保设施</w:t>
                  </w:r>
                </w:p>
              </w:tc>
              <w:tc>
                <w:tcPr>
                  <w:tcW w:w="19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178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b w:val="0"/>
                      <w:bCs w:val="0"/>
                      <w:color w:val="auto"/>
                      <w:sz w:val="21"/>
                      <w:szCs w:val="21"/>
                      <w:u w:val="none"/>
                      <w:vertAlign w:val="baseline"/>
                      <w:lang w:val="en-US" w:eastAsia="zh-CN"/>
                    </w:rPr>
                  </w:pPr>
                </w:p>
              </w:tc>
              <w:tc>
                <w:tcPr>
                  <w:tcW w:w="2061"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color w:val="auto"/>
                      <w:sz w:val="21"/>
                      <w:szCs w:val="21"/>
                      <w:lang w:eastAsia="zh-CN"/>
                    </w:rPr>
                    <w:t>废包装</w:t>
                  </w:r>
                  <w:r>
                    <w:rPr>
                      <w:rFonts w:hint="eastAsia" w:ascii="Times New Roman" w:hAnsi="Times New Roman" w:cs="Times New Roman"/>
                      <w:color w:val="auto"/>
                      <w:sz w:val="21"/>
                      <w:szCs w:val="21"/>
                      <w:lang w:eastAsia="zh-CN"/>
                    </w:rPr>
                    <w:t>袋</w:t>
                  </w:r>
                </w:p>
              </w:tc>
              <w:tc>
                <w:tcPr>
                  <w:tcW w:w="19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生产过程</w:t>
                  </w:r>
                </w:p>
              </w:tc>
              <w:tc>
                <w:tcPr>
                  <w:tcW w:w="19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178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b w:val="0"/>
                      <w:bCs w:val="0"/>
                      <w:color w:val="auto"/>
                      <w:sz w:val="21"/>
                      <w:szCs w:val="21"/>
                      <w:u w:val="none"/>
                      <w:vertAlign w:val="baseline"/>
                      <w:lang w:val="en-US" w:eastAsia="zh-CN"/>
                    </w:rPr>
                  </w:pPr>
                </w:p>
              </w:tc>
              <w:tc>
                <w:tcPr>
                  <w:tcW w:w="2061"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color w:val="auto"/>
                      <w:sz w:val="21"/>
                      <w:szCs w:val="21"/>
                      <w:lang w:eastAsia="zh-CN"/>
                    </w:rPr>
                    <w:t>废</w:t>
                  </w:r>
                  <w:r>
                    <w:rPr>
                      <w:rFonts w:hint="eastAsia" w:ascii="Times New Roman" w:hAnsi="Times New Roman" w:cs="Times New Roman"/>
                      <w:color w:val="auto"/>
                      <w:sz w:val="21"/>
                      <w:szCs w:val="21"/>
                      <w:lang w:eastAsia="zh-CN"/>
                    </w:rPr>
                    <w:t>包装桶</w:t>
                  </w:r>
                </w:p>
              </w:tc>
              <w:tc>
                <w:tcPr>
                  <w:tcW w:w="19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生产过程</w:t>
                  </w:r>
                </w:p>
              </w:tc>
              <w:tc>
                <w:tcPr>
                  <w:tcW w:w="19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w:t>
                  </w:r>
                </w:p>
              </w:tc>
            </w:tr>
          </w:tbl>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与项目有关的原有环境污染问题</w:t>
            </w:r>
          </w:p>
        </w:tc>
        <w:tc>
          <w:tcPr>
            <w:tcW w:w="7944" w:type="dxa"/>
            <w:noWrap w:val="0"/>
            <w:vAlign w:val="center"/>
          </w:tcPr>
          <w:p>
            <w:pPr>
              <w:pStyle w:val="28"/>
              <w:spacing w:line="520" w:lineRule="exact"/>
              <w:ind w:firstLine="480"/>
              <w:rPr>
                <w:rFonts w:hint="eastAsia" w:ascii="Times New Roman" w:cs="Times New Roman"/>
                <w:b w:val="0"/>
                <w:bCs w:val="0"/>
                <w:color w:val="auto"/>
                <w:kern w:val="2"/>
                <w:highlight w:val="none"/>
                <w:lang w:val="en-US" w:eastAsia="zh-CN"/>
              </w:rPr>
            </w:pPr>
            <w:r>
              <w:rPr>
                <w:rFonts w:hint="eastAsia" w:ascii="Times New Roman" w:cs="Times New Roman"/>
                <w:b w:val="0"/>
                <w:bCs w:val="0"/>
                <w:color w:val="auto"/>
                <w:kern w:val="2"/>
                <w:highlight w:val="none"/>
                <w:lang w:val="en-US" w:eastAsia="zh-CN"/>
              </w:rPr>
              <w:t>与本项目有关的原有污染主要为现有工程产生的废水、废气、噪声和固废。</w:t>
            </w:r>
          </w:p>
          <w:p>
            <w:pPr>
              <w:pStyle w:val="28"/>
              <w:spacing w:line="520" w:lineRule="exact"/>
              <w:ind w:firstLine="480"/>
              <w:rPr>
                <w:rFonts w:hint="eastAsia" w:ascii="Times New Roman" w:cs="Times New Roman"/>
                <w:b/>
                <w:bCs/>
                <w:color w:val="auto"/>
                <w:kern w:val="2"/>
                <w:highlight w:val="none"/>
                <w:lang w:val="en-US" w:eastAsia="zh-CN"/>
              </w:rPr>
            </w:pPr>
            <w:r>
              <w:rPr>
                <w:rFonts w:hint="eastAsia" w:ascii="Times New Roman" w:cs="Times New Roman"/>
                <w:b/>
                <w:bCs/>
                <w:color w:val="auto"/>
                <w:kern w:val="2"/>
                <w:highlight w:val="none"/>
                <w:lang w:val="en-US" w:eastAsia="zh-CN"/>
              </w:rPr>
              <w:t>一、与本项目有关的原有污染情况：</w:t>
            </w:r>
          </w:p>
          <w:p>
            <w:pPr>
              <w:pStyle w:val="28"/>
              <w:spacing w:line="520" w:lineRule="exact"/>
              <w:ind w:firstLine="480"/>
              <w:rPr>
                <w:rFonts w:hint="default" w:ascii="Times New Roman" w:cs="Times New Roman"/>
                <w:b w:val="0"/>
                <w:bCs w:val="0"/>
                <w:color w:val="auto"/>
                <w:kern w:val="2"/>
                <w:highlight w:val="none"/>
                <w:lang w:val="en-US" w:eastAsia="zh-CN"/>
              </w:rPr>
            </w:pPr>
            <w:r>
              <w:rPr>
                <w:rFonts w:hint="eastAsia" w:ascii="Times New Roman" w:cs="Times New Roman"/>
                <w:b w:val="0"/>
                <w:bCs w:val="0"/>
                <w:color w:val="auto"/>
                <w:kern w:val="2"/>
                <w:highlight w:val="none"/>
                <w:lang w:val="en-US" w:eastAsia="zh-CN"/>
              </w:rPr>
              <w:t>本项目属于扩建项目，根据现场踏勘，</w:t>
            </w:r>
            <w:r>
              <w:rPr>
                <w:rFonts w:hint="eastAsia" w:ascii="Times New Roman" w:hAnsi="Times New Roman" w:cs="Times New Roman"/>
                <w:color w:val="auto"/>
                <w:sz w:val="24"/>
                <w:szCs w:val="32"/>
                <w:vertAlign w:val="baseline"/>
                <w:lang w:val="en-US" w:eastAsia="zh-CN"/>
              </w:rPr>
              <w:t>目前现有工程为上海大井生物工程有限公司永城分公司年产20000吨木霉微生物菌剂项目，2018年6月22日永城市产业集聚区管理委员会以永环集审[2018]16号文对上海大井生物工程有限公司永城分公司年产20000吨木霉微生物菌剂项目进行了批复，2019年12月22日取得排污许可证（证书编号：91411481MA44YHWE8D001Q），2020年4月进行自主验收。</w:t>
            </w:r>
            <w:r>
              <w:rPr>
                <w:rFonts w:hint="eastAsia" w:ascii="Times New Roman" w:cs="Times New Roman"/>
                <w:color w:val="auto"/>
                <w:sz w:val="24"/>
                <w:szCs w:val="32"/>
                <w:vertAlign w:val="baseline"/>
                <w:lang w:val="en-US" w:eastAsia="zh-CN"/>
              </w:rPr>
              <w:t>现有工程污染物排放情况如下：</w:t>
            </w:r>
          </w:p>
          <w:p>
            <w:pPr>
              <w:pStyle w:val="28"/>
              <w:spacing w:line="520" w:lineRule="exact"/>
              <w:ind w:firstLine="480"/>
              <w:rPr>
                <w:rFonts w:hint="default" w:ascii="Times New Roman" w:cs="Times New Roman"/>
                <w:b w:val="0"/>
                <w:bCs w:val="0"/>
                <w:color w:val="auto"/>
                <w:kern w:val="2"/>
                <w:highlight w:val="none"/>
                <w:lang w:val="en-US" w:eastAsia="zh-CN"/>
              </w:rPr>
            </w:pPr>
            <w:r>
              <w:rPr>
                <w:rFonts w:hint="eastAsia" w:ascii="Times New Roman" w:cs="Times New Roman"/>
                <w:b w:val="0"/>
                <w:bCs w:val="0"/>
                <w:color w:val="auto"/>
                <w:kern w:val="2"/>
                <w:highlight w:val="none"/>
                <w:lang w:val="en-US" w:eastAsia="zh-CN"/>
              </w:rPr>
              <w:t>1、废气</w:t>
            </w:r>
          </w:p>
          <w:p>
            <w:pPr>
              <w:pStyle w:val="28"/>
              <w:spacing w:line="520" w:lineRule="exact"/>
              <w:ind w:firstLine="480"/>
              <w:rPr>
                <w:rFonts w:hint="eastAsia" w:ascii="Times New Roman" w:cs="Times New Roman"/>
                <w:b w:val="0"/>
                <w:bCs w:val="0"/>
                <w:color w:val="auto"/>
                <w:kern w:val="2"/>
                <w:highlight w:val="none"/>
                <w:lang w:val="en-US" w:eastAsia="zh-CN"/>
              </w:rPr>
            </w:pPr>
            <w:r>
              <w:rPr>
                <w:rFonts w:hint="eastAsia" w:ascii="Times New Roman" w:cs="Times New Roman"/>
                <w:b w:val="0"/>
                <w:bCs w:val="0"/>
                <w:color w:val="auto"/>
                <w:kern w:val="2"/>
                <w:highlight w:val="none"/>
                <w:lang w:val="en-US" w:eastAsia="zh-CN"/>
              </w:rPr>
              <w:t>现有工程废气主要为投料粉尘、固体颗粒烘干废气、粉剂产品烘干废气、发酵废气、食堂油烟废气、天然气锅炉废气。颗粒及粉剂烘干工段各采用一套袋式除尘器、废气经过15m高的排气筒排放；发酵废气经过UV光氧催化装置+活性炭吸附装置处理后经过15m高的排气筒排放；锅炉废气经过15m高的排气筒排放；投料粉尘加强车间通风；食堂油烟经过油烟净化器处理后通过专用烟道排放。</w:t>
            </w:r>
          </w:p>
          <w:p>
            <w:pPr>
              <w:pStyle w:val="28"/>
              <w:spacing w:line="520" w:lineRule="exact"/>
              <w:ind w:firstLine="480"/>
              <w:rPr>
                <w:rFonts w:hint="eastAsia" w:ascii="Times New Roman" w:cs="Times New Roman"/>
                <w:b w:val="0"/>
                <w:bCs w:val="0"/>
                <w:color w:val="auto"/>
                <w:kern w:val="2"/>
                <w:highlight w:val="none"/>
                <w:lang w:val="en-US" w:eastAsia="zh-CN"/>
              </w:rPr>
            </w:pPr>
            <w:r>
              <w:rPr>
                <w:rFonts w:hint="eastAsia" w:ascii="Times New Roman" w:cs="Times New Roman"/>
                <w:b w:val="0"/>
                <w:bCs w:val="0"/>
                <w:color w:val="auto"/>
                <w:kern w:val="2"/>
                <w:highlight w:val="none"/>
                <w:lang w:val="en-US" w:eastAsia="zh-CN"/>
              </w:rPr>
              <w:t>根据现有工程竣工环境保护验收监测报告可知，项目固化颗粒工序袋式除尘器排气筒出口颗粒物排放浓度检测最大值为18.1mg/m</w:t>
            </w:r>
            <w:r>
              <w:rPr>
                <w:rFonts w:hint="eastAsia" w:ascii="Times New Roman" w:cs="Times New Roman"/>
                <w:b w:val="0"/>
                <w:bCs w:val="0"/>
                <w:color w:val="auto"/>
                <w:kern w:val="2"/>
                <w:highlight w:val="none"/>
                <w:vertAlign w:val="superscript"/>
                <w:lang w:val="en-US" w:eastAsia="zh-CN"/>
              </w:rPr>
              <w:t>3</w:t>
            </w:r>
            <w:r>
              <w:rPr>
                <w:rFonts w:hint="eastAsia" w:ascii="Times New Roman" w:cs="Times New Roman"/>
                <w:b w:val="0"/>
                <w:bCs w:val="0"/>
                <w:color w:val="auto"/>
                <w:kern w:val="2"/>
                <w:highlight w:val="none"/>
                <w:lang w:val="en-US" w:eastAsia="zh-CN"/>
              </w:rPr>
              <w:t>、排放速率检测最大值为0.0946kg/h，粉剂产品工序袋式除尘器排气筒出口颗粒物排放浓度检测最大值为17.6mg/m</w:t>
            </w:r>
            <w:r>
              <w:rPr>
                <w:rFonts w:hint="eastAsia" w:ascii="Times New Roman" w:cs="Times New Roman"/>
                <w:b w:val="0"/>
                <w:bCs w:val="0"/>
                <w:color w:val="auto"/>
                <w:kern w:val="2"/>
                <w:highlight w:val="none"/>
                <w:vertAlign w:val="superscript"/>
                <w:lang w:val="en-US" w:eastAsia="zh-CN"/>
              </w:rPr>
              <w:t>3</w:t>
            </w:r>
            <w:r>
              <w:rPr>
                <w:rFonts w:hint="eastAsia" w:ascii="Times New Roman" w:cs="Times New Roman"/>
                <w:b w:val="0"/>
                <w:bCs w:val="0"/>
                <w:color w:val="auto"/>
                <w:kern w:val="2"/>
                <w:highlight w:val="none"/>
                <w:lang w:val="en-US" w:eastAsia="zh-CN"/>
              </w:rPr>
              <w:t>、排放速率检测最大值为0.117kg/h，均满足《大气污染物综合排放标准》（GB16297-1996）表2二级标准要求；食堂油烟净化器出口油烟排放浓度检测最大值为1.4mg/m</w:t>
            </w:r>
            <w:r>
              <w:rPr>
                <w:rFonts w:hint="eastAsia" w:ascii="Times New Roman" w:cs="Times New Roman"/>
                <w:b w:val="0"/>
                <w:bCs w:val="0"/>
                <w:color w:val="auto"/>
                <w:kern w:val="2"/>
                <w:highlight w:val="none"/>
                <w:vertAlign w:val="superscript"/>
                <w:lang w:val="en-US" w:eastAsia="zh-CN"/>
              </w:rPr>
              <w:t>3</w:t>
            </w:r>
            <w:r>
              <w:rPr>
                <w:rFonts w:hint="eastAsia" w:ascii="Times New Roman" w:cs="Times New Roman"/>
                <w:b w:val="0"/>
                <w:bCs w:val="0"/>
                <w:color w:val="auto"/>
                <w:kern w:val="2"/>
                <w:highlight w:val="none"/>
                <w:lang w:val="en-US" w:eastAsia="zh-CN"/>
              </w:rPr>
              <w:t>、排放速率检测最大值为5.79×10</w:t>
            </w:r>
            <w:r>
              <w:rPr>
                <w:rFonts w:hint="eastAsia" w:ascii="Times New Roman" w:cs="Times New Roman"/>
                <w:b w:val="0"/>
                <w:bCs w:val="0"/>
                <w:color w:val="auto"/>
                <w:kern w:val="2"/>
                <w:highlight w:val="none"/>
                <w:vertAlign w:val="superscript"/>
                <w:lang w:val="en-US" w:eastAsia="zh-CN"/>
              </w:rPr>
              <w:t>-4</w:t>
            </w:r>
            <w:r>
              <w:rPr>
                <w:rFonts w:hint="eastAsia" w:ascii="Times New Roman" w:cs="Times New Roman"/>
                <w:b w:val="0"/>
                <w:bCs w:val="0"/>
                <w:color w:val="auto"/>
                <w:kern w:val="2"/>
                <w:highlight w:val="none"/>
                <w:lang w:val="en-US" w:eastAsia="zh-CN"/>
              </w:rPr>
              <w:t>kg/h、对油烟去除效率为93.88%~94.35%，满足《饮食业油烟排放标准（试行）》（GB18483—2001）表2标准限值要求以及《餐饮业油烟污染物排放标准》（DB41/1604—2018）表1中标准限值要求；玉米粉发酵工序UV光氧+活性炭吸附装置排气筒出口氨排放浓度检测最大值为3.71mg/m</w:t>
            </w:r>
            <w:r>
              <w:rPr>
                <w:rFonts w:hint="eastAsia" w:ascii="Times New Roman" w:cs="Times New Roman"/>
                <w:b w:val="0"/>
                <w:bCs w:val="0"/>
                <w:color w:val="auto"/>
                <w:kern w:val="2"/>
                <w:highlight w:val="none"/>
                <w:vertAlign w:val="superscript"/>
                <w:lang w:val="en-US" w:eastAsia="zh-CN"/>
              </w:rPr>
              <w:t>3</w:t>
            </w:r>
            <w:r>
              <w:rPr>
                <w:rFonts w:hint="eastAsia" w:ascii="Times New Roman" w:cs="Times New Roman"/>
                <w:b w:val="0"/>
                <w:bCs w:val="0"/>
                <w:color w:val="auto"/>
                <w:kern w:val="2"/>
                <w:highlight w:val="none"/>
                <w:lang w:val="en-US" w:eastAsia="zh-CN"/>
              </w:rPr>
              <w:t>、排放速率检测最大值为0.0143kg/h，硫化氢排放浓度检测最大值为0.596mg/m</w:t>
            </w:r>
            <w:r>
              <w:rPr>
                <w:rFonts w:hint="eastAsia" w:ascii="Times New Roman" w:cs="Times New Roman"/>
                <w:b w:val="0"/>
                <w:bCs w:val="0"/>
                <w:color w:val="auto"/>
                <w:kern w:val="2"/>
                <w:highlight w:val="none"/>
                <w:vertAlign w:val="superscript"/>
                <w:lang w:val="en-US" w:eastAsia="zh-CN"/>
              </w:rPr>
              <w:t>3</w:t>
            </w:r>
            <w:r>
              <w:rPr>
                <w:rFonts w:hint="eastAsia" w:ascii="Times New Roman" w:cs="Times New Roman"/>
                <w:b w:val="0"/>
                <w:bCs w:val="0"/>
                <w:color w:val="auto"/>
                <w:kern w:val="2"/>
                <w:highlight w:val="none"/>
                <w:lang w:val="en-US" w:eastAsia="zh-CN"/>
              </w:rPr>
              <w:t>、排放速率检测最大值为0.0026kg/h，均满足《恶臭污染物排放标准》（GB14554-93）标准限值要求；锅炉排气筒出口颗粒物排放浓度检测最大值为5.0mg/m</w:t>
            </w:r>
            <w:r>
              <w:rPr>
                <w:rFonts w:hint="eastAsia" w:ascii="Times New Roman" w:cs="Times New Roman"/>
                <w:b w:val="0"/>
                <w:bCs w:val="0"/>
                <w:color w:val="auto"/>
                <w:kern w:val="2"/>
                <w:highlight w:val="none"/>
                <w:vertAlign w:val="superscript"/>
                <w:lang w:val="en-US" w:eastAsia="zh-CN"/>
              </w:rPr>
              <w:t>3</w:t>
            </w:r>
            <w:r>
              <w:rPr>
                <w:rFonts w:hint="eastAsia" w:ascii="Times New Roman" w:cs="Times New Roman"/>
                <w:b w:val="0"/>
                <w:bCs w:val="0"/>
                <w:color w:val="auto"/>
                <w:kern w:val="2"/>
                <w:highlight w:val="none"/>
                <w:lang w:val="en-US" w:eastAsia="zh-CN"/>
              </w:rPr>
              <w:t>、排放速率检测最大值为0.0273kg/h，二氧化硫浓度为未检出，氮氧化物排放浓度最大值为16mg/m</w:t>
            </w:r>
            <w:r>
              <w:rPr>
                <w:rFonts w:hint="eastAsia" w:ascii="Times New Roman" w:cs="Times New Roman"/>
                <w:b w:val="0"/>
                <w:bCs w:val="0"/>
                <w:color w:val="auto"/>
                <w:kern w:val="2"/>
                <w:highlight w:val="none"/>
                <w:vertAlign w:val="superscript"/>
                <w:lang w:val="en-US" w:eastAsia="zh-CN"/>
              </w:rPr>
              <w:t>3</w:t>
            </w:r>
            <w:r>
              <w:rPr>
                <w:rFonts w:hint="eastAsia" w:ascii="Times New Roman" w:cs="Times New Roman"/>
                <w:b w:val="0"/>
                <w:bCs w:val="0"/>
                <w:color w:val="auto"/>
                <w:kern w:val="2"/>
                <w:highlight w:val="none"/>
                <w:lang w:val="en-US" w:eastAsia="zh-CN"/>
              </w:rPr>
              <w:t>、排放速率检测最大值为0.0858kg/h，均满足《锅炉大气污染物排放标准》(GB13279-2014)及河南省2019年度锅炉综合整治方案标准限值的要求。</w:t>
            </w:r>
          </w:p>
          <w:p>
            <w:pPr>
              <w:pStyle w:val="28"/>
              <w:spacing w:line="520" w:lineRule="exact"/>
              <w:ind w:firstLine="480"/>
              <w:rPr>
                <w:rFonts w:hint="eastAsia" w:ascii="Times New Roman" w:cs="Times New Roman"/>
                <w:b w:val="0"/>
                <w:bCs w:val="0"/>
                <w:color w:val="auto"/>
                <w:kern w:val="2"/>
                <w:highlight w:val="none"/>
                <w:lang w:val="en-US" w:eastAsia="zh-CN"/>
              </w:rPr>
            </w:pPr>
            <w:r>
              <w:rPr>
                <w:rFonts w:hint="eastAsia" w:ascii="Times New Roman" w:cs="Times New Roman"/>
                <w:b w:val="0"/>
                <w:bCs w:val="0"/>
                <w:color w:val="auto"/>
                <w:kern w:val="2"/>
                <w:highlight w:val="none"/>
                <w:lang w:val="en-US" w:eastAsia="zh-CN"/>
              </w:rPr>
              <w:t>厂界颗粒物无组织排放检测最高浓度为0.342mg/m</w:t>
            </w:r>
            <w:r>
              <w:rPr>
                <w:rFonts w:hint="eastAsia" w:ascii="Times New Roman" w:cs="Times New Roman"/>
                <w:b w:val="0"/>
                <w:bCs w:val="0"/>
                <w:color w:val="auto"/>
                <w:kern w:val="2"/>
                <w:highlight w:val="none"/>
                <w:vertAlign w:val="superscript"/>
                <w:lang w:val="en-US" w:eastAsia="zh-CN"/>
              </w:rPr>
              <w:t>3</w:t>
            </w:r>
            <w:r>
              <w:rPr>
                <w:rFonts w:hint="eastAsia" w:ascii="Times New Roman" w:cs="Times New Roman"/>
                <w:b w:val="0"/>
                <w:bCs w:val="0"/>
                <w:color w:val="auto"/>
                <w:kern w:val="2"/>
                <w:highlight w:val="none"/>
                <w:lang w:val="en-US" w:eastAsia="zh-CN"/>
              </w:rPr>
              <w:t>，满足《大气污染物综合排放标准》（GB16297-1996）表2标准要求；臭气浓度无组织排放检测最高浓度为19（无量纲），氨无组织排放检测最高浓度为0.134mg/m</w:t>
            </w:r>
            <w:r>
              <w:rPr>
                <w:rFonts w:hint="eastAsia" w:ascii="Times New Roman" w:cs="Times New Roman"/>
                <w:b w:val="0"/>
                <w:bCs w:val="0"/>
                <w:color w:val="auto"/>
                <w:kern w:val="2"/>
                <w:highlight w:val="none"/>
                <w:vertAlign w:val="superscript"/>
                <w:lang w:val="en-US" w:eastAsia="zh-CN"/>
              </w:rPr>
              <w:t>3</w:t>
            </w:r>
            <w:r>
              <w:rPr>
                <w:rFonts w:hint="eastAsia" w:ascii="Times New Roman" w:cs="Times New Roman"/>
                <w:b w:val="0"/>
                <w:bCs w:val="0"/>
                <w:color w:val="auto"/>
                <w:kern w:val="2"/>
                <w:highlight w:val="none"/>
                <w:lang w:val="en-US" w:eastAsia="zh-CN"/>
              </w:rPr>
              <w:t>，硫化氢无组织排放检测最高浓度为0.024mg/m</w:t>
            </w:r>
            <w:r>
              <w:rPr>
                <w:rFonts w:hint="eastAsia" w:ascii="Times New Roman" w:cs="Times New Roman"/>
                <w:b w:val="0"/>
                <w:bCs w:val="0"/>
                <w:color w:val="auto"/>
                <w:kern w:val="2"/>
                <w:highlight w:val="none"/>
                <w:vertAlign w:val="superscript"/>
                <w:lang w:val="en-US" w:eastAsia="zh-CN"/>
              </w:rPr>
              <w:t>3</w:t>
            </w:r>
            <w:r>
              <w:rPr>
                <w:rFonts w:hint="eastAsia" w:ascii="Times New Roman" w:cs="Times New Roman"/>
                <w:b w:val="0"/>
                <w:bCs w:val="0"/>
                <w:color w:val="auto"/>
                <w:kern w:val="2"/>
                <w:highlight w:val="none"/>
                <w:lang w:val="en-US" w:eastAsia="zh-CN"/>
              </w:rPr>
              <w:t>，均满足《恶臭污染物排放标准》（GB14554-93）表1标准限值要求。</w:t>
            </w:r>
          </w:p>
          <w:p>
            <w:pPr>
              <w:pStyle w:val="28"/>
              <w:spacing w:line="520" w:lineRule="exact"/>
              <w:ind w:firstLine="480"/>
              <w:rPr>
                <w:rFonts w:hint="eastAsia" w:ascii="Times New Roman" w:cs="Times New Roman"/>
                <w:b w:val="0"/>
                <w:bCs w:val="0"/>
                <w:color w:val="auto"/>
                <w:kern w:val="2"/>
                <w:highlight w:val="none"/>
                <w:lang w:val="en-US" w:eastAsia="zh-CN"/>
              </w:rPr>
            </w:pPr>
            <w:r>
              <w:rPr>
                <w:rFonts w:hint="eastAsia" w:ascii="Times New Roman" w:cs="Times New Roman"/>
                <w:b w:val="0"/>
                <w:bCs w:val="0"/>
                <w:color w:val="auto"/>
                <w:kern w:val="2"/>
                <w:highlight w:val="none"/>
                <w:lang w:val="en-US" w:eastAsia="zh-CN"/>
              </w:rPr>
              <w:t>2、废水</w:t>
            </w:r>
          </w:p>
          <w:p>
            <w:pPr>
              <w:pStyle w:val="28"/>
              <w:spacing w:line="520" w:lineRule="exact"/>
              <w:ind w:firstLine="480"/>
              <w:rPr>
                <w:rFonts w:hint="eastAsia" w:ascii="Times New Roman" w:cs="Times New Roman"/>
                <w:b w:val="0"/>
                <w:bCs w:val="0"/>
                <w:color w:val="auto"/>
                <w:kern w:val="2"/>
                <w:highlight w:val="none"/>
                <w:lang w:val="en-US" w:eastAsia="zh-CN"/>
              </w:rPr>
            </w:pPr>
            <w:r>
              <w:rPr>
                <w:rFonts w:hint="eastAsia" w:ascii="Times New Roman" w:cs="Times New Roman"/>
                <w:b w:val="0"/>
                <w:bCs w:val="0"/>
                <w:color w:val="auto"/>
                <w:kern w:val="2"/>
                <w:highlight w:val="none"/>
                <w:lang w:val="en-US" w:eastAsia="zh-CN"/>
              </w:rPr>
              <w:t>现有工程废水水主要为员工生活废水，反渗透制水设备产生的废水、设备清洗废水。反渗透制水设备产生的废水主要成分为溶解性总固体和盐分，为清下水，直接排入厂区污水管网直接排放；设备清洗废水经过高温灭菌锅进行灭菌锅灭菌后废水回用于生产菌种培养工段，不外排；员工生活废水经化粪池处理后排入市政污水管网排入永城市第三污水处理厂进行处理达到《城镇污水处理厂污染物排放标准》（GB18918-2002）一级A类标准后排入浍河。</w:t>
            </w:r>
          </w:p>
          <w:p>
            <w:pPr>
              <w:pStyle w:val="28"/>
              <w:spacing w:line="520" w:lineRule="exact"/>
              <w:ind w:firstLine="480"/>
              <w:rPr>
                <w:rFonts w:hint="eastAsia" w:ascii="Times New Roman" w:cs="Times New Roman"/>
                <w:b w:val="0"/>
                <w:bCs w:val="0"/>
                <w:color w:val="auto"/>
                <w:kern w:val="2"/>
                <w:highlight w:val="none"/>
                <w:lang w:val="en-US" w:eastAsia="zh-CN"/>
              </w:rPr>
            </w:pPr>
            <w:r>
              <w:rPr>
                <w:rFonts w:hint="eastAsia" w:ascii="Times New Roman" w:cs="Times New Roman"/>
                <w:b w:val="0"/>
                <w:bCs w:val="0"/>
                <w:color w:val="auto"/>
                <w:kern w:val="2"/>
                <w:highlight w:val="none"/>
                <w:lang w:val="en-US" w:eastAsia="zh-CN"/>
              </w:rPr>
              <w:t>根据现有工程竣工环境保护验收监测报告可知，项目废水排放口COD排放浓度检测最大值为234mg/L，氨氮排放浓度检测最大值为26.1mg/L，SS排放浓度检测最大值为188mg/L。均满足《污水综合排放标准》（GB8978-1996）表4三级标准及永城市第三污水处理厂收水水质要求。</w:t>
            </w:r>
          </w:p>
          <w:p>
            <w:pPr>
              <w:pStyle w:val="28"/>
              <w:spacing w:line="520" w:lineRule="exact"/>
              <w:ind w:firstLine="480"/>
              <w:rPr>
                <w:rFonts w:hint="eastAsia" w:ascii="Times New Roman" w:cs="Times New Roman"/>
                <w:b w:val="0"/>
                <w:bCs w:val="0"/>
                <w:color w:val="auto"/>
                <w:kern w:val="2"/>
                <w:highlight w:val="none"/>
                <w:lang w:val="en-US" w:eastAsia="zh-CN"/>
              </w:rPr>
            </w:pPr>
            <w:r>
              <w:rPr>
                <w:rFonts w:hint="eastAsia" w:ascii="Times New Roman" w:cs="Times New Roman"/>
                <w:b w:val="0"/>
                <w:bCs w:val="0"/>
                <w:color w:val="auto"/>
                <w:kern w:val="2"/>
                <w:highlight w:val="none"/>
                <w:lang w:val="en-US" w:eastAsia="zh-CN"/>
              </w:rPr>
              <w:t>3、噪声</w:t>
            </w:r>
          </w:p>
          <w:p>
            <w:pPr>
              <w:pStyle w:val="28"/>
              <w:spacing w:line="520" w:lineRule="exact"/>
              <w:ind w:firstLine="480"/>
              <w:rPr>
                <w:rFonts w:hint="eastAsia" w:ascii="Times New Roman" w:cs="Times New Roman"/>
                <w:b w:val="0"/>
                <w:bCs w:val="0"/>
                <w:color w:val="auto"/>
                <w:kern w:val="2"/>
                <w:highlight w:val="none"/>
                <w:lang w:val="en-US" w:eastAsia="zh-CN"/>
              </w:rPr>
            </w:pPr>
            <w:r>
              <w:rPr>
                <w:rFonts w:hint="eastAsia" w:ascii="Times New Roman" w:cs="Times New Roman"/>
                <w:b w:val="0"/>
                <w:bCs w:val="0"/>
                <w:color w:val="auto"/>
                <w:kern w:val="2"/>
                <w:highlight w:val="none"/>
                <w:lang w:val="en-US" w:eastAsia="zh-CN"/>
              </w:rPr>
              <w:t>项目噪声主要造粒机、烘干机、包装机、混合机等产生的噪声，通过设置减震、厂房隔声，减少噪声对周边的影响。</w:t>
            </w:r>
          </w:p>
          <w:p>
            <w:pPr>
              <w:pStyle w:val="28"/>
              <w:spacing w:line="520" w:lineRule="exact"/>
              <w:ind w:firstLine="480"/>
              <w:rPr>
                <w:rFonts w:hint="eastAsia" w:ascii="Times New Roman" w:cs="Times New Roman"/>
                <w:b w:val="0"/>
                <w:bCs w:val="0"/>
                <w:color w:val="auto"/>
                <w:kern w:val="2"/>
                <w:highlight w:val="none"/>
                <w:lang w:val="en-US" w:eastAsia="zh-CN"/>
              </w:rPr>
            </w:pPr>
            <w:r>
              <w:rPr>
                <w:rFonts w:hint="eastAsia" w:ascii="Times New Roman" w:cs="Times New Roman"/>
                <w:b w:val="0"/>
                <w:bCs w:val="0"/>
                <w:color w:val="auto"/>
                <w:kern w:val="2"/>
                <w:highlight w:val="none"/>
                <w:lang w:val="en-US" w:eastAsia="zh-CN"/>
              </w:rPr>
              <w:t>根据现有工程监测报告可知，项目厂界噪声昼间噪声值均可以满足《工业企业厂界环境噪声排放标准》（GB12348-2008）3类标准要求。</w:t>
            </w:r>
          </w:p>
          <w:p>
            <w:pPr>
              <w:pStyle w:val="28"/>
              <w:spacing w:line="520" w:lineRule="exact"/>
              <w:ind w:firstLine="480"/>
              <w:rPr>
                <w:rFonts w:hint="eastAsia" w:ascii="Times New Roman" w:cs="Times New Roman"/>
                <w:b w:val="0"/>
                <w:bCs w:val="0"/>
                <w:color w:val="auto"/>
                <w:kern w:val="2"/>
                <w:highlight w:val="none"/>
                <w:lang w:val="en-US" w:eastAsia="zh-CN"/>
              </w:rPr>
            </w:pPr>
            <w:r>
              <w:rPr>
                <w:rFonts w:hint="eastAsia" w:ascii="Times New Roman" w:cs="Times New Roman"/>
                <w:b w:val="0"/>
                <w:bCs w:val="0"/>
                <w:color w:val="auto"/>
                <w:kern w:val="2"/>
                <w:highlight w:val="none"/>
                <w:lang w:val="en-US" w:eastAsia="zh-CN"/>
              </w:rPr>
              <w:t>4、固体废物</w:t>
            </w:r>
          </w:p>
          <w:p>
            <w:pPr>
              <w:pStyle w:val="28"/>
              <w:spacing w:line="520" w:lineRule="exact"/>
              <w:ind w:firstLine="480"/>
              <w:rPr>
                <w:rFonts w:hint="eastAsia" w:ascii="Times New Roman" w:cs="Times New Roman"/>
                <w:b w:val="0"/>
                <w:bCs w:val="0"/>
                <w:color w:val="auto"/>
                <w:kern w:val="2"/>
                <w:highlight w:val="none"/>
                <w:lang w:val="en-US" w:eastAsia="zh-CN"/>
              </w:rPr>
            </w:pPr>
            <w:r>
              <w:rPr>
                <w:rFonts w:hint="eastAsia" w:ascii="Times New Roman" w:cs="Times New Roman"/>
                <w:b w:val="0"/>
                <w:bCs w:val="0"/>
                <w:color w:val="auto"/>
                <w:kern w:val="2"/>
                <w:highlight w:val="none"/>
                <w:lang w:val="en-US" w:eastAsia="zh-CN"/>
              </w:rPr>
              <w:t>生产过程产生的废包装材料收集后外售；除尘器收集粉尘收集的 粉尘经过高温灭菌后回用于原料生产发酵工段；废活性炭委托有资质单位处理；生活垃圾收集后由环卫部门统一清运处理。固体废物均得到妥善处置。</w:t>
            </w:r>
          </w:p>
          <w:p>
            <w:pPr>
              <w:pStyle w:val="28"/>
              <w:spacing w:line="520" w:lineRule="exact"/>
              <w:ind w:firstLine="480"/>
              <w:rPr>
                <w:rFonts w:hint="default" w:ascii="Times New Roman" w:hAnsi="Times New Roman" w:eastAsia="宋体" w:cs="Times New Roman"/>
                <w:color w:val="auto"/>
                <w:kern w:val="2"/>
                <w:highlight w:val="none"/>
                <w:lang w:val="en-US" w:eastAsia="zh-CN"/>
              </w:rPr>
            </w:pPr>
            <w:r>
              <w:rPr>
                <w:rFonts w:hint="eastAsia" w:ascii="Times New Roman" w:cs="Times New Roman"/>
                <w:b/>
                <w:bCs/>
                <w:color w:val="auto"/>
                <w:kern w:val="2"/>
                <w:highlight w:val="none"/>
                <w:lang w:val="en-US" w:eastAsia="zh-CN"/>
              </w:rPr>
              <w:t>二、现有工程存在环保问题及整改措施</w:t>
            </w:r>
          </w:p>
          <w:p>
            <w:pPr>
              <w:pStyle w:val="28"/>
              <w:spacing w:line="520" w:lineRule="exact"/>
              <w:ind w:firstLine="480"/>
              <w:rPr>
                <w:rFonts w:hint="default" w:ascii="Times New Roman" w:hAnsi="Times New Roman" w:eastAsia="宋体" w:cs="Times New Roman"/>
                <w:b w:val="0"/>
                <w:bCs w:val="0"/>
                <w:color w:val="auto"/>
                <w:kern w:val="2"/>
                <w:highlight w:val="none"/>
                <w:u w:val="none"/>
                <w:lang w:eastAsia="zh-CN"/>
              </w:rPr>
            </w:pPr>
            <w:r>
              <w:rPr>
                <w:rFonts w:hint="default" w:ascii="Times New Roman" w:hAnsi="Times New Roman" w:eastAsia="宋体" w:cs="Times New Roman"/>
                <w:b w:val="0"/>
                <w:bCs w:val="0"/>
                <w:color w:val="auto"/>
                <w:kern w:val="2"/>
                <w:highlight w:val="none"/>
                <w:u w:val="none"/>
                <w:lang w:eastAsia="zh-CN"/>
              </w:rPr>
              <w:t>通过对现有项目现场勘查，并结合《河南省人民政府关于印发河南省污染防治攻坚战三年行动计划（2018-2020年）的通知》（豫政〔2018〕30号）和《河南省污染防治攻坚战领导小组办公室关于印发河南省2019年大气污染防治攻坚战实施方案的通知》（豫环攻坚办〔2019〕25号）的要求，现有项目</w:t>
            </w:r>
            <w:r>
              <w:rPr>
                <w:rFonts w:hint="eastAsia" w:ascii="Times New Roman" w:hAnsi="Times New Roman" w:cs="Times New Roman"/>
                <w:b w:val="0"/>
                <w:bCs w:val="0"/>
                <w:color w:val="auto"/>
                <w:kern w:val="2"/>
                <w:highlight w:val="none"/>
                <w:u w:val="none"/>
                <w:lang w:eastAsia="zh-CN"/>
              </w:rPr>
              <w:t>运行状态良好，不</w:t>
            </w:r>
            <w:r>
              <w:rPr>
                <w:rFonts w:hint="default" w:ascii="Times New Roman" w:hAnsi="Times New Roman" w:eastAsia="宋体" w:cs="Times New Roman"/>
                <w:b w:val="0"/>
                <w:bCs w:val="0"/>
                <w:color w:val="auto"/>
                <w:kern w:val="2"/>
                <w:highlight w:val="none"/>
                <w:u w:val="none"/>
                <w:lang w:eastAsia="zh-CN"/>
              </w:rPr>
              <w:t>存在的环保问题。</w:t>
            </w:r>
          </w:p>
          <w:p>
            <w:pPr>
              <w:pStyle w:val="28"/>
              <w:spacing w:line="520" w:lineRule="exact"/>
              <w:ind w:firstLine="480"/>
              <w:rPr>
                <w:rFonts w:hint="default" w:ascii="Times New Roman" w:hAnsi="Times New Roman" w:eastAsia="宋体" w:cs="Times New Roman"/>
                <w:color w:val="auto"/>
                <w:sz w:val="24"/>
                <w:szCs w:val="32"/>
                <w:vertAlign w:val="baseline"/>
                <w:lang w:val="en-US" w:eastAsia="zh-CN"/>
              </w:rPr>
            </w:pPr>
          </w:p>
          <w:p>
            <w:pPr>
              <w:pStyle w:val="28"/>
              <w:spacing w:line="520" w:lineRule="exact"/>
              <w:ind w:firstLine="480"/>
              <w:rPr>
                <w:rFonts w:hint="default" w:ascii="Times New Roman" w:hAnsi="Times New Roman" w:eastAsia="宋体" w:cs="Times New Roman"/>
                <w:color w:val="auto"/>
                <w:sz w:val="24"/>
                <w:szCs w:val="32"/>
                <w:vertAlign w:val="baseline"/>
                <w:lang w:val="en-US" w:eastAsia="zh-CN"/>
              </w:rPr>
            </w:pPr>
          </w:p>
          <w:p>
            <w:pPr>
              <w:pStyle w:val="28"/>
              <w:spacing w:line="520" w:lineRule="exact"/>
              <w:ind w:firstLine="480"/>
              <w:jc w:val="both"/>
              <w:rPr>
                <w:rFonts w:hint="default" w:ascii="Times New Roman" w:hAnsi="Times New Roman" w:eastAsia="宋体" w:cs="Times New Roman"/>
                <w:color w:val="auto"/>
                <w:sz w:val="24"/>
                <w:szCs w:val="32"/>
                <w:vertAlign w:val="baseline"/>
                <w:lang w:val="en-US" w:eastAsia="zh-CN"/>
              </w:rPr>
            </w:pPr>
          </w:p>
        </w:tc>
      </w:tr>
    </w:tbl>
    <w:p>
      <w:pPr>
        <w:pStyle w:val="2"/>
        <w:ind w:left="0" w:leftChars="0" w:firstLine="0" w:firstLineChars="0"/>
        <w:rPr>
          <w:rFonts w:hint="default" w:ascii="Times New Roman" w:hAnsi="Times New Roman" w:cs="Times New Roman"/>
          <w:color w:val="auto"/>
          <w:sz w:val="24"/>
          <w:szCs w:val="32"/>
          <w:lang w:val="en-US" w:eastAsia="zh-CN"/>
        </w:rPr>
        <w:sectPr>
          <w:pgSz w:w="11906" w:h="16838"/>
          <w:pgMar w:top="1440" w:right="1800" w:bottom="1440" w:left="1800" w:header="851" w:footer="992" w:gutter="0"/>
          <w:pgNumType w:fmt="decimal"/>
          <w:cols w:space="720" w:num="1"/>
          <w:docGrid w:type="lines" w:linePitch="312" w:charSpace="0"/>
        </w:sectPr>
      </w:pPr>
    </w:p>
    <w:p>
      <w:pPr>
        <w:jc w:val="center"/>
        <w:rPr>
          <w:rFonts w:hint="eastAsia" w:ascii="黑体" w:hAnsi="黑体" w:eastAsia="黑体" w:cs="黑体"/>
          <w:color w:val="auto"/>
          <w:sz w:val="28"/>
          <w:szCs w:val="36"/>
          <w:lang w:val="en-US" w:eastAsia="zh-CN"/>
        </w:rPr>
      </w:pPr>
      <w:r>
        <w:rPr>
          <w:rFonts w:hint="eastAsia" w:ascii="黑体" w:hAnsi="黑体" w:eastAsia="黑体" w:cs="黑体"/>
          <w:color w:val="auto"/>
          <w:sz w:val="28"/>
          <w:szCs w:val="36"/>
          <w:lang w:val="en-US" w:eastAsia="zh-CN"/>
        </w:rPr>
        <w:t>三、区域环境质量现状、环境保护目标及评价标准</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7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noWrap w:val="0"/>
            <w:vAlign w:val="center"/>
          </w:tcPr>
          <w:p>
            <w:pPr>
              <w:jc w:val="center"/>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区域环境质量现状</w:t>
            </w:r>
          </w:p>
        </w:tc>
        <w:tc>
          <w:tcPr>
            <w:tcW w:w="72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1、大气环境质量现状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（1）环境质量达标区判定</w:t>
            </w:r>
          </w:p>
          <w:p>
            <w:pPr>
              <w:spacing w:line="480" w:lineRule="exact"/>
              <w:ind w:firstLine="482" w:firstLineChars="200"/>
              <w:rPr>
                <w:rFonts w:hint="default" w:ascii="Times New Roman" w:hAnsi="Times New Roman" w:eastAsia="宋体" w:cs="Times New Roman"/>
                <w:b/>
                <w:bCs/>
                <w:color w:val="auto"/>
                <w:sz w:val="24"/>
                <w:szCs w:val="24"/>
                <w:highlight w:val="none"/>
                <w:u w:val="single"/>
              </w:rPr>
            </w:pPr>
            <w:r>
              <w:rPr>
                <w:rFonts w:hint="default" w:ascii="Times New Roman" w:hAnsi="Times New Roman"/>
                <w:b/>
                <w:bCs/>
                <w:color w:val="auto"/>
                <w:sz w:val="24"/>
                <w:highlight w:val="none"/>
                <w:u w:val="single"/>
              </w:rPr>
              <w:t>本次评价采用永城市2021年作为评价基准年，其中获取连续1年中359个日均值数据，数据有效性满足《环境空气质标准》（GB3095-2012）和《环境空气质量评价技术规范（试行）》（HJ663-2013）中关于数据统计的有效性规定，对项目所在区域环境空气质量达标情况进行判定。区域环境空气基本污染物环境质量现状数据详见下表</w:t>
            </w:r>
            <w:r>
              <w:rPr>
                <w:rFonts w:hint="default" w:ascii="Times New Roman" w:hAnsi="Times New Roman" w:eastAsia="宋体" w:cs="Times New Roman"/>
                <w:b/>
                <w:bCs/>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bCs/>
                <w:color w:val="auto"/>
                <w:sz w:val="21"/>
                <w:szCs w:val="24"/>
                <w:vertAlign w:val="baseline"/>
                <w:lang w:val="en-US" w:eastAsia="zh-CN"/>
              </w:rPr>
            </w:pPr>
            <w:r>
              <w:rPr>
                <w:rFonts w:hint="default" w:ascii="Times New Roman" w:hAnsi="Times New Roman" w:eastAsia="宋体" w:cs="Times New Roman"/>
                <w:b/>
                <w:bCs/>
                <w:color w:val="auto"/>
                <w:sz w:val="21"/>
                <w:szCs w:val="24"/>
                <w:vertAlign w:val="baseline"/>
                <w:lang w:val="en-US" w:eastAsia="zh-CN"/>
              </w:rPr>
              <w:t>表3-1  环境空气现状监测情况一览表</w:t>
            </w:r>
          </w:p>
          <w:tbl>
            <w:tblPr>
              <w:tblStyle w:val="15"/>
              <w:tblW w:w="7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761"/>
              <w:gridCol w:w="919"/>
              <w:gridCol w:w="859"/>
              <w:gridCol w:w="895"/>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污染物</w:t>
                  </w:r>
                </w:p>
              </w:tc>
              <w:tc>
                <w:tcPr>
                  <w:tcW w:w="1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年</w:t>
                  </w:r>
                  <w:r>
                    <w:rPr>
                      <w:rFonts w:hint="default" w:ascii="Times New Roman" w:hAnsi="Times New Roman" w:eastAsia="宋体" w:cs="Times New Roman"/>
                      <w:b/>
                      <w:bCs/>
                      <w:color w:val="auto"/>
                      <w:sz w:val="21"/>
                      <w:szCs w:val="21"/>
                      <w:u w:val="single"/>
                      <w:vertAlign w:val="baseline"/>
                      <w:lang w:val="en-US" w:eastAsia="zh-CN"/>
                    </w:rPr>
                    <w:t>评价指标</w:t>
                  </w:r>
                </w:p>
              </w:tc>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现状浓度</w:t>
                  </w:r>
                </w:p>
              </w:tc>
              <w:tc>
                <w:tcPr>
                  <w:tcW w:w="8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标准值</w:t>
                  </w:r>
                </w:p>
              </w:tc>
              <w:tc>
                <w:tcPr>
                  <w:tcW w:w="8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超标倍数</w:t>
                  </w:r>
                </w:p>
              </w:tc>
              <w:tc>
                <w:tcPr>
                  <w:tcW w:w="8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二氧化硫μg/m</w:t>
                  </w:r>
                  <w:r>
                    <w:rPr>
                      <w:rFonts w:hint="default" w:ascii="Times New Roman" w:hAnsi="Times New Roman" w:eastAsia="宋体" w:cs="Times New Roman"/>
                      <w:b/>
                      <w:bCs/>
                      <w:color w:val="auto"/>
                      <w:sz w:val="21"/>
                      <w:szCs w:val="21"/>
                      <w:u w:val="single"/>
                      <w:vertAlign w:val="superscript"/>
                      <w:lang w:val="en-US" w:eastAsia="zh-CN"/>
                    </w:rPr>
                    <w:t>3</w:t>
                  </w:r>
                </w:p>
              </w:tc>
              <w:tc>
                <w:tcPr>
                  <w:tcW w:w="1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年平均</w:t>
                  </w:r>
                </w:p>
              </w:tc>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9</w:t>
                  </w:r>
                </w:p>
              </w:tc>
              <w:tc>
                <w:tcPr>
                  <w:tcW w:w="8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60</w:t>
                  </w:r>
                </w:p>
              </w:tc>
              <w:tc>
                <w:tcPr>
                  <w:tcW w:w="8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0</w:t>
                  </w:r>
                </w:p>
              </w:tc>
              <w:tc>
                <w:tcPr>
                  <w:tcW w:w="8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二氧化氮μg/m</w:t>
                  </w:r>
                  <w:r>
                    <w:rPr>
                      <w:rFonts w:hint="default" w:ascii="Times New Roman" w:hAnsi="Times New Roman" w:eastAsia="宋体" w:cs="Times New Roman"/>
                      <w:b/>
                      <w:bCs/>
                      <w:color w:val="auto"/>
                      <w:sz w:val="21"/>
                      <w:szCs w:val="21"/>
                      <w:u w:val="single"/>
                      <w:vertAlign w:val="superscript"/>
                      <w:lang w:val="en-US" w:eastAsia="zh-CN"/>
                    </w:rPr>
                    <w:t>3</w:t>
                  </w:r>
                </w:p>
              </w:tc>
              <w:tc>
                <w:tcPr>
                  <w:tcW w:w="1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年平均</w:t>
                  </w:r>
                </w:p>
              </w:tc>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22</w:t>
                  </w:r>
                </w:p>
              </w:tc>
              <w:tc>
                <w:tcPr>
                  <w:tcW w:w="8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40</w:t>
                  </w:r>
                </w:p>
              </w:tc>
              <w:tc>
                <w:tcPr>
                  <w:tcW w:w="8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0</w:t>
                  </w:r>
                </w:p>
              </w:tc>
              <w:tc>
                <w:tcPr>
                  <w:tcW w:w="8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PM</w:t>
                  </w:r>
                  <w:r>
                    <w:rPr>
                      <w:rFonts w:hint="default" w:ascii="Times New Roman" w:hAnsi="Times New Roman" w:eastAsia="宋体" w:cs="Times New Roman"/>
                      <w:b/>
                      <w:bCs/>
                      <w:color w:val="auto"/>
                      <w:sz w:val="21"/>
                      <w:szCs w:val="21"/>
                      <w:u w:val="single"/>
                      <w:vertAlign w:val="subscript"/>
                      <w:lang w:val="en-US" w:eastAsia="zh-CN"/>
                    </w:rPr>
                    <w:t>2.5</w:t>
                  </w:r>
                  <w:r>
                    <w:rPr>
                      <w:rFonts w:hint="default" w:ascii="Times New Roman" w:hAnsi="Times New Roman" w:eastAsia="宋体" w:cs="Times New Roman"/>
                      <w:b/>
                      <w:bCs/>
                      <w:color w:val="auto"/>
                      <w:sz w:val="21"/>
                      <w:szCs w:val="21"/>
                      <w:u w:val="single"/>
                      <w:vertAlign w:val="baseline"/>
                      <w:lang w:val="en-US" w:eastAsia="zh-CN"/>
                    </w:rPr>
                    <w:t>μg/m</w:t>
                  </w:r>
                  <w:r>
                    <w:rPr>
                      <w:rFonts w:hint="default" w:ascii="Times New Roman" w:hAnsi="Times New Roman" w:eastAsia="宋体" w:cs="Times New Roman"/>
                      <w:b/>
                      <w:bCs/>
                      <w:color w:val="auto"/>
                      <w:sz w:val="21"/>
                      <w:szCs w:val="21"/>
                      <w:u w:val="single"/>
                      <w:vertAlign w:val="superscript"/>
                      <w:lang w:val="en-US" w:eastAsia="zh-CN"/>
                    </w:rPr>
                    <w:t>3</w:t>
                  </w:r>
                </w:p>
              </w:tc>
              <w:tc>
                <w:tcPr>
                  <w:tcW w:w="1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年平均</w:t>
                  </w:r>
                </w:p>
              </w:tc>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72</w:t>
                  </w:r>
                </w:p>
              </w:tc>
              <w:tc>
                <w:tcPr>
                  <w:tcW w:w="8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70</w:t>
                  </w:r>
                </w:p>
              </w:tc>
              <w:tc>
                <w:tcPr>
                  <w:tcW w:w="8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0.</w:t>
                  </w:r>
                  <w:r>
                    <w:rPr>
                      <w:rFonts w:hint="eastAsia" w:ascii="Times New Roman" w:hAnsi="Times New Roman" w:cs="Times New Roman"/>
                      <w:b/>
                      <w:bCs/>
                      <w:color w:val="auto"/>
                      <w:sz w:val="21"/>
                      <w:szCs w:val="21"/>
                      <w:u w:val="single"/>
                      <w:vertAlign w:val="baseline"/>
                      <w:lang w:val="en-US" w:eastAsia="zh-CN"/>
                    </w:rPr>
                    <w:t>03</w:t>
                  </w:r>
                </w:p>
              </w:tc>
              <w:tc>
                <w:tcPr>
                  <w:tcW w:w="8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PM</w:t>
                  </w:r>
                  <w:r>
                    <w:rPr>
                      <w:rFonts w:hint="default" w:ascii="Times New Roman" w:hAnsi="Times New Roman" w:eastAsia="宋体" w:cs="Times New Roman"/>
                      <w:b/>
                      <w:bCs/>
                      <w:color w:val="auto"/>
                      <w:sz w:val="21"/>
                      <w:szCs w:val="21"/>
                      <w:u w:val="single"/>
                      <w:vertAlign w:val="subscript"/>
                      <w:lang w:val="en-US" w:eastAsia="zh-CN"/>
                    </w:rPr>
                    <w:t>10</w:t>
                  </w:r>
                  <w:r>
                    <w:rPr>
                      <w:rFonts w:hint="default" w:ascii="Times New Roman" w:hAnsi="Times New Roman" w:eastAsia="宋体" w:cs="Times New Roman"/>
                      <w:b/>
                      <w:bCs/>
                      <w:color w:val="auto"/>
                      <w:sz w:val="21"/>
                      <w:szCs w:val="21"/>
                      <w:u w:val="single"/>
                      <w:vertAlign w:val="baseline"/>
                      <w:lang w:val="en-US" w:eastAsia="zh-CN"/>
                    </w:rPr>
                    <w:t>μg/m</w:t>
                  </w:r>
                  <w:r>
                    <w:rPr>
                      <w:rFonts w:hint="default" w:ascii="Times New Roman" w:hAnsi="Times New Roman" w:eastAsia="宋体" w:cs="Times New Roman"/>
                      <w:b/>
                      <w:bCs/>
                      <w:color w:val="auto"/>
                      <w:sz w:val="21"/>
                      <w:szCs w:val="21"/>
                      <w:u w:val="single"/>
                      <w:vertAlign w:val="superscript"/>
                      <w:lang w:val="en-US" w:eastAsia="zh-CN"/>
                    </w:rPr>
                    <w:t>3</w:t>
                  </w:r>
                </w:p>
              </w:tc>
              <w:tc>
                <w:tcPr>
                  <w:tcW w:w="1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年平均</w:t>
                  </w:r>
                </w:p>
              </w:tc>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41</w:t>
                  </w:r>
                </w:p>
              </w:tc>
              <w:tc>
                <w:tcPr>
                  <w:tcW w:w="8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35</w:t>
                  </w:r>
                </w:p>
              </w:tc>
              <w:tc>
                <w:tcPr>
                  <w:tcW w:w="8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0.</w:t>
                  </w:r>
                  <w:r>
                    <w:rPr>
                      <w:rFonts w:hint="eastAsia" w:ascii="Times New Roman" w:hAnsi="Times New Roman" w:cs="Times New Roman"/>
                      <w:b/>
                      <w:bCs/>
                      <w:color w:val="auto"/>
                      <w:sz w:val="21"/>
                      <w:szCs w:val="21"/>
                      <w:u w:val="single"/>
                      <w:vertAlign w:val="baseline"/>
                      <w:lang w:val="en-US" w:eastAsia="zh-CN"/>
                    </w:rPr>
                    <w:t>17</w:t>
                  </w:r>
                </w:p>
              </w:tc>
              <w:tc>
                <w:tcPr>
                  <w:tcW w:w="8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COmg/m</w:t>
                  </w:r>
                  <w:r>
                    <w:rPr>
                      <w:rFonts w:hint="default" w:ascii="Times New Roman" w:hAnsi="Times New Roman" w:eastAsia="宋体" w:cs="Times New Roman"/>
                      <w:b/>
                      <w:bCs/>
                      <w:color w:val="auto"/>
                      <w:sz w:val="21"/>
                      <w:szCs w:val="21"/>
                      <w:u w:val="single"/>
                      <w:vertAlign w:val="superscript"/>
                      <w:lang w:val="en-US" w:eastAsia="zh-CN"/>
                    </w:rPr>
                    <w:t>3</w:t>
                  </w:r>
                </w:p>
              </w:tc>
              <w:tc>
                <w:tcPr>
                  <w:tcW w:w="1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年平均</w:t>
                  </w:r>
                </w:p>
              </w:tc>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0.9</w:t>
                  </w:r>
                </w:p>
              </w:tc>
              <w:tc>
                <w:tcPr>
                  <w:tcW w:w="8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w:t>
                  </w:r>
                </w:p>
              </w:tc>
              <w:tc>
                <w:tcPr>
                  <w:tcW w:w="8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w:t>
                  </w:r>
                </w:p>
              </w:tc>
              <w:tc>
                <w:tcPr>
                  <w:tcW w:w="8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O</w:t>
                  </w:r>
                  <w:r>
                    <w:rPr>
                      <w:rFonts w:hint="default" w:ascii="Times New Roman" w:hAnsi="Times New Roman" w:eastAsia="宋体" w:cs="Times New Roman"/>
                      <w:b/>
                      <w:bCs/>
                      <w:color w:val="auto"/>
                      <w:sz w:val="21"/>
                      <w:szCs w:val="21"/>
                      <w:u w:val="single"/>
                      <w:vertAlign w:val="subscript"/>
                      <w:lang w:val="en-US" w:eastAsia="zh-CN"/>
                    </w:rPr>
                    <w:t>3</w:t>
                  </w:r>
                  <w:r>
                    <w:rPr>
                      <w:rFonts w:hint="default" w:ascii="Times New Roman" w:hAnsi="Times New Roman" w:eastAsia="宋体" w:cs="Times New Roman"/>
                      <w:b/>
                      <w:bCs/>
                      <w:color w:val="auto"/>
                      <w:sz w:val="21"/>
                      <w:szCs w:val="21"/>
                      <w:u w:val="single"/>
                      <w:vertAlign w:val="baseline"/>
                      <w:lang w:val="en-US" w:eastAsia="zh-CN"/>
                    </w:rPr>
                    <w:t>μg/m</w:t>
                  </w:r>
                  <w:r>
                    <w:rPr>
                      <w:rFonts w:hint="default" w:ascii="Times New Roman" w:hAnsi="Times New Roman" w:eastAsia="宋体" w:cs="Times New Roman"/>
                      <w:b/>
                      <w:bCs/>
                      <w:color w:val="auto"/>
                      <w:sz w:val="21"/>
                      <w:szCs w:val="21"/>
                      <w:u w:val="single"/>
                      <w:vertAlign w:val="superscript"/>
                      <w:lang w:val="en-US" w:eastAsia="zh-CN"/>
                    </w:rPr>
                    <w:t>3</w:t>
                  </w:r>
                </w:p>
              </w:tc>
              <w:tc>
                <w:tcPr>
                  <w:tcW w:w="1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日最大8h滑动平均</w:t>
                  </w:r>
                </w:p>
              </w:tc>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159</w:t>
                  </w:r>
                </w:p>
              </w:tc>
              <w:tc>
                <w:tcPr>
                  <w:tcW w:w="8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160</w:t>
                  </w:r>
                </w:p>
              </w:tc>
              <w:tc>
                <w:tcPr>
                  <w:tcW w:w="8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0</w:t>
                  </w:r>
                </w:p>
              </w:tc>
              <w:tc>
                <w:tcPr>
                  <w:tcW w:w="8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达标</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u w:val="none"/>
                <w:lang w:eastAsia="zh-CN"/>
              </w:rPr>
            </w:pPr>
            <w:r>
              <w:rPr>
                <w:rFonts w:hint="default" w:ascii="Times New Roman" w:hAnsi="Times New Roman" w:eastAsia="宋体" w:cs="Times New Roman"/>
                <w:b w:val="0"/>
                <w:bCs w:val="0"/>
                <w:color w:val="auto"/>
                <w:sz w:val="24"/>
                <w:szCs w:val="24"/>
                <w:highlight w:val="none"/>
                <w:u w:val="none"/>
                <w:lang w:eastAsia="zh-CN"/>
              </w:rPr>
              <w:t>根据上表可知，SO</w:t>
            </w:r>
            <w:r>
              <w:rPr>
                <w:rFonts w:hint="default" w:ascii="Times New Roman" w:hAnsi="Times New Roman" w:eastAsia="宋体" w:cs="Times New Roman"/>
                <w:b w:val="0"/>
                <w:bCs w:val="0"/>
                <w:color w:val="auto"/>
                <w:sz w:val="24"/>
                <w:szCs w:val="24"/>
                <w:highlight w:val="none"/>
                <w:u w:val="none"/>
                <w:vertAlign w:val="subscript"/>
                <w:lang w:eastAsia="zh-CN"/>
              </w:rPr>
              <w:t>2</w:t>
            </w:r>
            <w:r>
              <w:rPr>
                <w:rFonts w:hint="default" w:ascii="Times New Roman" w:hAnsi="Times New Roman" w:eastAsia="宋体" w:cs="Times New Roman"/>
                <w:b w:val="0"/>
                <w:bCs w:val="0"/>
                <w:color w:val="auto"/>
                <w:sz w:val="24"/>
                <w:szCs w:val="24"/>
                <w:highlight w:val="none"/>
                <w:u w:val="none"/>
                <w:lang w:eastAsia="zh-CN"/>
              </w:rPr>
              <w:t>、NO</w:t>
            </w:r>
            <w:r>
              <w:rPr>
                <w:rFonts w:hint="default" w:ascii="Times New Roman" w:hAnsi="Times New Roman" w:eastAsia="宋体" w:cs="Times New Roman"/>
                <w:b w:val="0"/>
                <w:bCs w:val="0"/>
                <w:color w:val="auto"/>
                <w:sz w:val="24"/>
                <w:szCs w:val="24"/>
                <w:highlight w:val="none"/>
                <w:u w:val="none"/>
                <w:vertAlign w:val="subscript"/>
                <w:lang w:eastAsia="zh-CN"/>
              </w:rPr>
              <w:t>2</w:t>
            </w:r>
            <w:r>
              <w:rPr>
                <w:rFonts w:hint="default" w:ascii="Times New Roman" w:hAnsi="Times New Roman" w:eastAsia="宋体" w:cs="Times New Roman"/>
                <w:b w:val="0"/>
                <w:bCs w:val="0"/>
                <w:color w:val="auto"/>
                <w:sz w:val="24"/>
                <w:szCs w:val="24"/>
                <w:highlight w:val="none"/>
                <w:u w:val="none"/>
                <w:lang w:eastAsia="zh-CN"/>
              </w:rPr>
              <w:t>、CO</w:t>
            </w:r>
            <w:r>
              <w:rPr>
                <w:rFonts w:hint="eastAsia" w:ascii="Times New Roman" w:hAnsi="Times New Roman"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lang w:eastAsia="zh-CN"/>
              </w:rPr>
              <w:t>O</w:t>
            </w:r>
            <w:r>
              <w:rPr>
                <w:rFonts w:hint="default" w:ascii="Times New Roman" w:hAnsi="Times New Roman" w:eastAsia="宋体" w:cs="Times New Roman"/>
                <w:b w:val="0"/>
                <w:bCs w:val="0"/>
                <w:color w:val="auto"/>
                <w:sz w:val="24"/>
                <w:szCs w:val="24"/>
                <w:highlight w:val="none"/>
                <w:u w:val="none"/>
                <w:vertAlign w:val="subscript"/>
                <w:lang w:eastAsia="zh-CN"/>
              </w:rPr>
              <w:t>3</w:t>
            </w:r>
            <w:r>
              <w:rPr>
                <w:rFonts w:hint="default" w:ascii="Times New Roman" w:hAnsi="Times New Roman" w:eastAsia="宋体" w:cs="Times New Roman"/>
                <w:b w:val="0"/>
                <w:bCs w:val="0"/>
                <w:color w:val="auto"/>
                <w:sz w:val="24"/>
                <w:szCs w:val="24"/>
                <w:highlight w:val="none"/>
                <w:u w:val="none"/>
                <w:lang w:eastAsia="zh-CN"/>
              </w:rPr>
              <w:t>环境质量现状数据均能满足《环境空气质量标准》（GB3095-2012）二级标准要求，PM</w:t>
            </w:r>
            <w:r>
              <w:rPr>
                <w:rFonts w:hint="default" w:ascii="Times New Roman" w:hAnsi="Times New Roman" w:eastAsia="宋体" w:cs="Times New Roman"/>
                <w:b w:val="0"/>
                <w:bCs w:val="0"/>
                <w:color w:val="auto"/>
                <w:sz w:val="24"/>
                <w:szCs w:val="24"/>
                <w:highlight w:val="none"/>
                <w:u w:val="none"/>
                <w:vertAlign w:val="subscript"/>
                <w:lang w:eastAsia="zh-CN"/>
              </w:rPr>
              <w:t>10</w:t>
            </w:r>
            <w:r>
              <w:rPr>
                <w:rFonts w:hint="default" w:ascii="Times New Roman" w:hAnsi="Times New Roman" w:eastAsia="宋体" w:cs="Times New Roman"/>
                <w:b w:val="0"/>
                <w:bCs w:val="0"/>
                <w:color w:val="auto"/>
                <w:sz w:val="24"/>
                <w:szCs w:val="24"/>
                <w:highlight w:val="none"/>
                <w:u w:val="none"/>
                <w:lang w:eastAsia="zh-CN"/>
              </w:rPr>
              <w:t>、PM</w:t>
            </w:r>
            <w:r>
              <w:rPr>
                <w:rFonts w:hint="default" w:ascii="Times New Roman" w:hAnsi="Times New Roman" w:eastAsia="宋体" w:cs="Times New Roman"/>
                <w:b w:val="0"/>
                <w:bCs w:val="0"/>
                <w:color w:val="auto"/>
                <w:sz w:val="24"/>
                <w:szCs w:val="24"/>
                <w:highlight w:val="none"/>
                <w:u w:val="none"/>
                <w:vertAlign w:val="subscript"/>
                <w:lang w:eastAsia="zh-CN"/>
              </w:rPr>
              <w:t>2.5</w:t>
            </w:r>
            <w:r>
              <w:rPr>
                <w:rFonts w:hint="default" w:ascii="Times New Roman" w:hAnsi="Times New Roman" w:eastAsia="宋体" w:cs="Times New Roman"/>
                <w:b w:val="0"/>
                <w:bCs w:val="0"/>
                <w:color w:val="auto"/>
                <w:sz w:val="24"/>
                <w:szCs w:val="24"/>
                <w:highlight w:val="none"/>
                <w:u w:val="none"/>
                <w:lang w:eastAsia="zh-CN"/>
              </w:rPr>
              <w:t>不能满足《环境空气质标准》（GB3095-2012）二级标准要求。故项目所在区域为不达标区。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olor w:val="auto"/>
                <w:sz w:val="24"/>
                <w:highlight w:val="none"/>
                <w:u w:val="none"/>
              </w:rPr>
            </w:pPr>
            <w:r>
              <w:rPr>
                <w:rFonts w:hint="default" w:ascii="Times New Roman" w:hAnsi="Times New Roman"/>
                <w:color w:val="auto"/>
                <w:sz w:val="24"/>
                <w:highlight w:val="none"/>
                <w:u w:val="none"/>
              </w:rPr>
              <w:t>区域环境空气质量现状超标主要原因有汽车怠速尾气排放、工业企业无组织废气排放、农村散煤燃烧等。根据《河南省生态环境厅关于印发河南省2021年工业企业大气污染物全面达标提升行动方案的通知》（豫环文〔2021〕59号），可知，永城市采取的大气污染防治措施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olor w:val="auto"/>
                <w:sz w:val="24"/>
                <w:highlight w:val="none"/>
                <w:u w:val="none"/>
              </w:rPr>
            </w:pPr>
            <w:r>
              <w:rPr>
                <w:rFonts w:hint="default" w:ascii="Times New Roman" w:hAnsi="Times New Roman"/>
                <w:color w:val="auto"/>
                <w:sz w:val="24"/>
                <w:highlight w:val="none"/>
                <w:u w:val="none"/>
              </w:rPr>
              <w:t>（1）持续调整优化产业结构。按照“优化布局、提升质量、强化管理”的要求，不断优化产业布局，推进产业升级，严格环境准入和监管，促进产业结构持续优化，工业污染物排放总量大幅减少。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olor w:val="auto"/>
                <w:sz w:val="24"/>
                <w:highlight w:val="none"/>
                <w:u w:val="none"/>
              </w:rPr>
            </w:pPr>
            <w:r>
              <w:rPr>
                <w:rFonts w:hint="default" w:ascii="Times New Roman" w:hAnsi="Times New Roman"/>
                <w:color w:val="auto"/>
                <w:sz w:val="24"/>
                <w:highlight w:val="none"/>
                <w:u w:val="none"/>
              </w:rPr>
              <w:t>（2）持续调整优化能源结构。持续实施煤炭消费总量控制，加强供热基础设施建设，提高清洁能源供应保障能力，严控燃煤项目建设，完成煤炭消费减量任务，调整优化能源结构。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olor w:val="auto"/>
                <w:sz w:val="24"/>
                <w:highlight w:val="none"/>
                <w:u w:val="none"/>
              </w:rPr>
            </w:pPr>
            <w:r>
              <w:rPr>
                <w:rFonts w:hint="default" w:ascii="Times New Roman" w:hAnsi="Times New Roman"/>
                <w:color w:val="auto"/>
                <w:sz w:val="24"/>
                <w:highlight w:val="none"/>
                <w:u w:val="none"/>
              </w:rPr>
              <w:t>（3）持续调整优化交通运输结构。着力提升铁路货运比例，压缩大宗物料公路运输量，大力推广新能源汽车，优化重型车辆绕城行驶，减少机动车污染排放。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olor w:val="auto"/>
                <w:sz w:val="24"/>
                <w:highlight w:val="none"/>
                <w:u w:val="none"/>
              </w:rPr>
            </w:pPr>
            <w:r>
              <w:rPr>
                <w:rFonts w:hint="default" w:ascii="Times New Roman" w:hAnsi="Times New Roman"/>
                <w:color w:val="auto"/>
                <w:sz w:val="24"/>
                <w:highlight w:val="none"/>
                <w:u w:val="none"/>
              </w:rPr>
              <w:t>（4）持续调整优化用地结构。推进国土绿化行动，加强城市绿化建设，强化餐饮油烟治理、秸秆焚烧垃圾焚烧等面源污染管控，调整优化用地结构。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olor w:val="auto"/>
                <w:sz w:val="24"/>
                <w:highlight w:val="none"/>
                <w:u w:val="none"/>
              </w:rPr>
            </w:pPr>
            <w:r>
              <w:rPr>
                <w:rFonts w:hint="default" w:ascii="Times New Roman" w:hAnsi="Times New Roman"/>
                <w:color w:val="auto"/>
                <w:sz w:val="24"/>
                <w:highlight w:val="none"/>
                <w:u w:val="none"/>
              </w:rPr>
              <w:t>（5）深入推进“三散”污染治理。实施“散乱污”企业动态管理，实现散煤取暖基本清零，开展城市清洁行动，全面提升“三散”污染治理水平。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olor w:val="auto"/>
                <w:sz w:val="24"/>
                <w:highlight w:val="none"/>
                <w:u w:val="none"/>
              </w:rPr>
            </w:pPr>
            <w:r>
              <w:rPr>
                <w:rFonts w:hint="default" w:ascii="Times New Roman" w:hAnsi="Times New Roman"/>
                <w:color w:val="auto"/>
                <w:sz w:val="24"/>
                <w:highlight w:val="none"/>
                <w:u w:val="none"/>
              </w:rPr>
              <w:t>（6）实施重点工业企业污染治理。强化工业窑炉、钢铁、水泥等重点工业污染治理，提升污染防治设施改造治理水平，推动企业绿色发展。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olor w:val="auto"/>
                <w:sz w:val="24"/>
                <w:highlight w:val="none"/>
                <w:u w:val="none"/>
              </w:rPr>
            </w:pPr>
            <w:r>
              <w:rPr>
                <w:rFonts w:hint="default" w:ascii="Times New Roman" w:hAnsi="Times New Roman"/>
                <w:color w:val="auto"/>
                <w:sz w:val="24"/>
                <w:highlight w:val="none"/>
                <w:u w:val="none"/>
              </w:rPr>
              <w:t>（7）深化挥发性有机物污染治理。建立健全VOCs污染防治管理体系，强化重点行业VOCs污染治理，完成VOCs排放量减排10%目标任务。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olor w:val="auto"/>
                <w:sz w:val="24"/>
                <w:highlight w:val="none"/>
                <w:u w:val="none"/>
              </w:rPr>
            </w:pPr>
            <w:r>
              <w:rPr>
                <w:rFonts w:hint="default" w:ascii="Times New Roman" w:hAnsi="Times New Roman"/>
                <w:color w:val="auto"/>
                <w:sz w:val="24"/>
                <w:highlight w:val="none"/>
                <w:u w:val="none"/>
              </w:rPr>
              <w:t>（8）强化柴油货车污染治理。加大执法监管力度，严格检测监管，严控油品质量，全面推进柴油货车污染治理。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olor w:val="auto"/>
                <w:sz w:val="24"/>
                <w:highlight w:val="none"/>
                <w:u w:val="none"/>
              </w:rPr>
            </w:pPr>
            <w:r>
              <w:rPr>
                <w:rFonts w:hint="default" w:ascii="Times New Roman" w:hAnsi="Times New Roman"/>
                <w:color w:val="auto"/>
                <w:sz w:val="24"/>
                <w:highlight w:val="none"/>
                <w:u w:val="none"/>
              </w:rPr>
              <w:t>（9）提升重污染天气应急应对能力。修订完善应急减排清单，夯实应急减排措施，实行企业绩效分级管控，加强应急联动，严格执法监管，确保重污染天气应急应对工作取得实效。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highlight w:val="none"/>
                <w:u w:val="none"/>
                <w:lang w:eastAsia="zh-CN"/>
              </w:rPr>
            </w:pPr>
            <w:r>
              <w:rPr>
                <w:rFonts w:hint="default" w:ascii="Times New Roman" w:hAnsi="Times New Roman"/>
                <w:color w:val="auto"/>
                <w:sz w:val="24"/>
                <w:highlight w:val="none"/>
                <w:u w:val="none"/>
              </w:rPr>
              <w:t>（10）提升监测监控能力。健全工业企业、机动车、施工工地等污染源监控系统，完善空气质量监测网络，提高监测监控能力，坚持依法科学治污。随着《永城市2020年大气污染防治攻坚战实施方案》的落实，预计区域环境空气质量将会逐步改善</w:t>
            </w:r>
            <w:r>
              <w:rPr>
                <w:rFonts w:hint="default" w:ascii="Times New Roman" w:hAnsi="Times New Roman" w:eastAsia="宋体" w:cs="Times New Roman"/>
                <w:b w:val="0"/>
                <w:bCs w:val="0"/>
                <w:color w:val="auto"/>
                <w:sz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2、地表水环境质量现状</w:t>
            </w:r>
          </w:p>
          <w:p>
            <w:pPr>
              <w:pStyle w:val="3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rPr>
              <w:t>项目所在区域主要地表水体为浍河，浍河属淮河流域，规划为IV类标准要求，本次评价直接引用2021年5月河南省环境质量月报浍河永城黄口断面的常规监测结果，</w:t>
            </w:r>
            <w:r>
              <w:rPr>
                <w:rFonts w:hint="eastAsia" w:ascii="Times New Roman" w:hAnsi="Times New Roman" w:eastAsia="宋体" w:cs="Times New Roman"/>
                <w:bCs/>
                <w:color w:val="auto"/>
                <w:sz w:val="24"/>
                <w:szCs w:val="24"/>
                <w:lang w:eastAsia="zh-CN"/>
              </w:rPr>
              <w:t>浍河黄口</w:t>
            </w:r>
            <w:r>
              <w:rPr>
                <w:rFonts w:ascii="Times New Roman" w:hAnsi="Times New Roman" w:eastAsia="宋体" w:cs="Times New Roman"/>
                <w:bCs/>
                <w:color w:val="auto"/>
                <w:sz w:val="24"/>
                <w:szCs w:val="24"/>
              </w:rPr>
              <w:t>断面水质统计数据见</w:t>
            </w:r>
            <w:r>
              <w:rPr>
                <w:rFonts w:hint="eastAsia" w:ascii="Times New Roman" w:hAnsi="Times New Roman" w:eastAsia="宋体" w:cs="Times New Roman"/>
                <w:bCs/>
                <w:color w:val="auto"/>
                <w:sz w:val="24"/>
                <w:szCs w:val="24"/>
              </w:rPr>
              <w:t>下</w:t>
            </w:r>
            <w:r>
              <w:rPr>
                <w:rFonts w:ascii="Times New Roman" w:hAnsi="Times New Roman" w:eastAsia="宋体" w:cs="Times New Roman"/>
                <w:bCs/>
                <w:color w:val="auto"/>
                <w:sz w:val="24"/>
                <w:szCs w:val="24"/>
              </w:rPr>
              <w:t>表</w:t>
            </w:r>
            <w:r>
              <w:rPr>
                <w:rFonts w:ascii="Times New Roman" w:hAnsi="Times New Roman" w:eastAsia="宋体" w:cs="Times New Roman"/>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firstLine="422" w:firstLineChars="20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lang w:val="en-US" w:eastAsia="zh-CN"/>
              </w:rPr>
              <w:t>表3-2  地表水环境质量监测结果一览表</w:t>
            </w:r>
          </w:p>
          <w:tbl>
            <w:tblPr>
              <w:tblStyle w:val="14"/>
              <w:tblW w:w="702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087"/>
              <w:gridCol w:w="1378"/>
              <w:gridCol w:w="1494"/>
              <w:gridCol w:w="1328"/>
              <w:gridCol w:w="73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9" w:hRule="atLeast"/>
              </w:trPr>
              <w:tc>
                <w:tcPr>
                  <w:tcW w:w="3465" w:type="dxa"/>
                  <w:gridSpan w:val="2"/>
                  <w:tcBorders>
                    <w:top w:val="single" w:color="auto" w:sz="6" w:space="0"/>
                    <w:left w:val="single" w:color="auto" w:sz="6"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监测点位</w:t>
                  </w:r>
                </w:p>
              </w:tc>
              <w:tc>
                <w:tcPr>
                  <w:tcW w:w="1494" w:type="dxa"/>
                  <w:tcBorders>
                    <w:top w:val="single" w:color="auto" w:sz="6"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高锰酸盐指数</w:t>
                  </w:r>
                </w:p>
              </w:tc>
              <w:tc>
                <w:tcPr>
                  <w:tcW w:w="1328" w:type="dxa"/>
                  <w:tcBorders>
                    <w:top w:val="single" w:color="auto" w:sz="6"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NH</w:t>
                  </w:r>
                  <w:r>
                    <w:rPr>
                      <w:rFonts w:hint="default" w:ascii="Times New Roman" w:hAnsi="Times New Roman" w:eastAsia="宋体" w:cs="Times New Roman"/>
                      <w:color w:val="auto"/>
                      <w:kern w:val="0"/>
                      <w:szCs w:val="21"/>
                      <w:vertAlign w:val="subscript"/>
                    </w:rPr>
                    <w:t>3</w:t>
                  </w:r>
                  <w:r>
                    <w:rPr>
                      <w:rFonts w:hint="default" w:ascii="Times New Roman" w:hAnsi="Times New Roman" w:eastAsia="宋体" w:cs="Times New Roman"/>
                      <w:color w:val="auto"/>
                      <w:kern w:val="0"/>
                      <w:szCs w:val="21"/>
                    </w:rPr>
                    <w:t>-N</w:t>
                  </w:r>
                </w:p>
              </w:tc>
              <w:tc>
                <w:tcPr>
                  <w:tcW w:w="733" w:type="dxa"/>
                  <w:tcBorders>
                    <w:top w:val="single" w:color="auto" w:sz="6" w:space="0"/>
                    <w:left w:val="single" w:color="000000" w:sz="4" w:space="0"/>
                    <w:bottom w:val="single" w:color="auto" w:sz="4" w:space="0"/>
                    <w:right w:val="single" w:color="auto" w:sz="6" w:space="0"/>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总磷</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trPr>
              <w:tc>
                <w:tcPr>
                  <w:tcW w:w="2087" w:type="dxa"/>
                  <w:tcBorders>
                    <w:top w:val="single" w:color="auto" w:sz="4" w:space="0"/>
                    <w:left w:val="single" w:color="auto" w:sz="6"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val="0"/>
                      <w:bCs w:val="0"/>
                      <w:color w:val="auto"/>
                      <w:kern w:val="0"/>
                      <w:szCs w:val="21"/>
                      <w:u w:val="none"/>
                    </w:rPr>
                  </w:pPr>
                  <w:r>
                    <w:rPr>
                      <w:rFonts w:hint="default" w:ascii="Times New Roman" w:hAnsi="Times New Roman" w:eastAsia="宋体" w:cs="Times New Roman"/>
                      <w:b w:val="0"/>
                      <w:bCs w:val="0"/>
                      <w:color w:val="auto"/>
                      <w:kern w:val="0"/>
                      <w:szCs w:val="21"/>
                      <w:u w:val="none"/>
                    </w:rPr>
                    <w:t>浍河永城黄口断面</w:t>
                  </w:r>
                </w:p>
              </w:tc>
              <w:tc>
                <w:tcPr>
                  <w:tcW w:w="1378"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b w:val="0"/>
                      <w:bCs w:val="0"/>
                      <w:color w:val="auto"/>
                      <w:kern w:val="0"/>
                      <w:szCs w:val="21"/>
                      <w:u w:val="none"/>
                    </w:rPr>
                  </w:pPr>
                  <w:r>
                    <w:rPr>
                      <w:rFonts w:hint="default" w:ascii="Times New Roman" w:hAnsi="Times New Roman" w:eastAsia="宋体" w:cs="Times New Roman"/>
                      <w:b w:val="0"/>
                      <w:bCs w:val="0"/>
                      <w:color w:val="auto"/>
                      <w:u w:val="none"/>
                      <w:lang w:val="en-US" w:eastAsia="zh-CN"/>
                    </w:rPr>
                    <w:t>监测数据</w:t>
                  </w:r>
                </w:p>
              </w:tc>
              <w:tc>
                <w:tcPr>
                  <w:tcW w:w="1494"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b w:val="0"/>
                      <w:bCs w:val="0"/>
                      <w:color w:val="auto"/>
                      <w:kern w:val="0"/>
                      <w:szCs w:val="21"/>
                      <w:u w:val="none"/>
                      <w:lang w:val="en-US" w:eastAsia="zh-CN"/>
                    </w:rPr>
                  </w:pPr>
                  <w:r>
                    <w:rPr>
                      <w:rFonts w:hint="default" w:ascii="Times New Roman" w:hAnsi="Times New Roman" w:eastAsia="宋体" w:cs="Times New Roman"/>
                      <w:b w:val="0"/>
                      <w:bCs w:val="0"/>
                      <w:color w:val="auto"/>
                      <w:kern w:val="0"/>
                      <w:szCs w:val="21"/>
                      <w:u w:val="none"/>
                      <w:lang w:val="en-US" w:eastAsia="zh-CN"/>
                    </w:rPr>
                    <w:t>7.4</w:t>
                  </w:r>
                </w:p>
              </w:tc>
              <w:tc>
                <w:tcPr>
                  <w:tcW w:w="1328" w:type="dxa"/>
                  <w:tcBorders>
                    <w:top w:val="single" w:color="auto" w:sz="4" w:space="0"/>
                    <w:left w:val="single" w:color="auto" w:sz="4" w:space="0"/>
                    <w:right w:val="single" w:color="000000" w:sz="4" w:space="0"/>
                  </w:tcBorders>
                  <w:noWrap w:val="0"/>
                  <w:vAlign w:val="center"/>
                </w:tcPr>
                <w:p>
                  <w:pPr>
                    <w:widowControl/>
                    <w:jc w:val="center"/>
                    <w:rPr>
                      <w:rFonts w:hint="default" w:ascii="Times New Roman" w:hAnsi="Times New Roman" w:eastAsia="宋体" w:cs="Times New Roman"/>
                      <w:b w:val="0"/>
                      <w:bCs w:val="0"/>
                      <w:color w:val="auto"/>
                      <w:kern w:val="0"/>
                      <w:szCs w:val="21"/>
                      <w:u w:val="none"/>
                      <w:lang w:val="en-US" w:eastAsia="zh-CN"/>
                    </w:rPr>
                  </w:pPr>
                  <w:r>
                    <w:rPr>
                      <w:rFonts w:hint="default" w:ascii="Times New Roman" w:hAnsi="Times New Roman" w:eastAsia="宋体" w:cs="Times New Roman"/>
                      <w:b w:val="0"/>
                      <w:bCs w:val="0"/>
                      <w:color w:val="auto"/>
                      <w:kern w:val="0"/>
                      <w:szCs w:val="21"/>
                      <w:u w:val="none"/>
                    </w:rPr>
                    <w:t>0.</w:t>
                  </w:r>
                  <w:r>
                    <w:rPr>
                      <w:rFonts w:hint="default" w:ascii="Times New Roman" w:hAnsi="Times New Roman" w:eastAsia="宋体" w:cs="Times New Roman"/>
                      <w:b w:val="0"/>
                      <w:bCs w:val="0"/>
                      <w:color w:val="auto"/>
                      <w:kern w:val="0"/>
                      <w:szCs w:val="21"/>
                      <w:u w:val="none"/>
                      <w:lang w:val="en-US" w:eastAsia="zh-CN"/>
                    </w:rPr>
                    <w:t>21</w:t>
                  </w:r>
                </w:p>
              </w:tc>
              <w:tc>
                <w:tcPr>
                  <w:tcW w:w="733" w:type="dxa"/>
                  <w:tcBorders>
                    <w:top w:val="single" w:color="auto" w:sz="4" w:space="0"/>
                    <w:left w:val="single" w:color="000000" w:sz="4" w:space="0"/>
                    <w:bottom w:val="single" w:color="auto" w:sz="4" w:space="0"/>
                    <w:right w:val="single" w:color="auto" w:sz="6" w:space="0"/>
                  </w:tcBorders>
                  <w:noWrap w:val="0"/>
                  <w:vAlign w:val="center"/>
                </w:tcPr>
                <w:p>
                  <w:pPr>
                    <w:widowControl/>
                    <w:jc w:val="center"/>
                    <w:rPr>
                      <w:rFonts w:hint="default" w:ascii="Times New Roman" w:hAnsi="Times New Roman" w:eastAsia="宋体" w:cs="Times New Roman"/>
                      <w:b w:val="0"/>
                      <w:bCs w:val="0"/>
                      <w:color w:val="auto"/>
                      <w:kern w:val="0"/>
                      <w:szCs w:val="21"/>
                      <w:u w:val="none"/>
                      <w:lang w:val="en-US" w:eastAsia="zh-CN"/>
                    </w:rPr>
                  </w:pPr>
                  <w:r>
                    <w:rPr>
                      <w:rFonts w:hint="default" w:ascii="Times New Roman" w:hAnsi="Times New Roman" w:eastAsia="宋体" w:cs="Times New Roman"/>
                      <w:b w:val="0"/>
                      <w:bCs w:val="0"/>
                      <w:color w:val="auto"/>
                      <w:kern w:val="0"/>
                      <w:szCs w:val="21"/>
                      <w:u w:val="none"/>
                      <w:lang w:val="en-US" w:eastAsia="zh-CN"/>
                    </w:rPr>
                    <w:t>0.148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4" w:hRule="atLeast"/>
              </w:trPr>
              <w:tc>
                <w:tcPr>
                  <w:tcW w:w="3465" w:type="dxa"/>
                  <w:gridSpan w:val="2"/>
                  <w:tcBorders>
                    <w:top w:val="single" w:color="auto" w:sz="4" w:space="0"/>
                    <w:left w:val="single" w:color="auto" w:sz="6" w:space="0"/>
                    <w:bottom w:val="single" w:color="auto" w:sz="6" w:space="0"/>
                    <w:right w:val="single" w:color="auto" w:sz="4" w:space="0"/>
                  </w:tcBorders>
                  <w:noWrap w:val="0"/>
                  <w:vAlign w:val="center"/>
                </w:tcPr>
                <w:p>
                  <w:pPr>
                    <w:widowControl/>
                    <w:jc w:val="center"/>
                    <w:rPr>
                      <w:rFonts w:hint="default" w:ascii="Times New Roman" w:hAnsi="Times New Roman" w:eastAsia="宋体" w:cs="Times New Roman"/>
                      <w:b w:val="0"/>
                      <w:bCs w:val="0"/>
                      <w:color w:val="auto"/>
                      <w:kern w:val="0"/>
                      <w:szCs w:val="21"/>
                      <w:u w:val="none"/>
                    </w:rPr>
                  </w:pPr>
                  <w:r>
                    <w:rPr>
                      <w:rFonts w:hint="default" w:ascii="Times New Roman" w:hAnsi="Times New Roman" w:eastAsia="宋体" w:cs="Times New Roman"/>
                      <w:b w:val="0"/>
                      <w:bCs w:val="0"/>
                      <w:color w:val="auto"/>
                      <w:kern w:val="0"/>
                      <w:szCs w:val="21"/>
                      <w:u w:val="none"/>
                    </w:rPr>
                    <w:fldChar w:fldCharType="begin"/>
                  </w:r>
                  <w:r>
                    <w:rPr>
                      <w:rFonts w:hint="default" w:ascii="Times New Roman" w:hAnsi="Times New Roman" w:eastAsia="宋体" w:cs="Times New Roman"/>
                      <w:b w:val="0"/>
                      <w:bCs w:val="0"/>
                      <w:color w:val="auto"/>
                      <w:kern w:val="0"/>
                      <w:szCs w:val="21"/>
                      <w:u w:val="none"/>
                    </w:rPr>
                    <w:instrText xml:space="preserve"> = 4 \* ROMAN \* MERGEFORMAT </w:instrText>
                  </w:r>
                  <w:r>
                    <w:rPr>
                      <w:rFonts w:hint="default" w:ascii="Times New Roman" w:hAnsi="Times New Roman" w:eastAsia="宋体" w:cs="Times New Roman"/>
                      <w:b w:val="0"/>
                      <w:bCs w:val="0"/>
                      <w:color w:val="auto"/>
                      <w:kern w:val="0"/>
                      <w:szCs w:val="21"/>
                      <w:u w:val="none"/>
                    </w:rPr>
                    <w:fldChar w:fldCharType="separate"/>
                  </w:r>
                  <w:r>
                    <w:rPr>
                      <w:rFonts w:hint="default" w:ascii="Times New Roman" w:hAnsi="Times New Roman" w:eastAsia="宋体" w:cs="Times New Roman"/>
                      <w:b w:val="0"/>
                      <w:bCs w:val="0"/>
                      <w:color w:val="auto"/>
                      <w:u w:val="none"/>
                    </w:rPr>
                    <w:t>IV</w:t>
                  </w:r>
                  <w:r>
                    <w:rPr>
                      <w:rFonts w:hint="default" w:ascii="Times New Roman" w:hAnsi="Times New Roman" w:eastAsia="宋体" w:cs="Times New Roman"/>
                      <w:b w:val="0"/>
                      <w:bCs w:val="0"/>
                      <w:color w:val="auto"/>
                      <w:kern w:val="0"/>
                      <w:szCs w:val="21"/>
                      <w:u w:val="none"/>
                    </w:rPr>
                    <w:fldChar w:fldCharType="end"/>
                  </w:r>
                  <w:r>
                    <w:rPr>
                      <w:rFonts w:hint="default" w:ascii="Times New Roman" w:hAnsi="Times New Roman" w:eastAsia="宋体" w:cs="Times New Roman"/>
                      <w:b w:val="0"/>
                      <w:bCs w:val="0"/>
                      <w:color w:val="auto"/>
                      <w:kern w:val="0"/>
                      <w:szCs w:val="21"/>
                      <w:u w:val="none"/>
                    </w:rPr>
                    <w:t>类水体标准值</w:t>
                  </w:r>
                </w:p>
              </w:tc>
              <w:tc>
                <w:tcPr>
                  <w:tcW w:w="1494" w:type="dxa"/>
                  <w:tcBorders>
                    <w:top w:val="single" w:color="auto" w:sz="4" w:space="0"/>
                    <w:left w:val="single" w:color="auto" w:sz="4" w:space="0"/>
                    <w:bottom w:val="single" w:color="auto" w:sz="6" w:space="0"/>
                    <w:right w:val="single" w:color="auto" w:sz="4" w:space="0"/>
                  </w:tcBorders>
                  <w:noWrap w:val="0"/>
                  <w:vAlign w:val="center"/>
                </w:tcPr>
                <w:p>
                  <w:pPr>
                    <w:widowControl/>
                    <w:jc w:val="center"/>
                    <w:rPr>
                      <w:rFonts w:hint="default" w:ascii="Times New Roman" w:hAnsi="Times New Roman" w:eastAsia="宋体" w:cs="Times New Roman"/>
                      <w:b w:val="0"/>
                      <w:bCs w:val="0"/>
                      <w:color w:val="auto"/>
                      <w:kern w:val="0"/>
                      <w:szCs w:val="21"/>
                      <w:u w:val="none"/>
                      <w:lang w:val="en-US" w:eastAsia="zh-CN"/>
                    </w:rPr>
                  </w:pPr>
                  <w:r>
                    <w:rPr>
                      <w:rFonts w:hint="default" w:ascii="Times New Roman" w:hAnsi="Times New Roman" w:eastAsia="宋体" w:cs="Times New Roman"/>
                      <w:b w:val="0"/>
                      <w:bCs w:val="0"/>
                      <w:color w:val="auto"/>
                      <w:kern w:val="0"/>
                      <w:szCs w:val="21"/>
                      <w:u w:val="none"/>
                      <w:lang w:val="en-US" w:eastAsia="zh-CN"/>
                    </w:rPr>
                    <w:t>10</w:t>
                  </w:r>
                </w:p>
              </w:tc>
              <w:tc>
                <w:tcPr>
                  <w:tcW w:w="1328" w:type="dxa"/>
                  <w:tcBorders>
                    <w:top w:val="single" w:color="auto" w:sz="4" w:space="0"/>
                    <w:left w:val="single" w:color="auto" w:sz="4" w:space="0"/>
                    <w:bottom w:val="single" w:color="auto" w:sz="6" w:space="0"/>
                    <w:right w:val="single" w:color="000000" w:sz="4" w:space="0"/>
                  </w:tcBorders>
                  <w:noWrap w:val="0"/>
                  <w:vAlign w:val="center"/>
                </w:tcPr>
                <w:p>
                  <w:pPr>
                    <w:widowControl/>
                    <w:jc w:val="center"/>
                    <w:rPr>
                      <w:rFonts w:hint="default" w:ascii="Times New Roman" w:hAnsi="Times New Roman" w:eastAsia="宋体" w:cs="Times New Roman"/>
                      <w:b w:val="0"/>
                      <w:bCs w:val="0"/>
                      <w:color w:val="auto"/>
                      <w:kern w:val="0"/>
                      <w:szCs w:val="21"/>
                      <w:u w:val="none"/>
                      <w:lang w:eastAsia="zh-CN"/>
                    </w:rPr>
                  </w:pPr>
                  <w:r>
                    <w:rPr>
                      <w:rFonts w:hint="default" w:ascii="Times New Roman" w:hAnsi="Times New Roman" w:eastAsia="宋体" w:cs="Times New Roman"/>
                      <w:b w:val="0"/>
                      <w:bCs w:val="0"/>
                      <w:color w:val="auto"/>
                      <w:kern w:val="0"/>
                      <w:szCs w:val="21"/>
                      <w:u w:val="none"/>
                    </w:rPr>
                    <w:t>1.</w:t>
                  </w:r>
                  <w:r>
                    <w:rPr>
                      <w:rFonts w:hint="default" w:ascii="Times New Roman" w:hAnsi="Times New Roman" w:eastAsia="宋体" w:cs="Times New Roman"/>
                      <w:b w:val="0"/>
                      <w:bCs w:val="0"/>
                      <w:color w:val="auto"/>
                      <w:kern w:val="0"/>
                      <w:szCs w:val="21"/>
                      <w:u w:val="none"/>
                      <w:lang w:val="en-US" w:eastAsia="zh-CN"/>
                    </w:rPr>
                    <w:t>5</w:t>
                  </w:r>
                </w:p>
              </w:tc>
              <w:tc>
                <w:tcPr>
                  <w:tcW w:w="733" w:type="dxa"/>
                  <w:tcBorders>
                    <w:top w:val="single" w:color="auto" w:sz="4" w:space="0"/>
                    <w:left w:val="single" w:color="000000" w:sz="4" w:space="0"/>
                    <w:bottom w:val="single" w:color="auto" w:sz="6" w:space="0"/>
                    <w:right w:val="single" w:color="auto" w:sz="6" w:space="0"/>
                  </w:tcBorders>
                  <w:noWrap w:val="0"/>
                  <w:vAlign w:val="center"/>
                </w:tcPr>
                <w:p>
                  <w:pPr>
                    <w:widowControl/>
                    <w:jc w:val="center"/>
                    <w:rPr>
                      <w:rFonts w:hint="default" w:ascii="Times New Roman" w:hAnsi="Times New Roman" w:eastAsia="宋体" w:cs="Times New Roman"/>
                      <w:b w:val="0"/>
                      <w:bCs w:val="0"/>
                      <w:color w:val="auto"/>
                      <w:kern w:val="0"/>
                      <w:szCs w:val="21"/>
                      <w:u w:val="none"/>
                      <w:lang w:val="en-US" w:eastAsia="zh-CN"/>
                    </w:rPr>
                  </w:pPr>
                  <w:r>
                    <w:rPr>
                      <w:rFonts w:hint="default" w:ascii="Times New Roman" w:hAnsi="Times New Roman" w:eastAsia="宋体" w:cs="Times New Roman"/>
                      <w:b w:val="0"/>
                      <w:bCs w:val="0"/>
                      <w:color w:val="auto"/>
                      <w:kern w:val="0"/>
                      <w:szCs w:val="21"/>
                      <w:u w:val="none"/>
                      <w:lang w:val="en-US" w:eastAsia="zh-CN"/>
                    </w:rPr>
                    <w:t>0.3</w:t>
                  </w:r>
                </w:p>
              </w:tc>
            </w:tr>
          </w:tbl>
          <w:p>
            <w:pPr>
              <w:keepNext w:val="0"/>
              <w:keepLines w:val="0"/>
              <w:pageBreakBefore w:val="0"/>
              <w:kinsoku/>
              <w:wordWrap/>
              <w:overflowPunct/>
              <w:topLinePunct w:val="0"/>
              <w:bidi w:val="0"/>
              <w:adjustRightInd/>
              <w:snapToGrid/>
              <w:spacing w:line="480" w:lineRule="exact"/>
              <w:ind w:left="0" w:firstLine="480" w:firstLineChars="200"/>
              <w:rPr>
                <w:rFonts w:hint="default" w:ascii="Times New Roman" w:hAnsi="Times New Roman" w:eastAsia="宋体" w:cs="Times New Roman"/>
                <w:b/>
                <w:bCs/>
                <w:color w:val="auto"/>
                <w:sz w:val="28"/>
                <w:szCs w:val="28"/>
                <w:highlight w:val="none"/>
                <w:lang w:val="en-US" w:eastAsia="zh-CN"/>
              </w:rPr>
            </w:pPr>
            <w:r>
              <w:rPr>
                <w:rFonts w:hint="default" w:ascii="Times New Roman" w:hAnsi="Times New Roman" w:eastAsia="宋体" w:cs="Times New Roman"/>
                <w:color w:val="auto"/>
                <w:sz w:val="24"/>
                <w:szCs w:val="24"/>
                <w:highlight w:val="none"/>
                <w:lang w:eastAsia="zh-CN"/>
              </w:rPr>
              <w:t>由监测数据可知，沱河水质满足《地表水环境质量标准》（GB3838-2002）Ⅳ类标准要求。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32"/>
                <w:u w:val="none"/>
                <w:vertAlign w:val="baseline"/>
                <w:lang w:val="en-US" w:eastAsia="zh-CN"/>
              </w:rPr>
            </w:pPr>
            <w:r>
              <w:rPr>
                <w:rFonts w:hint="default" w:ascii="Times New Roman" w:hAnsi="Times New Roman" w:eastAsia="宋体" w:cs="Times New Roman"/>
                <w:b/>
                <w:bCs/>
                <w:color w:val="auto"/>
                <w:sz w:val="24"/>
                <w:szCs w:val="32"/>
                <w:u w:val="none"/>
                <w:vertAlign w:val="baseline"/>
                <w:lang w:val="en-US" w:eastAsia="zh-CN"/>
              </w:rPr>
              <w:t>3、</w:t>
            </w:r>
            <w:r>
              <w:rPr>
                <w:rFonts w:hint="eastAsia" w:ascii="Times New Roman" w:hAnsi="Times New Roman" w:cs="Times New Roman"/>
                <w:b/>
                <w:bCs/>
                <w:color w:val="auto"/>
                <w:sz w:val="24"/>
                <w:szCs w:val="32"/>
                <w:u w:val="none"/>
                <w:vertAlign w:val="baseline"/>
                <w:lang w:val="en-US" w:eastAsia="zh-CN"/>
              </w:rPr>
              <w:t>区域</w:t>
            </w:r>
            <w:r>
              <w:rPr>
                <w:rFonts w:hint="default" w:ascii="Times New Roman" w:hAnsi="Times New Roman" w:eastAsia="宋体" w:cs="Times New Roman"/>
                <w:b/>
                <w:bCs/>
                <w:color w:val="auto"/>
                <w:sz w:val="24"/>
                <w:szCs w:val="32"/>
                <w:u w:val="none"/>
                <w:vertAlign w:val="baseline"/>
                <w:lang w:val="en-US" w:eastAsia="zh-CN"/>
              </w:rPr>
              <w:t>地下水</w:t>
            </w:r>
            <w:r>
              <w:rPr>
                <w:rFonts w:hint="eastAsia" w:ascii="Times New Roman" w:hAnsi="Times New Roman" w:cs="Times New Roman"/>
                <w:b/>
                <w:bCs/>
                <w:color w:val="auto"/>
                <w:sz w:val="24"/>
                <w:szCs w:val="32"/>
                <w:u w:val="none"/>
                <w:vertAlign w:val="baseline"/>
                <w:lang w:val="en-US" w:eastAsia="zh-CN"/>
              </w:rPr>
              <w:t>及土壤</w:t>
            </w:r>
            <w:r>
              <w:rPr>
                <w:rFonts w:hint="default" w:ascii="Times New Roman" w:hAnsi="Times New Roman" w:eastAsia="宋体" w:cs="Times New Roman"/>
                <w:b/>
                <w:bCs/>
                <w:color w:val="auto"/>
                <w:sz w:val="24"/>
                <w:szCs w:val="32"/>
                <w:u w:val="none"/>
                <w:vertAlign w:val="baseline"/>
                <w:lang w:val="en-US" w:eastAsia="zh-CN"/>
              </w:rPr>
              <w:t>环境质量现状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Times New Roman" w:hAnsi="Times New Roman" w:cs="Times New Roman"/>
                <w:bCs/>
                <w:color w:val="auto"/>
                <w:sz w:val="24"/>
                <w:szCs w:val="24"/>
                <w:highlight w:val="none"/>
                <w:u w:val="none"/>
                <w:lang w:val="en-US" w:eastAsia="zh-CN"/>
              </w:rPr>
            </w:pPr>
            <w:r>
              <w:rPr>
                <w:rFonts w:hint="eastAsia" w:ascii="Times New Roman" w:hAnsi="Times New Roman" w:cs="Times New Roman"/>
                <w:bCs/>
                <w:color w:val="auto"/>
                <w:sz w:val="24"/>
                <w:szCs w:val="24"/>
                <w:highlight w:val="none"/>
                <w:u w:val="none"/>
                <w:lang w:val="en-US" w:eastAsia="zh-CN"/>
              </w:rPr>
              <w:t>本项目生产区均采用防渗处理，储罐周围设置围堰并做防渗处理。不存在的区域的地下水和土壤造成影响。根据《建设项目环境影响报告表编制技术指南（污染影响类）（试行）》，地下水、土壤环境可不开展环境质量现状调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4、</w:t>
            </w:r>
            <w:r>
              <w:rPr>
                <w:rFonts w:hint="default" w:ascii="Times New Roman" w:hAnsi="Times New Roman" w:eastAsia="宋体" w:cs="Times New Roman"/>
                <w:b/>
                <w:bCs/>
                <w:color w:val="auto"/>
                <w:sz w:val="24"/>
                <w:szCs w:val="32"/>
                <w:vertAlign w:val="baseline"/>
                <w:lang w:val="en-US" w:eastAsia="zh-CN"/>
              </w:rPr>
              <w:t>声环境质量现状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highlight w:val="none"/>
                <w:lang w:eastAsia="zh-CN"/>
              </w:rPr>
              <w:t>项目厂界外周边50米范围内无声环境保护目标，不再对声环境质量现状进行评价</w:t>
            </w:r>
            <w:r>
              <w:rPr>
                <w:rFonts w:hint="default" w:ascii="Times New Roman" w:hAnsi="Times New Roman" w:eastAsia="宋体"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5</w:t>
            </w:r>
            <w:r>
              <w:rPr>
                <w:rFonts w:hint="default" w:ascii="Times New Roman" w:hAnsi="Times New Roman" w:eastAsia="宋体" w:cs="Times New Roman"/>
                <w:b/>
                <w:bCs/>
                <w:color w:val="auto"/>
                <w:sz w:val="24"/>
                <w:szCs w:val="32"/>
                <w:vertAlign w:val="baseline"/>
                <w:lang w:val="en-US" w:eastAsia="zh-CN"/>
              </w:rPr>
              <w:t>、生态环境质量现状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由于长期人为活动和自然条件的影响，区域内已无珍稀动植物存在，同时评价调查项目所在地附近无划定的风景名胜区、自然保护区及文化遗产等特殊保护目标。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noWrap w:val="0"/>
            <w:vAlign w:val="center"/>
          </w:tcPr>
          <w:p>
            <w:pPr>
              <w:jc w:val="center"/>
              <w:rPr>
                <w:rFonts w:hint="default" w:ascii="Times New Roman" w:hAnsi="Times New Roman" w:eastAsia="宋体"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环境保护目标</w:t>
            </w:r>
          </w:p>
        </w:tc>
        <w:tc>
          <w:tcPr>
            <w:tcW w:w="72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1、大气环境保护目标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厂界外为500m范围内大气环境敏感点主要为居住区等，具体情况详见下表，敏感点分布情况详见附图2。</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cs="Times New Roman"/>
                <w:b/>
                <w:bCs/>
                <w:color w:val="auto"/>
                <w:sz w:val="21"/>
                <w:szCs w:val="24"/>
                <w:vertAlign w:val="baseline"/>
                <w:lang w:val="en-US" w:eastAsia="zh-CN"/>
              </w:rPr>
            </w:pPr>
            <w:r>
              <w:rPr>
                <w:rFonts w:hint="eastAsia" w:ascii="Times New Roman" w:hAnsi="Times New Roman" w:cs="Times New Roman"/>
                <w:b/>
                <w:bCs/>
                <w:color w:val="auto"/>
                <w:sz w:val="21"/>
                <w:szCs w:val="24"/>
                <w:vertAlign w:val="baseline"/>
                <w:lang w:val="en-US" w:eastAsia="zh-CN"/>
              </w:rPr>
              <w:t>表3-5  项目环境敏感保护目标一览表</w:t>
            </w:r>
          </w:p>
          <w:tbl>
            <w:tblPr>
              <w:tblStyle w:val="14"/>
              <w:tblW w:w="70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213"/>
              <w:gridCol w:w="1120"/>
              <w:gridCol w:w="722"/>
              <w:gridCol w:w="649"/>
              <w:gridCol w:w="705"/>
              <w:gridCol w:w="1014"/>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66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类别</w:t>
                  </w:r>
                </w:p>
              </w:tc>
              <w:tc>
                <w:tcPr>
                  <w:tcW w:w="2333" w:type="dxa"/>
                  <w:gridSpan w:val="2"/>
                  <w:noWrap w:val="0"/>
                  <w:vAlign w:val="center"/>
                </w:tcPr>
                <w:p>
                  <w:pPr>
                    <w:keepNext w:val="0"/>
                    <w:keepLines w:val="0"/>
                    <w:pageBreakBefore w:val="0"/>
                    <w:widowControl w:val="0"/>
                    <w:tabs>
                      <w:tab w:val="left" w:pos="538"/>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经纬度</w:t>
                  </w:r>
                </w:p>
              </w:tc>
              <w:tc>
                <w:tcPr>
                  <w:tcW w:w="7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环境保护目标</w:t>
                  </w:r>
                </w:p>
              </w:tc>
              <w:tc>
                <w:tcPr>
                  <w:tcW w:w="64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功能</w:t>
                  </w:r>
                </w:p>
              </w:tc>
              <w:tc>
                <w:tcPr>
                  <w:tcW w:w="7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相对方位</w:t>
                  </w:r>
                </w:p>
              </w:tc>
              <w:tc>
                <w:tcPr>
                  <w:tcW w:w="101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距项目距离（m）</w:t>
                  </w:r>
                </w:p>
              </w:tc>
              <w:tc>
                <w:tcPr>
                  <w:tcW w:w="9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6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经度</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纬度</w:t>
                  </w:r>
                </w:p>
              </w:tc>
              <w:tc>
                <w:tcPr>
                  <w:tcW w:w="7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6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10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9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大气环境</w:t>
                  </w:r>
                </w:p>
              </w:tc>
              <w:tc>
                <w:tcPr>
                  <w:tcW w:w="1213" w:type="dxa"/>
                  <w:noWrap w:val="0"/>
                  <w:vAlign w:val="center"/>
                </w:tcPr>
                <w:p>
                  <w:pPr>
                    <w:pageBreakBefore w:val="0"/>
                    <w:kinsoku/>
                    <w:wordWrap/>
                    <w:overflowPunct/>
                    <w:autoSpaceDE w:val="0"/>
                    <w:autoSpaceDN w:val="0"/>
                    <w:bidi w:val="0"/>
                    <w:adjustRightInd/>
                    <w:snapToGrid/>
                    <w:spacing w:line="36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116.426861</w:t>
                  </w:r>
                </w:p>
              </w:tc>
              <w:tc>
                <w:tcPr>
                  <w:tcW w:w="1120" w:type="dxa"/>
                  <w:noWrap w:val="0"/>
                  <w:vAlign w:val="center"/>
                </w:tcPr>
                <w:p>
                  <w:pPr>
                    <w:pageBreakBefore w:val="0"/>
                    <w:kinsoku/>
                    <w:wordWrap/>
                    <w:overflowPunct/>
                    <w:autoSpaceDE w:val="0"/>
                    <w:autoSpaceDN w:val="0"/>
                    <w:bidi w:val="0"/>
                    <w:adjustRightInd/>
                    <w:snapToGrid/>
                    <w:spacing w:line="36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33.874103</w:t>
                  </w:r>
                </w:p>
              </w:tc>
              <w:tc>
                <w:tcPr>
                  <w:tcW w:w="722"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color w:val="auto"/>
                      <w:szCs w:val="21"/>
                    </w:rPr>
                    <w:t>李楼村</w:t>
                  </w:r>
                </w:p>
              </w:tc>
              <w:tc>
                <w:tcPr>
                  <w:tcW w:w="649" w:type="dxa"/>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居民区</w:t>
                  </w:r>
                </w:p>
              </w:tc>
              <w:tc>
                <w:tcPr>
                  <w:tcW w:w="705" w:type="dxa"/>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w:t>
                  </w:r>
                </w:p>
              </w:tc>
              <w:tc>
                <w:tcPr>
                  <w:tcW w:w="1014" w:type="dxa"/>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80</w:t>
                  </w:r>
                </w:p>
              </w:tc>
              <w:tc>
                <w:tcPr>
                  <w:tcW w:w="924"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400</w:t>
                  </w:r>
                  <w:r>
                    <w:rPr>
                      <w:rFonts w:hint="default" w:ascii="Times New Roman" w:hAnsi="Times New Roman" w:eastAsia="宋体" w:cs="Times New Roman"/>
                      <w:color w:val="auto"/>
                      <w:sz w:val="21"/>
                      <w:szCs w:val="21"/>
                    </w:rPr>
                    <w:t>人</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2、水环境保护目标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项目用地范围及附近不涉及饮用水水源保护区、饮用水取水口、自然保护区、风景名胜区，重要湿地、重点保护与珍稀水生生物的栖息地、重要水生生物的自然产卵场及索饵场、越冬场和洄游通道，天然渔场等渔业水体，以及水产种质资源保护区等敏感目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3、声环境保护目标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厂界外50m范围内没有声环境保护目标。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4、其它环境保护目标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厂界外500m范围内无地下水集中式使用水水源和热水、矿泉水、温泉等特殊地下水资源，无生态环境保护目标。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noWrap w:val="0"/>
            <w:vAlign w:val="center"/>
          </w:tcPr>
          <w:p>
            <w:pPr>
              <w:jc w:val="center"/>
              <w:rPr>
                <w:rFonts w:hint="default" w:ascii="Times New Roman" w:hAnsi="Times New Roman" w:eastAsia="宋体"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污染物排放控制标准</w:t>
            </w:r>
          </w:p>
        </w:tc>
        <w:tc>
          <w:tcPr>
            <w:tcW w:w="72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b/>
                <w:bCs w:val="0"/>
                <w:color w:val="auto"/>
                <w:sz w:val="24"/>
                <w:u w:val="none"/>
              </w:rPr>
            </w:pPr>
            <w:r>
              <w:rPr>
                <w:rFonts w:ascii="Times New Roman" w:hAnsi="Times New Roman" w:eastAsia="宋体" w:cs="Times New Roman"/>
                <w:b/>
                <w:bCs w:val="0"/>
                <w:color w:val="auto"/>
                <w:sz w:val="24"/>
                <w:u w:val="none"/>
              </w:rPr>
              <w:t>1、废气</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56" w:firstLineChars="200"/>
              <w:jc w:val="both"/>
              <w:textAlignment w:val="auto"/>
              <w:outlineLvl w:val="9"/>
              <w:rPr>
                <w:rFonts w:hint="default" w:ascii="Times New Roman" w:hAnsi="Times New Roman" w:eastAsia="宋体" w:cs="Times New Roman"/>
                <w:b/>
                <w:bCs w:val="0"/>
                <w:color w:val="auto"/>
                <w:sz w:val="24"/>
                <w:u w:val="none"/>
                <w:vertAlign w:val="baseline"/>
                <w:lang w:val="en-US" w:eastAsia="zh-CN"/>
              </w:rPr>
            </w:pPr>
            <w:r>
              <w:rPr>
                <w:rFonts w:hint="eastAsia" w:ascii="Times New Roman" w:hAnsi="Times New Roman" w:eastAsia="宋体" w:cs="Times New Roman"/>
                <w:b w:val="0"/>
                <w:bCs w:val="0"/>
                <w:color w:val="auto"/>
                <w:spacing w:val="-6"/>
                <w:sz w:val="24"/>
                <w:szCs w:val="24"/>
                <w:highlight w:val="none"/>
                <w:u w:val="none"/>
                <w:lang w:val="en-US" w:eastAsia="zh-CN"/>
              </w:rPr>
              <w:t>颗粒物执行</w:t>
            </w:r>
            <w:r>
              <w:rPr>
                <w:rFonts w:hint="eastAsia" w:ascii="Times New Roman" w:hAnsi="Times New Roman" w:eastAsia="宋体" w:cs="Times New Roman"/>
                <w:b w:val="0"/>
                <w:bCs w:val="0"/>
                <w:color w:val="auto"/>
                <w:spacing w:val="-6"/>
                <w:sz w:val="24"/>
                <w:szCs w:val="24"/>
                <w:highlight w:val="none"/>
                <w:u w:val="none"/>
              </w:rPr>
              <w:t>《大气污染物综合排放标准》（GB16297-1996）表2</w:t>
            </w:r>
            <w:r>
              <w:rPr>
                <w:rFonts w:hint="eastAsia" w:ascii="Times New Roman" w:hAnsi="Times New Roman" w:eastAsia="宋体" w:cs="Times New Roman"/>
                <w:b w:val="0"/>
                <w:bCs w:val="0"/>
                <w:color w:val="auto"/>
                <w:spacing w:val="-6"/>
                <w:sz w:val="24"/>
                <w:szCs w:val="24"/>
                <w:highlight w:val="none"/>
                <w:u w:val="none"/>
                <w:lang w:eastAsia="zh-CN"/>
              </w:rPr>
              <w:t>二级标准；</w:t>
            </w:r>
            <w:r>
              <w:rPr>
                <w:rFonts w:hint="eastAsia" w:ascii="Times New Roman" w:hAnsi="Times New Roman" w:cs="Times New Roman"/>
                <w:b w:val="0"/>
                <w:bCs w:val="0"/>
                <w:color w:val="auto"/>
                <w:spacing w:val="-6"/>
                <w:sz w:val="24"/>
                <w:szCs w:val="24"/>
                <w:highlight w:val="none"/>
                <w:u w:val="none"/>
                <w:lang w:eastAsia="zh-CN"/>
              </w:rPr>
              <w:t>同时</w:t>
            </w:r>
            <w:r>
              <w:rPr>
                <w:rFonts w:hint="eastAsia" w:ascii="Times New Roman" w:hAnsi="Times New Roman" w:cs="Times New Roman"/>
                <w:b w:val="0"/>
                <w:bCs/>
                <w:color w:val="auto"/>
                <w:sz w:val="24"/>
                <w:highlight w:val="none"/>
                <w:u w:val="none"/>
                <w:lang w:val="en-US" w:eastAsia="zh-CN"/>
              </w:rPr>
              <w:t>满足《重污染天气重点行业应急减排措施制定技术指南》（2021年版）A级指标以上：PM排放浓度不高于10mg/m</w:t>
            </w:r>
            <w:r>
              <w:rPr>
                <w:rFonts w:hint="eastAsia" w:ascii="Times New Roman" w:hAnsi="Times New Roman" w:cs="Times New Roman"/>
                <w:b w:val="0"/>
                <w:bCs/>
                <w:color w:val="auto"/>
                <w:sz w:val="24"/>
                <w:highlight w:val="none"/>
                <w:u w:val="none"/>
                <w:vertAlign w:val="superscript"/>
                <w:lang w:val="en-US" w:eastAsia="zh-CN"/>
              </w:rPr>
              <w:t>3</w:t>
            </w:r>
            <w:r>
              <w:rPr>
                <w:rFonts w:hint="eastAsia" w:ascii="Times New Roman" w:hAnsi="Times New Roman" w:cs="Times New Roman"/>
                <w:b w:val="0"/>
                <w:bCs/>
                <w:color w:val="auto"/>
                <w:sz w:val="24"/>
                <w:highlight w:val="none"/>
                <w:u w:val="none"/>
                <w:vertAlign w:val="baseline"/>
                <w:lang w:val="en-US" w:eastAsia="zh-CN"/>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ascii="Times New Roman" w:hAnsi="Times New Roman" w:eastAsia="宋体" w:cs="Times New Roman"/>
                <w:b/>
                <w:color w:val="auto"/>
                <w:sz w:val="24"/>
              </w:rPr>
            </w:pPr>
            <w:r>
              <w:rPr>
                <w:rFonts w:hint="eastAsia" w:ascii="Times New Roman" w:hAnsi="Times New Roman" w:cs="Times New Roman"/>
                <w:b/>
                <w:color w:val="auto"/>
                <w:sz w:val="24"/>
                <w:lang w:val="en-US" w:eastAsia="zh-CN"/>
              </w:rPr>
              <w:t>2</w:t>
            </w:r>
            <w:r>
              <w:rPr>
                <w:rFonts w:ascii="Times New Roman" w:hAnsi="Times New Roman" w:eastAsia="宋体" w:cs="Times New Roman"/>
                <w:b/>
                <w:color w:val="auto"/>
                <w:sz w:val="24"/>
              </w:rPr>
              <w:t>、噪声</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rPr>
              <w:t>施工期执行《建筑施工厂界噪声排放标准》（GB12523-2011）</w:t>
            </w:r>
            <w:r>
              <w:rPr>
                <w:rFonts w:hint="eastAsia" w:ascii="Times New Roman" w:hAnsi="Times New Roman" w:eastAsia="宋体" w:cs="Times New Roman"/>
                <w:color w:val="auto"/>
                <w:sz w:val="24"/>
                <w:lang w:eastAsia="zh-CN"/>
              </w:rPr>
              <w:t>；</w:t>
            </w: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 xml:space="preserve">施工厂界噪声排放标准   </w:t>
            </w:r>
            <w:r>
              <w:rPr>
                <w:rFonts w:ascii="Times New Roman" w:hAnsi="Times New Roman" w:eastAsia="宋体" w:cs="Times New Roman"/>
                <w:b/>
                <w:bCs/>
                <w:color w:val="auto"/>
                <w:sz w:val="21"/>
                <w:szCs w:val="21"/>
              </w:rPr>
              <w:t>单位：dB(A)</w:t>
            </w:r>
          </w:p>
          <w:tbl>
            <w:tblPr>
              <w:tblStyle w:val="14"/>
              <w:tblW w:w="7013"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06"/>
              <w:gridCol w:w="350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5" w:hRule="atLeast"/>
                <w:jc w:val="center"/>
              </w:trPr>
              <w:tc>
                <w:tcPr>
                  <w:tcW w:w="3506" w:type="dxa"/>
                  <w:tcBorders>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昼间</w:t>
                  </w:r>
                </w:p>
              </w:tc>
              <w:tc>
                <w:tcPr>
                  <w:tcW w:w="3507" w:type="dxa"/>
                  <w:tcBorders>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8" w:hRule="atLeast"/>
                <w:jc w:val="center"/>
              </w:trPr>
              <w:tc>
                <w:tcPr>
                  <w:tcW w:w="3506" w:type="dxa"/>
                  <w:tcBorders>
                    <w:top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70</w:t>
                  </w:r>
                </w:p>
              </w:tc>
              <w:tc>
                <w:tcPr>
                  <w:tcW w:w="3507" w:type="dxa"/>
                  <w:tcBorders>
                    <w:top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55</w:t>
                  </w:r>
                </w:p>
              </w:tc>
            </w:tr>
          </w:tbl>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rPr>
              <w:t>营运期执行《工业企业厂界环境噪声排放标准》（GB12348-2008）</w:t>
            </w:r>
            <w:r>
              <w:rPr>
                <w:rFonts w:hint="eastAsia" w:ascii="Times New Roman" w:hAnsi="Times New Roman" w:cs="Times New Roman"/>
                <w:color w:val="auto"/>
                <w:sz w:val="24"/>
                <w:lang w:val="en-US" w:eastAsia="zh-CN"/>
              </w:rPr>
              <w:t>3</w:t>
            </w:r>
            <w:r>
              <w:rPr>
                <w:rFonts w:hint="eastAsia" w:ascii="Times New Roman" w:hAnsi="Times New Roman" w:eastAsia="宋体" w:cs="Times New Roman"/>
                <w:color w:val="auto"/>
                <w:sz w:val="24"/>
              </w:rPr>
              <w:t>类标准</w:t>
            </w:r>
            <w:r>
              <w:rPr>
                <w:rFonts w:hint="eastAsia" w:ascii="Times New Roman" w:hAnsi="Times New Roman" w:eastAsia="宋体" w:cs="Times New Roman"/>
                <w:color w:val="auto"/>
                <w:sz w:val="24"/>
                <w:lang w:eastAsia="zh-CN"/>
              </w:rPr>
              <w:t>。</w:t>
            </w: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工业企业环境噪声排放标准    单位：dB(A)</w:t>
            </w:r>
          </w:p>
          <w:tbl>
            <w:tblPr>
              <w:tblStyle w:val="14"/>
              <w:tblW w:w="70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2"/>
              <w:gridCol w:w="2193"/>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2382" w:type="dxa"/>
                  <w:tcBorders>
                    <w:bottom w:val="single" w:color="auto" w:sz="4" w:space="0"/>
                  </w:tcBorders>
                  <w:noWrap w:val="0"/>
                  <w:vAlign w:val="center"/>
                </w:tcPr>
                <w:p>
                  <w:pPr>
                    <w:adjustRightInd w:val="0"/>
                    <w:spacing w:line="320" w:lineRule="exact"/>
                    <w:jc w:val="center"/>
                    <w:rPr>
                      <w:rFonts w:ascii="Times New Roman" w:hAnsi="Times New Roman" w:eastAsia="宋体" w:cs="Times New Roman"/>
                      <w:color w:val="auto"/>
                      <w:sz w:val="21"/>
                      <w:szCs w:val="18"/>
                    </w:rPr>
                  </w:pPr>
                  <w:r>
                    <w:rPr>
                      <w:rFonts w:ascii="Times New Roman" w:hAnsi="Times New Roman" w:eastAsia="宋体" w:cs="Times New Roman"/>
                      <w:color w:val="auto"/>
                      <w:sz w:val="21"/>
                      <w:szCs w:val="18"/>
                    </w:rPr>
                    <w:t>标准类别</w:t>
                  </w:r>
                </w:p>
              </w:tc>
              <w:tc>
                <w:tcPr>
                  <w:tcW w:w="2193" w:type="dxa"/>
                  <w:tcBorders>
                    <w:bottom w:val="single" w:color="auto" w:sz="4" w:space="0"/>
                  </w:tcBorders>
                  <w:noWrap w:val="0"/>
                  <w:vAlign w:val="center"/>
                </w:tcPr>
                <w:p>
                  <w:pPr>
                    <w:adjustRightInd w:val="0"/>
                    <w:spacing w:line="320" w:lineRule="exact"/>
                    <w:jc w:val="center"/>
                    <w:rPr>
                      <w:rFonts w:ascii="Times New Roman" w:hAnsi="Times New Roman" w:eastAsia="宋体" w:cs="Times New Roman"/>
                      <w:color w:val="auto"/>
                      <w:sz w:val="21"/>
                      <w:szCs w:val="18"/>
                    </w:rPr>
                  </w:pPr>
                  <w:r>
                    <w:rPr>
                      <w:rFonts w:ascii="Times New Roman" w:hAnsi="Times New Roman" w:eastAsia="宋体" w:cs="Times New Roman"/>
                      <w:color w:val="auto"/>
                      <w:sz w:val="21"/>
                      <w:szCs w:val="18"/>
                    </w:rPr>
                    <w:t>昼间</w:t>
                  </w:r>
                </w:p>
              </w:tc>
              <w:tc>
                <w:tcPr>
                  <w:tcW w:w="2437" w:type="dxa"/>
                  <w:tcBorders>
                    <w:bottom w:val="single" w:color="auto" w:sz="4" w:space="0"/>
                  </w:tcBorders>
                  <w:noWrap w:val="0"/>
                  <w:vAlign w:val="center"/>
                </w:tcPr>
                <w:p>
                  <w:pPr>
                    <w:adjustRightInd w:val="0"/>
                    <w:spacing w:line="320" w:lineRule="exact"/>
                    <w:jc w:val="center"/>
                    <w:rPr>
                      <w:rFonts w:ascii="Times New Roman" w:hAnsi="Times New Roman" w:eastAsia="宋体" w:cs="Times New Roman"/>
                      <w:color w:val="auto"/>
                      <w:sz w:val="21"/>
                      <w:szCs w:val="18"/>
                    </w:rPr>
                  </w:pPr>
                  <w:r>
                    <w:rPr>
                      <w:rFonts w:ascii="Times New Roman" w:hAnsi="Times New Roman" w:eastAsia="宋体" w:cs="Times New Roman"/>
                      <w:color w:val="auto"/>
                      <w:sz w:val="21"/>
                      <w:szCs w:val="18"/>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2382" w:type="dxa"/>
                  <w:noWrap w:val="0"/>
                  <w:vAlign w:val="center"/>
                </w:tcPr>
                <w:p>
                  <w:pPr>
                    <w:adjustRightInd w:val="0"/>
                    <w:spacing w:line="320" w:lineRule="exact"/>
                    <w:jc w:val="center"/>
                    <w:rPr>
                      <w:rFonts w:ascii="Times New Roman" w:hAnsi="Times New Roman" w:eastAsia="宋体" w:cs="Times New Roman"/>
                      <w:color w:val="auto"/>
                      <w:sz w:val="21"/>
                      <w:szCs w:val="18"/>
                    </w:rPr>
                  </w:pPr>
                  <w:r>
                    <w:rPr>
                      <w:rFonts w:hint="eastAsia" w:ascii="Times New Roman" w:hAnsi="Times New Roman" w:cs="Times New Roman"/>
                      <w:color w:val="auto"/>
                      <w:sz w:val="21"/>
                      <w:szCs w:val="18"/>
                      <w:lang w:val="en-US" w:eastAsia="zh-CN"/>
                    </w:rPr>
                    <w:t>3</w:t>
                  </w:r>
                  <w:r>
                    <w:rPr>
                      <w:rFonts w:ascii="Times New Roman" w:hAnsi="Times New Roman" w:eastAsia="宋体" w:cs="Times New Roman"/>
                      <w:color w:val="auto"/>
                      <w:sz w:val="21"/>
                      <w:szCs w:val="18"/>
                    </w:rPr>
                    <w:t>类</w:t>
                  </w:r>
                </w:p>
              </w:tc>
              <w:tc>
                <w:tcPr>
                  <w:tcW w:w="2193" w:type="dxa"/>
                  <w:noWrap w:val="0"/>
                  <w:vAlign w:val="center"/>
                </w:tcPr>
                <w:p>
                  <w:pPr>
                    <w:adjustRightInd w:val="0"/>
                    <w:spacing w:line="320" w:lineRule="exact"/>
                    <w:jc w:val="center"/>
                    <w:rPr>
                      <w:rFonts w:hint="eastAsia" w:ascii="Times New Roman" w:hAnsi="Times New Roman" w:eastAsia="宋体" w:cs="Times New Roman"/>
                      <w:color w:val="auto"/>
                      <w:sz w:val="21"/>
                      <w:szCs w:val="18"/>
                      <w:lang w:eastAsia="zh-CN"/>
                    </w:rPr>
                  </w:pPr>
                  <w:r>
                    <w:rPr>
                      <w:rFonts w:ascii="Times New Roman" w:hAnsi="Times New Roman" w:eastAsia="宋体" w:cs="Times New Roman"/>
                      <w:color w:val="auto"/>
                      <w:sz w:val="21"/>
                      <w:szCs w:val="18"/>
                    </w:rPr>
                    <w:t>6</w:t>
                  </w:r>
                  <w:r>
                    <w:rPr>
                      <w:rFonts w:hint="eastAsia" w:ascii="Times New Roman" w:hAnsi="Times New Roman" w:cs="Times New Roman"/>
                      <w:color w:val="auto"/>
                      <w:sz w:val="21"/>
                      <w:szCs w:val="18"/>
                      <w:lang w:val="en-US" w:eastAsia="zh-CN"/>
                    </w:rPr>
                    <w:t>5</w:t>
                  </w:r>
                </w:p>
              </w:tc>
              <w:tc>
                <w:tcPr>
                  <w:tcW w:w="2437" w:type="dxa"/>
                  <w:noWrap w:val="0"/>
                  <w:vAlign w:val="center"/>
                </w:tcPr>
                <w:p>
                  <w:pPr>
                    <w:adjustRightInd w:val="0"/>
                    <w:spacing w:line="320" w:lineRule="exact"/>
                    <w:jc w:val="center"/>
                    <w:rPr>
                      <w:rFonts w:hint="eastAsia" w:ascii="Times New Roman" w:hAnsi="Times New Roman" w:eastAsia="宋体" w:cs="Times New Roman"/>
                      <w:color w:val="auto"/>
                      <w:sz w:val="21"/>
                      <w:szCs w:val="18"/>
                      <w:lang w:eastAsia="zh-CN"/>
                    </w:rPr>
                  </w:pPr>
                  <w:r>
                    <w:rPr>
                      <w:rFonts w:ascii="Times New Roman" w:hAnsi="Times New Roman" w:eastAsia="宋体" w:cs="Times New Roman"/>
                      <w:color w:val="auto"/>
                      <w:sz w:val="21"/>
                      <w:szCs w:val="18"/>
                    </w:rPr>
                    <w:t>5</w:t>
                  </w:r>
                  <w:r>
                    <w:rPr>
                      <w:rFonts w:hint="eastAsia" w:ascii="Times New Roman" w:hAnsi="Times New Roman" w:cs="Times New Roman"/>
                      <w:color w:val="auto"/>
                      <w:sz w:val="21"/>
                      <w:szCs w:val="18"/>
                      <w:lang w:val="en-US" w:eastAsia="zh-CN"/>
                    </w:rPr>
                    <w:t>5</w:t>
                  </w:r>
                </w:p>
              </w:tc>
            </w:tr>
          </w:tbl>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jc w:val="left"/>
              <w:textAlignment w:val="auto"/>
              <w:rPr>
                <w:rFonts w:hint="eastAsia" w:ascii="Times New Roman" w:hAnsi="Times New Roman" w:eastAsia="宋体" w:cs="Times New Roman"/>
                <w:b/>
                <w:color w:val="auto"/>
                <w:sz w:val="24"/>
              </w:rPr>
            </w:pPr>
            <w:r>
              <w:rPr>
                <w:rFonts w:hint="eastAsia" w:ascii="Times New Roman" w:hAnsi="Times New Roman" w:cs="Times New Roman"/>
                <w:b/>
                <w:color w:val="auto"/>
                <w:sz w:val="24"/>
                <w:lang w:val="en-US" w:eastAsia="zh-CN"/>
              </w:rPr>
              <w:t>3</w:t>
            </w:r>
            <w:r>
              <w:rPr>
                <w:rFonts w:hint="eastAsia" w:ascii="Times New Roman" w:hAnsi="Times New Roman" w:eastAsia="宋体" w:cs="Times New Roman"/>
                <w:b/>
                <w:color w:val="auto"/>
                <w:sz w:val="24"/>
              </w:rPr>
              <w:t>、</w:t>
            </w:r>
            <w:r>
              <w:rPr>
                <w:rFonts w:ascii="Times New Roman" w:hAnsi="Times New Roman" w:eastAsia="宋体" w:cs="Times New Roman"/>
                <w:b/>
                <w:color w:val="auto"/>
                <w:sz w:val="24"/>
              </w:rPr>
              <w:t>固体废物</w:t>
            </w:r>
            <w:r>
              <w:rPr>
                <w:rFonts w:hint="eastAsia" w:ascii="Times New Roman" w:hAnsi="Times New Roman" w:eastAsia="宋体" w:cs="Times New Roman"/>
                <w:b/>
                <w:color w:val="auto"/>
                <w:sz w:val="24"/>
              </w:rPr>
              <w:t>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eastAsia="宋体"/>
                <w:color w:val="auto"/>
                <w:sz w:val="24"/>
                <w:highlight w:val="none"/>
              </w:rPr>
              <w:t>一般固废执行《一般工业固体废物贮存、处置场污染控制标准》（GB18599-2020）；危险废物执行《危险废物贮存污染控制标准》（GB18597-2001）及2013年修改单。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noWrap w:val="0"/>
            <w:vAlign w:val="center"/>
          </w:tcPr>
          <w:p>
            <w:pPr>
              <w:jc w:val="center"/>
              <w:rPr>
                <w:rFonts w:hint="default" w:ascii="Times New Roman" w:hAnsi="Times New Roman" w:eastAsia="宋体"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总量控制指标</w:t>
            </w:r>
          </w:p>
        </w:tc>
        <w:tc>
          <w:tcPr>
            <w:tcW w:w="72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szCs w:val="32"/>
                <w:u w:val="none"/>
                <w:vertAlign w:val="baseline"/>
                <w:lang w:val="en-US" w:eastAsia="zh-CN"/>
              </w:rPr>
              <w:t>本项目无需申请总量控制指标</w:t>
            </w:r>
            <w:r>
              <w:rPr>
                <w:rFonts w:hint="default" w:ascii="Times New Roman" w:hAnsi="Times New Roman" w:eastAsia="宋体" w:cs="Times New Roman"/>
                <w:color w:val="auto"/>
                <w:sz w:val="24"/>
                <w:szCs w:val="32"/>
                <w:u w:val="none"/>
                <w:vertAlign w:val="baseline"/>
                <w:lang w:val="en-US" w:eastAsia="zh-CN"/>
              </w:rPr>
              <w:t>。</w:t>
            </w:r>
          </w:p>
        </w:tc>
      </w:tr>
    </w:tbl>
    <w:p>
      <w:pPr>
        <w:jc w:val="left"/>
        <w:rPr>
          <w:rFonts w:hint="default"/>
          <w:color w:val="auto"/>
          <w:lang w:val="en-US" w:eastAsia="zh-CN"/>
        </w:rPr>
        <w:sectPr>
          <w:pgSz w:w="11906" w:h="16838"/>
          <w:pgMar w:top="1440" w:right="1800" w:bottom="1440" w:left="1800" w:header="851" w:footer="992" w:gutter="0"/>
          <w:pgNumType w:fmt="decimal"/>
          <w:cols w:space="720" w:num="1"/>
          <w:docGrid w:type="lines" w:linePitch="312" w:charSpace="0"/>
        </w:sectPr>
      </w:pPr>
    </w:p>
    <w:p>
      <w:pPr>
        <w:jc w:val="center"/>
        <w:rPr>
          <w:rFonts w:hint="eastAsia" w:ascii="黑体" w:hAnsi="黑体" w:eastAsia="黑体" w:cs="黑体"/>
          <w:color w:val="auto"/>
          <w:sz w:val="28"/>
          <w:szCs w:val="36"/>
          <w:lang w:val="en-US" w:eastAsia="zh-CN"/>
        </w:rPr>
      </w:pPr>
      <w:r>
        <w:rPr>
          <w:rFonts w:hint="eastAsia" w:ascii="黑体" w:hAnsi="黑体" w:eastAsia="黑体" w:cs="黑体"/>
          <w:color w:val="auto"/>
          <w:sz w:val="28"/>
          <w:szCs w:val="36"/>
          <w:lang w:val="en-US" w:eastAsia="zh-CN"/>
        </w:rPr>
        <w:t>四、主要环境影响和保护措施</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8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施工期环境保护措施</w:t>
            </w:r>
          </w:p>
        </w:tc>
        <w:tc>
          <w:tcPr>
            <w:tcW w:w="80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（一）大气污染影响</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（一）施工期大气主要污染物为扬尘，主要为场外建筑材料运输扬尘，场内材料搬运和土方的堆存扬尘。</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①场外扬尘影响：本项目建筑材料及建筑垃圾的运输不必经过人口稠密区，建筑材料运输道路平坦流畅，路况良好且车流量较小，附加运输车辆加盖蓬布防止建材散落，因此场外运输粉尘对城市环境空气的影响较小。</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②场内扬尘影响：施工场地扬尘量的大小与诸多因素有关，它对环境的影响是一个复杂且较难定量的问题。在施工过程中，土方的开挖、回填以及建筑材料、建筑垃圾的运输都将产生粉尘污染，对周围环境空气质量产生一定影响。有关资料表明，当风速为2.4m/s时，工地内TSP浓度为上风向对照点的1.5～2.3倍，平均1.88倍。粉尘的影响区域为其下风向150m之内，TSP浓度为上风向对照点的1.4～2.5倍，平均1.5倍。由此来看，施工场地粉尘对场地内的污染比下风向更严重。由于本项目施工期较长，建设单位采取在施工现场周边建2.5m高的围墙，按规定使用预拌混凝土，禁止现场搅拌混凝土，避免在大风天气时进行土方开挖、回填、装运作业；对施工场地定期进行洒水降尘等措施后，扬尘可以得到有效的防治，扬尘对周边环境敏感点的影响将大大减小，将随工程的结束而消失。</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为进一步减少施工扬尘对周围环境的影响，建设单位应严格执行《关于印发河南省2020年大气污染防治攻坚战实施方案的通知》等文件中有关施工工地扬尘控制的治理措施。施工期严格执行关于建筑工地“三员”、“</w:t>
            </w:r>
            <w:r>
              <w:rPr>
                <w:rFonts w:hint="eastAsia" w:ascii="Times New Roman" w:hAnsi="Times New Roman" w:cs="Times New Roman"/>
                <w:color w:val="auto"/>
                <w:sz w:val="24"/>
                <w:szCs w:val="32"/>
                <w:vertAlign w:val="baseline"/>
                <w:lang w:val="en-US" w:eastAsia="zh-CN"/>
              </w:rPr>
              <w:t>八</w:t>
            </w:r>
            <w:r>
              <w:rPr>
                <w:rFonts w:hint="default" w:ascii="Times New Roman" w:hAnsi="Times New Roman" w:eastAsia="宋体" w:cs="Times New Roman"/>
                <w:color w:val="auto"/>
                <w:sz w:val="24"/>
                <w:szCs w:val="32"/>
                <w:vertAlign w:val="baseline"/>
                <w:lang w:val="en-US" w:eastAsia="zh-CN"/>
              </w:rPr>
              <w:t>个100%”和“两禁止”要求。</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环评建议建设方采取以下控制措施，减小扬尘对周围环境的影响：</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（1）建设单位要将防治扬尘费用列入工程造价，在加装视频监控、监管人员到位、经报备批准后方可施工，严格落实有关扬尘防治的要求。</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（2）避免大风天气作业，项目施工过程中避免在大风天气进行水泥、黄沙等的装卸作业，对水泥类物料尽可能不要露天堆放，即使必须露天堆放，也要注意加盖防雨布，减少大风造成的施工扬尘；</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3）设置围挡：施工期间设置不低于2m高围挡，围挡下方设置不低于20cm高的防溢座以防止粉尘流失，任意两块围挡以及围挡与防溢座的拼接处都不能有大于0.5cm的缝隙，围挡不得有明显的漏洞，采取该措施后，可降低10%左右的扬尘排放量；</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（4）持续洒水降尘措施。施工期现场定期喷洒，保证地面湿润不起尘，采取该措施后，可减少2.5%的扬尘排放量；</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（5）施工中使用商品混凝土，可降低5%左右的扬尘排放量；</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6）限制施工场地内车辆车速：施工场地的扬尘，大部分来自施工车辆。根据有关分析，在同样清洁程度的条件下，车速越慢，扬尘量越小。本场地施工车辆在进入施工场地后，需减速行驶，以减少施工场地扬尘，建议行驶速度不大于5km/h；</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7）设置运输车辆冲洗装置：运输车辆驶出工地前，应对车轮、车身、车槽帮等部位进行清理或清洗以保证车辆清洁上路，施工场所车辆入口和出口30m内部分的路面上不应有明显的泥印、砂石、灰土等易扬尘物料，采取该措施后可降低10% 左右的扬尘排放量。</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通过以上措施，可显著降低施工期扬尘对周围环境的影响。</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（二）运输车辆及施工机械排放的废气</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施工期间施工机械及各种车辆会排放一定量的废气，主要污染物为NOx、CO、THC等。汽车尾气排放源强大小与车辆数、运行时间、车流量等各种因素有关。施工车辆及施工机械须定期维修保养，施工车辆应达到相关的汽车废气排放标准，排放的废气施工机械亦应达到相关的排放标准。此部分废气为无组织排放，且排放量小，随大气扩散后对周边环境影响轻微。</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综上所述，通过加强管理、切实落实好上述污染防治措施，本项目施工期对周围环境影响较小，同时其对环境的影响也将随施工的结束而消失。</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（二）水环境影响</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废水主要为施工人员生活废水和施工中砂石清洗、混凝土养护等过程产生的施工废水。其中生活废水经设置临时化粪池收集后由附近村民拉走堆肥；施工废水排入场地临时设置的简单沉淀池处置后用于施工场地洒水抑尘，排放量为零，对环境影响较小。</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（三）固体废物影响</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施工期产生的固体废物主要包括：施工过程开挖出的土方、产生的碎砖、水泥、木料等；施工期施工人员工作生活产生的生活垃圾</w:t>
            </w:r>
            <w:r>
              <w:rPr>
                <w:rFonts w:hint="eastAsia" w:ascii="Times New Roman" w:hAnsi="Times New Roman" w:cs="Times New Roman"/>
                <w:color w:val="auto"/>
                <w:sz w:val="24"/>
                <w:szCs w:val="32"/>
                <w:vertAlign w:val="baseline"/>
                <w:lang w:val="en-US" w:eastAsia="zh-CN"/>
              </w:rPr>
              <w:t>。</w:t>
            </w:r>
            <w:r>
              <w:rPr>
                <w:rFonts w:hint="default" w:ascii="Times New Roman" w:hAnsi="Times New Roman" w:eastAsia="宋体" w:cs="Times New Roman"/>
                <w:color w:val="auto"/>
                <w:sz w:val="24"/>
                <w:szCs w:val="32"/>
                <w:vertAlign w:val="baseline"/>
                <w:lang w:val="en-US" w:eastAsia="zh-CN"/>
              </w:rPr>
              <w:t>如不及时清运，易腐烂变质、滋生蚊蝇，从而对周围环境产生一定影响。评价提出以下建议：</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（1）本项目开挖出的土方应根据建筑需要及时进行回填或铺垫场地，对于填方后的余土及建筑垃圾，应当按照规定及时清运，并做好弃方的合理利用及处置；</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（2）清理施工垃圾时必须搭设密闭式专业垃圾道或者采用容器吊运，禁止随意抛撒；</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（3）生活垃圾送往垃圾处理站进行处理，建筑垃圾运往建筑垃圾站处置。</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（四）声环境影响</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（1）噪声源</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尽管本项目使用搅拌好的商品混凝土，但施工期仍将使用大量的施工作业设备和机械，主要有前斗装卸机、混凝土泵、起重机等，因而不可避免地产生建筑施工噪声。这些声源具有噪声高、无规则等特点。</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经类比调查，常用施工机械在作业时的噪声范围见</w:t>
            </w:r>
            <w:r>
              <w:rPr>
                <w:rFonts w:hint="eastAsia" w:ascii="Times New Roman" w:hAnsi="Times New Roman" w:cs="Times New Roman"/>
                <w:color w:val="auto"/>
                <w:sz w:val="24"/>
                <w:szCs w:val="32"/>
                <w:vertAlign w:val="baseline"/>
                <w:lang w:val="en-US" w:eastAsia="zh-CN"/>
              </w:rPr>
              <w:t>下</w:t>
            </w:r>
            <w:r>
              <w:rPr>
                <w:rFonts w:hint="default" w:ascii="Times New Roman" w:hAnsi="Times New Roman" w:eastAsia="宋体" w:cs="Times New Roman"/>
                <w:color w:val="auto"/>
                <w:sz w:val="24"/>
                <w:szCs w:val="32"/>
                <w:vertAlign w:val="baseline"/>
                <w:lang w:val="en-US" w:eastAsia="zh-CN"/>
              </w:rPr>
              <w:t>表</w:t>
            </w:r>
            <w:r>
              <w:rPr>
                <w:rFonts w:hint="eastAsia" w:ascii="Times New Roman" w:hAnsi="Times New Roman" w:cs="Times New Roman"/>
                <w:color w:val="auto"/>
                <w:sz w:val="24"/>
                <w:szCs w:val="32"/>
                <w:vertAlign w:val="baseli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4"/>
                <w:vertAlign w:val="baseline"/>
                <w:lang w:val="en-US" w:eastAsia="zh-CN"/>
              </w:rPr>
            </w:pPr>
            <w:r>
              <w:rPr>
                <w:rFonts w:hint="eastAsia" w:ascii="Times New Roman" w:hAnsi="Times New Roman" w:cs="Times New Roman"/>
                <w:b/>
                <w:bCs/>
                <w:color w:val="auto"/>
                <w:sz w:val="21"/>
                <w:szCs w:val="24"/>
                <w:vertAlign w:val="baseline"/>
                <w:lang w:val="en-US" w:eastAsia="zh-CN"/>
              </w:rPr>
              <w:t>表4-1  施工各阶段噪声源及其声功率级</w:t>
            </w:r>
          </w:p>
          <w:tbl>
            <w:tblPr>
              <w:tblStyle w:val="15"/>
              <w:tblW w:w="7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2"/>
              <w:gridCol w:w="2613"/>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612"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施工阶段</w:t>
                  </w:r>
                </w:p>
              </w:tc>
              <w:tc>
                <w:tcPr>
                  <w:tcW w:w="2613"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主要噪声源</w:t>
                  </w:r>
                </w:p>
              </w:tc>
              <w:tc>
                <w:tcPr>
                  <w:tcW w:w="261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声功率级dB（A）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2"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土石方阶段</w:t>
                  </w:r>
                </w:p>
              </w:tc>
              <w:tc>
                <w:tcPr>
                  <w:tcW w:w="2613"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挖掘机等</w:t>
                  </w:r>
                </w:p>
              </w:tc>
              <w:tc>
                <w:tcPr>
                  <w:tcW w:w="261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100~110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2"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结构阶段</w:t>
                  </w:r>
                </w:p>
              </w:tc>
              <w:tc>
                <w:tcPr>
                  <w:tcW w:w="2613"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混凝土振捣棒</w:t>
                  </w:r>
                </w:p>
              </w:tc>
              <w:tc>
                <w:tcPr>
                  <w:tcW w:w="261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95~105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2"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装修阶段</w:t>
                  </w:r>
                </w:p>
              </w:tc>
              <w:tc>
                <w:tcPr>
                  <w:tcW w:w="2613"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无长时间操作的偶发声源</w:t>
                  </w:r>
                </w:p>
              </w:tc>
              <w:tc>
                <w:tcPr>
                  <w:tcW w:w="261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85~90</w:t>
                  </w:r>
                </w:p>
              </w:tc>
            </w:tr>
          </w:tbl>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（2）预测模式</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施工机械噪声源基本是在半自由场中的点声源传播，且声源基本均为裸露声源，采用距离衰减公式，预测施工场不同距离处的等效声级，即：</w:t>
            </w:r>
          </w:p>
          <w:p>
            <w:pPr>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建设项目声源在预测点产生的等效声级贡献值</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i/>
                <w:color w:val="auto"/>
                <w:sz w:val="24"/>
                <w:szCs w:val="24"/>
                <w:lang w:eastAsia="zh-CN"/>
              </w:rPr>
              <w:t>L</w:t>
            </w:r>
            <w:r>
              <w:rPr>
                <w:rFonts w:hint="default" w:ascii="Times New Roman" w:hAnsi="Times New Roman" w:eastAsia="宋体" w:cs="Times New Roman"/>
                <w:i/>
                <w:color w:val="auto"/>
                <w:sz w:val="24"/>
                <w:szCs w:val="24"/>
                <w:vertAlign w:val="subscript"/>
                <w:lang w:eastAsia="zh-CN"/>
              </w:rPr>
              <w:t>eqg</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计算公式：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position w:val="-30"/>
                <w:sz w:val="24"/>
                <w:szCs w:val="24"/>
              </w:rPr>
              <w:pict>
                <v:shape id="_x0000_s1033" o:spid="_x0000_s1033" o:spt="75" type="#_x0000_t75" style="position:absolute;left:0pt;margin-top:10.65pt;height:24.4pt;width:94.5pt;mso-position-horizontal:center;mso-wrap-distance-bottom:0pt;mso-wrap-distance-top:0pt;z-index:251671552;mso-width-relative:page;mso-height-relative:page;" o:ole="t" filled="f" o:preferrelative="t" stroked="f" coordsize="21600,21600">
                  <v:path/>
                  <v:fill on="f" focussize="0,0"/>
                  <v:stroke on="f"/>
                  <v:imagedata r:id="rId10" o:title=""/>
                  <o:lock v:ext="edit" grouping="f" rotation="f" text="f" aspectratio="t"/>
                  <w10:wrap type="topAndBottom"/>
                </v:shape>
                <o:OLEObject Type="Embed" ProgID="Equation.3" ShapeID="_x0000_s1033" DrawAspect="Content" ObjectID="_1468075725" r:id="rId9">
                  <o:LockedField>false</o:LockedField>
                </o:OLEObject>
              </w:pict>
            </w:r>
            <w:r>
              <w:rPr>
                <w:rFonts w:hint="default" w:ascii="Times New Roman" w:hAnsi="Times New Roman" w:eastAsia="宋体" w:cs="Times New Roman"/>
                <w:color w:val="auto"/>
                <w:sz w:val="24"/>
                <w:szCs w:val="24"/>
              </w:rPr>
              <w:t>式中：</w:t>
            </w:r>
            <w:r>
              <w:rPr>
                <w:rFonts w:hint="default" w:ascii="Times New Roman" w:hAnsi="Times New Roman" w:eastAsia="宋体" w:cs="Times New Roman"/>
                <w:color w:val="auto"/>
                <w:sz w:val="24"/>
                <w:szCs w:val="24"/>
              </w:rPr>
              <w:object>
                <v:shape id="_x0000_i1025" o:spt="75" type="#_x0000_t75" style="height:18.95pt;width:20.95pt;" o:ole="t" filled="f" stroked="f" coordsize="21600,21600">
                  <v:path/>
                  <v:fill on="f" focussize="0,0"/>
                  <v:stroke on="f"/>
                  <v:imagedata r:id="rId12" o:title=""/>
                  <o:lock v:ext="edit" grouping="f" rotation="f" text="f" aspectratio="t"/>
                  <w10:wrap type="none"/>
                  <w10:anchorlock/>
                </v:shape>
                <o:OLEObject Type="Embed" ProgID="Equation.KSEE3" ShapeID="_x0000_i1025" DrawAspect="Content" ObjectID="_1468075726" r:id="rId11">
                  <o:LockedField>false</o:LockedField>
                </o:OLEObject>
              </w:object>
            </w:r>
            <w:r>
              <w:rPr>
                <w:rFonts w:hint="default" w:ascii="Times New Roman" w:hAnsi="Times New Roman" w:eastAsia="宋体" w:cs="Times New Roman"/>
                <w:color w:val="auto"/>
                <w:sz w:val="24"/>
                <w:szCs w:val="24"/>
              </w:rPr>
              <w:t>—建设项目声源在预测点的等效声级贡献值，dB(A)；</w:t>
            </w:r>
          </w:p>
          <w:p>
            <w:pPr>
              <w:spacing w:line="460" w:lineRule="exact"/>
              <w:ind w:firstLine="1200" w:firstLineChars="500"/>
              <w:jc w:val="left"/>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object>
                <v:shape id="_x0000_i1026" o:spt="75" type="#_x0000_t75" style="height:16.95pt;width:18pt;" o:ole="t" filled="f" stroked="f" coordsize="21600,21600">
                  <v:path/>
                  <v:fill on="f" focussize="0,0"/>
                  <v:stroke on="f"/>
                  <v:imagedata r:id="rId14" o:title=""/>
                  <o:lock v:ext="edit" grouping="f" rotation="f" text="f" aspectratio="t"/>
                  <w10:wrap type="none"/>
                  <w10:anchorlock/>
                </v:shape>
                <o:OLEObject Type="Embed" ProgID="Equation.KSEE3" ShapeID="_x0000_i1026" DrawAspect="Content" ObjectID="_1468075727" r:id="rId13">
                  <o:LockedField>false</o:LockedField>
                </o:OLEObject>
              </w:object>
            </w:r>
            <w:r>
              <w:rPr>
                <w:rFonts w:hint="default" w:ascii="Times New Roman" w:hAnsi="Times New Roman" w:eastAsia="宋体" w:cs="Times New Roman"/>
                <w:color w:val="auto"/>
                <w:sz w:val="24"/>
                <w:szCs w:val="24"/>
              </w:rPr>
              <w:t>—声源在预测点产生的A声级，dB(A)；</w:t>
            </w:r>
          </w:p>
          <w:p>
            <w:pPr>
              <w:spacing w:line="460" w:lineRule="exact"/>
              <w:ind w:firstLine="1200" w:firstLineChars="5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T—预测计算的时间段，s；</w:t>
            </w:r>
          </w:p>
          <w:p>
            <w:pPr>
              <w:spacing w:line="460" w:lineRule="exact"/>
              <w:ind w:firstLine="1200" w:firstLineChars="5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position w:val="-12"/>
                <w:sz w:val="24"/>
                <w:szCs w:val="24"/>
              </w:rPr>
              <w:object>
                <v:shape id="_x0000_i1027" o:spt="75" type="#_x0000_t75" style="height:17.55pt;width:10.7pt;" o:ole="t" filled="f" stroked="f" coordsize="21600,21600">
                  <v:path/>
                  <v:fill on="f" focussize="0,0"/>
                  <v:stroke on="f"/>
                  <v:imagedata r:id="rId16" o:title=""/>
                  <o:lock v:ext="edit" grouping="f" rotation="f" text="f" aspectratio="t"/>
                  <w10:wrap type="none"/>
                  <w10:anchorlock/>
                </v:shape>
                <o:OLEObject Type="Embed" ProgID="Equation.KSEE3" ShapeID="_x0000_i1027" DrawAspect="Content" ObjectID="_1468075728" r:id="rId15">
                  <o:LockedField>false</o:LockedField>
                </o:OLEObject>
              </w:objec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i</w:t>
            </w:r>
            <w:r>
              <w:rPr>
                <w:rFonts w:hint="default" w:ascii="Times New Roman" w:hAnsi="Times New Roman" w:eastAsia="宋体" w:cs="Times New Roman"/>
                <w:color w:val="auto"/>
                <w:sz w:val="24"/>
                <w:szCs w:val="24"/>
              </w:rPr>
              <w:t>声源在T时段内的运行时间，s。</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（3）评价标准</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采用《建筑施工场界环境噪声排放标准》（GB12523-2011）见</w:t>
            </w:r>
            <w:r>
              <w:rPr>
                <w:rFonts w:hint="eastAsia" w:ascii="Times New Roman" w:hAnsi="Times New Roman" w:cs="Times New Roman"/>
                <w:color w:val="auto"/>
                <w:sz w:val="24"/>
                <w:szCs w:val="32"/>
                <w:vertAlign w:val="baseline"/>
                <w:lang w:val="en-US" w:eastAsia="zh-CN"/>
              </w:rPr>
              <w:t>下</w:t>
            </w:r>
            <w:r>
              <w:rPr>
                <w:rFonts w:hint="default" w:ascii="Times New Roman" w:hAnsi="Times New Roman" w:eastAsia="宋体" w:cs="Times New Roman"/>
                <w:color w:val="auto"/>
                <w:sz w:val="24"/>
                <w:szCs w:val="32"/>
                <w:vertAlign w:val="baseline"/>
                <w:lang w:val="en-US" w:eastAsia="zh-CN"/>
              </w:rPr>
              <w:t>表</w:t>
            </w:r>
            <w:r>
              <w:rPr>
                <w:rFonts w:hint="eastAsia" w:ascii="Times New Roman" w:hAnsi="Times New Roman" w:cs="Times New Roman"/>
                <w:color w:val="auto"/>
                <w:sz w:val="24"/>
                <w:szCs w:val="32"/>
                <w:vertAlign w:val="baseli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4"/>
                <w:vertAlign w:val="baseline"/>
                <w:lang w:val="en-US" w:eastAsia="zh-CN"/>
              </w:rPr>
            </w:pPr>
            <w:r>
              <w:rPr>
                <w:rFonts w:hint="default" w:ascii="Times New Roman" w:hAnsi="Times New Roman" w:eastAsia="宋体" w:cs="Times New Roman"/>
                <w:b/>
                <w:bCs/>
                <w:color w:val="auto"/>
                <w:sz w:val="21"/>
                <w:szCs w:val="24"/>
                <w:vertAlign w:val="baseline"/>
                <w:lang w:val="en-US" w:eastAsia="zh-CN"/>
              </w:rPr>
              <w:t>表4-</w:t>
            </w:r>
            <w:r>
              <w:rPr>
                <w:rFonts w:hint="eastAsia" w:ascii="Times New Roman" w:hAnsi="Times New Roman" w:cs="Times New Roman"/>
                <w:b/>
                <w:bCs/>
                <w:color w:val="auto"/>
                <w:sz w:val="21"/>
                <w:szCs w:val="24"/>
                <w:vertAlign w:val="baseline"/>
                <w:lang w:val="en-US" w:eastAsia="zh-CN"/>
              </w:rPr>
              <w:t>2</w:t>
            </w:r>
            <w:r>
              <w:rPr>
                <w:rFonts w:hint="default" w:ascii="Times New Roman" w:hAnsi="Times New Roman" w:eastAsia="宋体" w:cs="Times New Roman"/>
                <w:b/>
                <w:bCs/>
                <w:color w:val="auto"/>
                <w:sz w:val="21"/>
                <w:szCs w:val="24"/>
                <w:vertAlign w:val="baseline"/>
                <w:lang w:val="en-US" w:eastAsia="zh-CN"/>
              </w:rPr>
              <w:t xml:space="preserve">  施工各阶段噪声源及其声功率级</w:t>
            </w:r>
          </w:p>
          <w:tbl>
            <w:tblPr>
              <w:tblStyle w:val="15"/>
              <w:tblW w:w="7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2617"/>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6"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施工阶段</w:t>
                  </w:r>
                </w:p>
              </w:tc>
              <w:tc>
                <w:tcPr>
                  <w:tcW w:w="5234"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噪声限值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p>
              </w:tc>
              <w:tc>
                <w:tcPr>
                  <w:tcW w:w="2617"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昼间</w:t>
                  </w:r>
                </w:p>
              </w:tc>
              <w:tc>
                <w:tcPr>
                  <w:tcW w:w="2617"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6"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厂界环境噪声</w:t>
                  </w:r>
                </w:p>
              </w:tc>
              <w:tc>
                <w:tcPr>
                  <w:tcW w:w="2617"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70</w:t>
                  </w:r>
                </w:p>
              </w:tc>
              <w:tc>
                <w:tcPr>
                  <w:tcW w:w="2617"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55</w:t>
                  </w:r>
                </w:p>
              </w:tc>
            </w:tr>
          </w:tbl>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（4）预测结果及评价</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本次选取施工期最大噪声值，即土石方阶段最大噪音值110dB（A）预测本项目施工期对环境的影响，各施工阶段主要噪声源在不同距离处的平均等效声级计算结果详见</w:t>
            </w:r>
            <w:r>
              <w:rPr>
                <w:rFonts w:hint="eastAsia" w:ascii="Times New Roman" w:hAnsi="Times New Roman" w:cs="Times New Roman"/>
                <w:color w:val="auto"/>
                <w:sz w:val="24"/>
                <w:szCs w:val="32"/>
                <w:vertAlign w:val="baseline"/>
                <w:lang w:val="en-US" w:eastAsia="zh-CN"/>
              </w:rPr>
              <w:t>下</w:t>
            </w:r>
            <w:r>
              <w:rPr>
                <w:rFonts w:hint="default" w:ascii="Times New Roman" w:hAnsi="Times New Roman" w:eastAsia="宋体" w:cs="Times New Roman"/>
                <w:color w:val="auto"/>
                <w:sz w:val="24"/>
                <w:szCs w:val="32"/>
                <w:vertAlign w:val="baseline"/>
                <w:lang w:val="en-US" w:eastAsia="zh-CN"/>
              </w:rPr>
              <w:t>表</w:t>
            </w:r>
            <w:r>
              <w:rPr>
                <w:rFonts w:hint="eastAsia" w:ascii="Times New Roman" w:hAnsi="Times New Roman" w:cs="Times New Roman"/>
                <w:color w:val="auto"/>
                <w:sz w:val="24"/>
                <w:szCs w:val="32"/>
                <w:vertAlign w:val="baseli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b/>
                <w:bCs/>
                <w:color w:val="auto"/>
                <w:sz w:val="21"/>
                <w:szCs w:val="24"/>
                <w:vertAlign w:val="baseline"/>
                <w:lang w:val="en-US" w:eastAsia="zh-CN"/>
              </w:rPr>
              <w:t>表4-</w:t>
            </w:r>
            <w:r>
              <w:rPr>
                <w:rFonts w:hint="eastAsia" w:ascii="Times New Roman" w:hAnsi="Times New Roman" w:cs="Times New Roman"/>
                <w:b/>
                <w:bCs/>
                <w:color w:val="auto"/>
                <w:sz w:val="21"/>
                <w:szCs w:val="24"/>
                <w:vertAlign w:val="baseline"/>
                <w:lang w:val="en-US" w:eastAsia="zh-CN"/>
              </w:rPr>
              <w:t>3  施工各阶段噪声在不同距离的平均等效声级   dB（A）</w:t>
            </w:r>
          </w:p>
          <w:tbl>
            <w:tblPr>
              <w:tblStyle w:val="15"/>
              <w:tblW w:w="7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981"/>
              <w:gridCol w:w="981"/>
              <w:gridCol w:w="981"/>
              <w:gridCol w:w="981"/>
              <w:gridCol w:w="981"/>
              <w:gridCol w:w="982"/>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施工阶段</w:t>
                  </w:r>
                </w:p>
              </w:tc>
              <w:tc>
                <w:tcPr>
                  <w:tcW w:w="98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主要噪声源</w:t>
                  </w:r>
                </w:p>
              </w:tc>
              <w:tc>
                <w:tcPr>
                  <w:tcW w:w="98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声功率级</w:t>
                  </w:r>
                </w:p>
              </w:tc>
              <w:tc>
                <w:tcPr>
                  <w:tcW w:w="98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治理措施</w:t>
                  </w:r>
                </w:p>
              </w:tc>
              <w:tc>
                <w:tcPr>
                  <w:tcW w:w="98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围挡隔声后源强值</w:t>
                  </w:r>
                </w:p>
              </w:tc>
              <w:tc>
                <w:tcPr>
                  <w:tcW w:w="2945" w:type="dxa"/>
                  <w:gridSpan w:val="3"/>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距声源距离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p>
              </w:tc>
              <w:tc>
                <w:tcPr>
                  <w:tcW w:w="98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p>
              </w:tc>
              <w:tc>
                <w:tcPr>
                  <w:tcW w:w="98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p>
              </w:tc>
              <w:tc>
                <w:tcPr>
                  <w:tcW w:w="98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p>
              </w:tc>
              <w:tc>
                <w:tcPr>
                  <w:tcW w:w="98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p>
              </w:tc>
              <w:tc>
                <w:tcPr>
                  <w:tcW w:w="981"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6m</w:t>
                  </w:r>
                </w:p>
              </w:tc>
              <w:tc>
                <w:tcPr>
                  <w:tcW w:w="982"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30m</w:t>
                  </w:r>
                </w:p>
              </w:tc>
              <w:tc>
                <w:tcPr>
                  <w:tcW w:w="982"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1"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土石方阶段</w:t>
                  </w:r>
                </w:p>
              </w:tc>
              <w:tc>
                <w:tcPr>
                  <w:tcW w:w="981"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推土机、挖掘机等</w:t>
                  </w:r>
                </w:p>
              </w:tc>
              <w:tc>
                <w:tcPr>
                  <w:tcW w:w="981"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100~110</w:t>
                  </w:r>
                </w:p>
              </w:tc>
              <w:tc>
                <w:tcPr>
                  <w:tcW w:w="981"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2m高围挡</w:t>
                  </w:r>
                </w:p>
              </w:tc>
              <w:tc>
                <w:tcPr>
                  <w:tcW w:w="981"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85</w:t>
                  </w:r>
                </w:p>
              </w:tc>
              <w:tc>
                <w:tcPr>
                  <w:tcW w:w="981"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70</w:t>
                  </w:r>
                </w:p>
              </w:tc>
              <w:tc>
                <w:tcPr>
                  <w:tcW w:w="982"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55</w:t>
                  </w:r>
                </w:p>
              </w:tc>
              <w:tc>
                <w:tcPr>
                  <w:tcW w:w="982"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51</w:t>
                  </w:r>
                </w:p>
              </w:tc>
            </w:tr>
          </w:tbl>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从上表可以看出，施工期最大噪声值，经设立临时性2m高围挡降噪后，在施工现场6m范围外，各施工阶段均可达到《建筑施工场界环境噪声排放标准》（GB12523-2011）昼间噪声限值</w:t>
            </w:r>
            <w:r>
              <w:rPr>
                <w:rFonts w:hint="eastAsia" w:ascii="Times New Roman" w:hAnsi="Times New Roman" w:cs="Times New Roman"/>
                <w:color w:val="auto"/>
                <w:sz w:val="24"/>
                <w:szCs w:val="32"/>
                <w:vertAlign w:val="baseli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本项目拟采取以下污染防治措施来减少施工噪声对周围声环境的影响：</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①建设单位应当有企业环境保护工作机构或者工作人员，建立建筑施工噪声污染防治管理制度。</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②合理安排时间：避免高噪声设备同时施工、持续作业；夜间(22:00以后至次日6:00之前)禁止施工作业，昼间使用高噪声设备应避开中午休息时间并公告附近居民。</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③降低设备噪声：尽量采用低噪声设备；采用安装消音器和隔离发动机振动部件的方法降低噪声；挖掘机、装卸车辆进出场地应限速；施工中禁止使用国家明令淘汰的产生噪声污染的落后施工工艺和施工机械设备；产生噪声的机械设备在开动过程中，要严格按照设备的操作规范要求进行操作，方式操作不当产生噪声，振捣砼应严格控制作业时间，尽量减少噪声，加强机械设备、运输车辆的保养维修，使它们处于良好的工作状态。</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本项目仅在昼间施工，且施工期噪声影响是短暂的，一旦施工活动结束，施工噪声也就随之结束。施工期噪声对周边声环境影响较小。</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（五）生态环境影响</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项目区内生态影响：施工期地表原有结构遭受破坏，土地利用现状和生态系统发生局部改变，挖掘土方若遇下雨，会造成水土流失，由于施工期较短，待项目建成后，经过科学的绿化和采取合理的生态恢复措施，可在一定程度上减轻对生态系统的影响。</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项目区外生态影响：施工期土方运输和施工二次扬尘对沿途及周边植被会造成一定污染影响，该影响为暂时性的，项目建成后即可消除。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运营期环境影响和保护措施</w:t>
            </w:r>
          </w:p>
        </w:tc>
        <w:tc>
          <w:tcPr>
            <w:tcW w:w="8065" w:type="dxa"/>
            <w:noWrap w:val="0"/>
            <w:vAlign w:val="top"/>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32"/>
                <w:u w:val="none"/>
                <w:vertAlign w:val="baseline"/>
                <w:lang w:val="en-US" w:eastAsia="zh-CN"/>
              </w:rPr>
            </w:pPr>
            <w:r>
              <w:rPr>
                <w:rFonts w:hint="default" w:ascii="Times New Roman" w:hAnsi="Times New Roman" w:eastAsia="宋体" w:cs="Times New Roman"/>
                <w:b/>
                <w:bCs/>
                <w:color w:val="auto"/>
                <w:sz w:val="24"/>
                <w:szCs w:val="32"/>
                <w:u w:val="none"/>
                <w:vertAlign w:val="baseline"/>
                <w:lang w:val="en-US" w:eastAsia="zh-CN"/>
              </w:rPr>
              <w:t>（一）废</w:t>
            </w:r>
            <w:r>
              <w:rPr>
                <w:rFonts w:hint="eastAsia" w:ascii="Times New Roman" w:hAnsi="Times New Roman" w:cs="Times New Roman"/>
                <w:b/>
                <w:bCs/>
                <w:color w:val="auto"/>
                <w:sz w:val="24"/>
                <w:szCs w:val="32"/>
                <w:u w:val="none"/>
                <w:vertAlign w:val="baseline"/>
                <w:lang w:val="en-US" w:eastAsia="zh-CN"/>
              </w:rPr>
              <w:t>气</w:t>
            </w:r>
          </w:p>
          <w:p>
            <w:pPr>
              <w:pageBreakBefore w:val="0"/>
              <w:kinsoku/>
              <w:wordWrap/>
              <w:overflowPunct/>
              <w:bidi w:val="0"/>
              <w:adjustRightInd/>
              <w:snapToGrid/>
              <w:spacing w:line="360" w:lineRule="auto"/>
              <w:ind w:firstLine="480" w:firstLineChars="200"/>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eastAsia="宋体" w:cs="Times New Roman"/>
                <w:color w:val="auto"/>
                <w:sz w:val="24"/>
                <w:lang w:eastAsia="zh-CN"/>
              </w:rPr>
              <w:t>本项目生产过程中</w:t>
            </w:r>
            <w:r>
              <w:rPr>
                <w:rFonts w:hint="eastAsia" w:ascii="Times New Roman" w:hAnsi="Times New Roman" w:eastAsia="宋体" w:cs="Times New Roman"/>
                <w:color w:val="auto"/>
                <w:sz w:val="24"/>
                <w:lang w:val="en-US" w:eastAsia="zh-CN"/>
              </w:rPr>
              <w:t>废气主要为</w:t>
            </w:r>
            <w:r>
              <w:rPr>
                <w:rFonts w:hint="eastAsia" w:ascii="Times New Roman" w:hAnsi="Times New Roman" w:cs="Times New Roman"/>
                <w:color w:val="auto"/>
                <w:sz w:val="24"/>
                <w:lang w:eastAsia="zh-CN"/>
              </w:rPr>
              <w:t>投料、混合、烘干粉尘以及车间异味</w:t>
            </w:r>
            <w:r>
              <w:rPr>
                <w:rFonts w:hint="eastAsia" w:ascii="Times New Roman" w:hAnsi="Times New Roman" w:eastAsia="宋体" w:cs="Times New Roman"/>
                <w:color w:val="auto"/>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highlight w:val="none"/>
                <w:u w:val="none"/>
                <w:lang w:val="en-US" w:eastAsia="zh-CN"/>
              </w:rPr>
            </w:pPr>
            <w:r>
              <w:rPr>
                <w:rFonts w:hint="eastAsia" w:ascii="Times New Roman" w:hAnsi="Times New Roman" w:cs="Times New Roman"/>
                <w:b/>
                <w:bCs/>
                <w:color w:val="auto"/>
                <w:sz w:val="24"/>
                <w:highlight w:val="none"/>
                <w:u w:val="none"/>
                <w:lang w:val="en-US" w:eastAsia="zh-CN"/>
              </w:rPr>
              <w:t>1、污染物源强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highlight w:val="none"/>
                <w:u w:val="none"/>
                <w:lang w:val="en-US" w:eastAsia="zh-CN"/>
              </w:rPr>
            </w:pPr>
            <w:r>
              <w:rPr>
                <w:rFonts w:hint="eastAsia" w:ascii="Times New Roman" w:hAnsi="Times New Roman" w:cs="Times New Roman"/>
                <w:b/>
                <w:bCs/>
                <w:color w:val="auto"/>
                <w:sz w:val="24"/>
                <w:highlight w:val="none"/>
                <w:u w:val="none"/>
                <w:lang w:val="en-US" w:eastAsia="zh-CN"/>
              </w:rPr>
              <w:t>①投料、混合粉尘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投料粉尘来源于粉状物料投料的过程，类比《逸散性工业粉尘控制技术》—混合肥料厂逸散尘排放因子，投料粉尘产生率按物料用量的0.1%计。粉料投料量为6310t/a，则粉尘产生量为6.31t/a。</w:t>
            </w:r>
            <w:r>
              <w:rPr>
                <w:rFonts w:hint="eastAsia" w:ascii="Times New Roman" w:hAnsi="Times New Roman" w:cs="Times New Roman"/>
                <w:b/>
                <w:bCs/>
                <w:color w:val="auto"/>
                <w:sz w:val="24"/>
                <w:highlight w:val="none"/>
                <w:u w:val="single"/>
                <w:lang w:val="en-US" w:eastAsia="zh-CN"/>
              </w:rPr>
              <w:t>评价建议上料时采用机械化上料，物料转运采用密闭管道输送，且在投料口上方设置集气罩，</w:t>
            </w:r>
            <w:r>
              <w:rPr>
                <w:rFonts w:hint="eastAsia" w:ascii="Times New Roman" w:hAnsi="Times New Roman" w:cs="Times New Roman"/>
                <w:b w:val="0"/>
                <w:bCs w:val="0"/>
                <w:color w:val="auto"/>
                <w:sz w:val="24"/>
                <w:highlight w:val="none"/>
                <w:u w:val="none"/>
                <w:lang w:val="en-US" w:eastAsia="zh-CN"/>
              </w:rPr>
              <w:t>收集后进入布袋除尘器处理，处理后经15m高排气筒（1#）排放。大部分粉尘收集回用，少量未收集部分在车间内无组织排放。集气收集效率按90%，布袋除尘器处理效率按99%计，风机风量为5000m</w:t>
            </w:r>
            <w:r>
              <w:rPr>
                <w:rFonts w:hint="eastAsia" w:ascii="Times New Roman" w:hAnsi="Times New Roman" w:cs="Times New Roman"/>
                <w:b w:val="0"/>
                <w:bCs w:val="0"/>
                <w:color w:val="auto"/>
                <w:sz w:val="24"/>
                <w:highlight w:val="none"/>
                <w:u w:val="none"/>
                <w:vertAlign w:val="superscript"/>
                <w:lang w:val="en-US" w:eastAsia="zh-CN"/>
              </w:rPr>
              <w:t>3</w:t>
            </w:r>
            <w:r>
              <w:rPr>
                <w:rFonts w:hint="eastAsia" w:ascii="Times New Roman" w:hAnsi="Times New Roman" w:cs="Times New Roman"/>
                <w:b w:val="0"/>
                <w:bCs w:val="0"/>
                <w:color w:val="auto"/>
                <w:sz w:val="24"/>
                <w:highlight w:val="none"/>
                <w:u w:val="none"/>
                <w:lang w:val="en-US" w:eastAsia="zh-CN"/>
              </w:rPr>
              <w:t>/h，则粉尘经处理后排放量为0.0568t/a，排放速率为0.0072kg/h，排放浓度为1.44mg/m</w:t>
            </w:r>
            <w:r>
              <w:rPr>
                <w:rFonts w:hint="eastAsia" w:ascii="Times New Roman" w:hAnsi="Times New Roman" w:cs="Times New Roman"/>
                <w:b w:val="0"/>
                <w:bCs w:val="0"/>
                <w:color w:val="auto"/>
                <w:sz w:val="24"/>
                <w:highlight w:val="none"/>
                <w:u w:val="none"/>
                <w:vertAlign w:val="superscript"/>
                <w:lang w:val="en-US" w:eastAsia="zh-CN"/>
              </w:rPr>
              <w:t>3</w:t>
            </w:r>
            <w:r>
              <w:rPr>
                <w:rFonts w:hint="eastAsia" w:ascii="Times New Roman" w:hAnsi="Times New Roman" w:cs="Times New Roman"/>
                <w:b w:val="0"/>
                <w:bCs w:val="0"/>
                <w:color w:val="auto"/>
                <w:sz w:val="24"/>
                <w:highlight w:val="none"/>
                <w:u w:val="none"/>
                <w:lang w:val="en-US" w:eastAsia="zh-CN"/>
              </w:rPr>
              <w:t>。</w:t>
            </w:r>
            <w:r>
              <w:rPr>
                <w:rFonts w:hint="eastAsia" w:ascii="Times New Roman" w:hAnsi="Times New Roman" w:cs="Times New Roman"/>
                <w:b/>
                <w:bCs/>
                <w:color w:val="auto"/>
                <w:sz w:val="24"/>
                <w:highlight w:val="none"/>
                <w:u w:val="single"/>
                <w:lang w:val="en-US" w:eastAsia="zh-CN"/>
              </w:rPr>
              <w:t>未被集气罩收集部分约0.631t/a，通过采取车间全封闭措施后，约60%在车间内自然沉降。经厂房阻隔后无组织排放量为0.2524t/a，排放速率为0.0319kg/h。</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项目混合过程中在密闭容器内进行混合，由于含水率较高，逸散粉尘量很少，基本可忽略不计。本次环评不在对混合粉尘进行定量分析。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color w:val="auto"/>
                <w:sz w:val="24"/>
                <w:highlight w:val="none"/>
                <w:u w:val="none"/>
                <w:lang w:val="en-US" w:eastAsia="zh-CN"/>
              </w:rPr>
            </w:pPr>
            <w:r>
              <w:rPr>
                <w:rFonts w:hint="eastAsia" w:ascii="Times New Roman" w:hAnsi="Times New Roman" w:cs="Times New Roman"/>
                <w:b/>
                <w:bCs/>
                <w:color w:val="auto"/>
                <w:sz w:val="24"/>
                <w:highlight w:val="none"/>
                <w:u w:val="none"/>
                <w:lang w:val="en-US" w:eastAsia="zh-CN"/>
              </w:rPr>
              <w:t>②烘干粉尘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本项目固体颗粒制备时采用的电加热烘干，粉尘产生量按照产量的0.1%计，本项目固体产品量为7000t/a，则粉尘产生量为7t/a。烘干造粒工序生产设备密闭，粉尘经设备自带袋式除尘器除尘装置处理后经15m高排气筒（2#）排放，风量为5000m</w:t>
            </w:r>
            <w:r>
              <w:rPr>
                <w:rFonts w:hint="eastAsia" w:ascii="Times New Roman" w:hAnsi="Times New Roman" w:cs="Times New Roman"/>
                <w:b w:val="0"/>
                <w:bCs w:val="0"/>
                <w:color w:val="auto"/>
                <w:sz w:val="24"/>
                <w:highlight w:val="none"/>
                <w:u w:val="none"/>
                <w:vertAlign w:val="superscript"/>
                <w:lang w:val="en-US" w:eastAsia="zh-CN"/>
              </w:rPr>
              <w:t>3</w:t>
            </w:r>
            <w:r>
              <w:rPr>
                <w:rFonts w:hint="eastAsia" w:ascii="Times New Roman" w:hAnsi="Times New Roman" w:cs="Times New Roman"/>
                <w:b w:val="0"/>
                <w:bCs w:val="0"/>
                <w:color w:val="auto"/>
                <w:sz w:val="24"/>
                <w:highlight w:val="none"/>
                <w:u w:val="none"/>
                <w:lang w:val="en-US" w:eastAsia="zh-CN"/>
              </w:rPr>
              <w:t>/h，除尘装置净化效率按99%计，则粉尘排放量为0.07t/a，排放速率为0.0088kg/h，排放浓度为1.76mg/m</w:t>
            </w:r>
            <w:r>
              <w:rPr>
                <w:rFonts w:hint="eastAsia" w:ascii="Times New Roman" w:hAnsi="Times New Roman" w:cs="Times New Roman"/>
                <w:b w:val="0"/>
                <w:bCs w:val="0"/>
                <w:color w:val="auto"/>
                <w:sz w:val="24"/>
                <w:highlight w:val="none"/>
                <w:u w:val="none"/>
                <w:vertAlign w:val="superscript"/>
                <w:lang w:val="en-US" w:eastAsia="zh-CN"/>
              </w:rPr>
              <w:t>3</w:t>
            </w:r>
            <w:r>
              <w:rPr>
                <w:rFonts w:hint="eastAsia" w:ascii="Times New Roman" w:hAnsi="Times New Roman" w:cs="Times New Roman"/>
                <w:b w:val="0"/>
                <w:bCs w:val="0"/>
                <w:color w:val="auto"/>
                <w:sz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本项目下料包装采用的是真空自动包装，粉尘自动收集回用，因此该工段不排放粉尘，评价不再计算。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color w:val="auto"/>
                <w:sz w:val="24"/>
                <w:highlight w:val="none"/>
                <w:u w:val="none"/>
                <w:lang w:val="en-US" w:eastAsia="zh-CN"/>
              </w:rPr>
            </w:pPr>
            <w:r>
              <w:rPr>
                <w:rFonts w:hint="eastAsia" w:ascii="Times New Roman" w:hAnsi="Times New Roman" w:cs="Times New Roman"/>
                <w:b/>
                <w:bCs/>
                <w:color w:val="auto"/>
                <w:sz w:val="24"/>
                <w:highlight w:val="none"/>
                <w:u w:val="none"/>
                <w:lang w:val="en-US" w:eastAsia="zh-CN"/>
              </w:rPr>
              <w:t>③异味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根据项目建设内容及生产工艺可知，本项目生产过程及原料、产品堆存过程中会有少量的异味，其产生量较小，评价不再进行定量分析，建议生产过程中定期喷洒除臭剂，车间四周多种植花草树木，减少异味产生的影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表4-4  废气排放情况一览表</w:t>
            </w:r>
          </w:p>
          <w:tbl>
            <w:tblPr>
              <w:tblStyle w:val="15"/>
              <w:tblW w:w="7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517"/>
              <w:gridCol w:w="1105"/>
              <w:gridCol w:w="1411"/>
              <w:gridCol w:w="751"/>
              <w:gridCol w:w="1074"/>
              <w:gridCol w:w="1191"/>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污染工序</w:t>
                  </w:r>
                </w:p>
              </w:tc>
              <w:tc>
                <w:tcPr>
                  <w:tcW w:w="5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污染因子</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风机风量</w:t>
                  </w:r>
                </w:p>
              </w:tc>
              <w:tc>
                <w:tcPr>
                  <w:tcW w:w="14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处理措施</w:t>
                  </w:r>
                </w:p>
              </w:tc>
              <w:tc>
                <w:tcPr>
                  <w:tcW w:w="18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排放量</w:t>
                  </w:r>
                </w:p>
              </w:tc>
              <w:tc>
                <w:tcPr>
                  <w:tcW w:w="11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排放速率</w:t>
                  </w:r>
                </w:p>
              </w:tc>
              <w:tc>
                <w:tcPr>
                  <w:tcW w:w="11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63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eastAsia" w:ascii="Times New Roman" w:hAnsi="Times New Roman" w:cs="Times New Roman"/>
                      <w:b w:val="0"/>
                      <w:bCs/>
                      <w:color w:val="auto"/>
                      <w:sz w:val="21"/>
                      <w:szCs w:val="21"/>
                      <w:u w:val="none"/>
                      <w:vertAlign w:val="baseline"/>
                      <w:lang w:val="en-US" w:eastAsia="zh-CN"/>
                    </w:rPr>
                    <w:t>投料、混合粉尘</w:t>
                  </w:r>
                </w:p>
              </w:tc>
              <w:tc>
                <w:tcPr>
                  <w:tcW w:w="5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eastAsia" w:ascii="Times New Roman" w:hAnsi="Times New Roman" w:cs="Times New Roman"/>
                      <w:b w:val="0"/>
                      <w:bCs/>
                      <w:color w:val="auto"/>
                      <w:sz w:val="21"/>
                      <w:szCs w:val="21"/>
                      <w:u w:val="none"/>
                      <w:vertAlign w:val="baseline"/>
                      <w:lang w:val="en-US" w:eastAsia="zh-CN"/>
                    </w:rPr>
                    <w:t>颗粒物</w:t>
                  </w:r>
                </w:p>
              </w:tc>
              <w:tc>
                <w:tcPr>
                  <w:tcW w:w="11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eastAsia" w:ascii="Times New Roman" w:hAnsi="Times New Roman" w:cs="Times New Roman"/>
                      <w:b w:val="0"/>
                      <w:bCs/>
                      <w:color w:val="auto"/>
                      <w:sz w:val="21"/>
                      <w:szCs w:val="21"/>
                      <w:u w:val="none"/>
                      <w:vertAlign w:val="baseline"/>
                      <w:lang w:val="en-US" w:eastAsia="zh-CN"/>
                    </w:rPr>
                    <w:t>50</w:t>
                  </w:r>
                  <w:r>
                    <w:rPr>
                      <w:rFonts w:hint="default" w:ascii="Times New Roman" w:hAnsi="Times New Roman" w:eastAsia="宋体" w:cs="Times New Roman"/>
                      <w:b w:val="0"/>
                      <w:bCs/>
                      <w:color w:val="auto"/>
                      <w:sz w:val="21"/>
                      <w:szCs w:val="21"/>
                      <w:u w:val="none"/>
                      <w:vertAlign w:val="baseline"/>
                      <w:lang w:val="en-US" w:eastAsia="zh-CN"/>
                    </w:rPr>
                    <w:t>00m</w:t>
                  </w:r>
                  <w:r>
                    <w:rPr>
                      <w:rFonts w:hint="default" w:ascii="Times New Roman" w:hAnsi="Times New Roman" w:eastAsia="宋体" w:cs="Times New Roman"/>
                      <w:b w:val="0"/>
                      <w:bCs/>
                      <w:color w:val="auto"/>
                      <w:sz w:val="21"/>
                      <w:szCs w:val="21"/>
                      <w:u w:val="none"/>
                      <w:vertAlign w:val="superscript"/>
                      <w:lang w:val="en-US" w:eastAsia="zh-CN"/>
                    </w:rPr>
                    <w:t>3</w:t>
                  </w:r>
                  <w:r>
                    <w:rPr>
                      <w:rFonts w:hint="default" w:ascii="Times New Roman" w:hAnsi="Times New Roman" w:eastAsia="宋体" w:cs="Times New Roman"/>
                      <w:b w:val="0"/>
                      <w:bCs/>
                      <w:color w:val="auto"/>
                      <w:sz w:val="21"/>
                      <w:szCs w:val="21"/>
                      <w:u w:val="none"/>
                      <w:vertAlign w:val="baseline"/>
                      <w:lang w:val="en-US" w:eastAsia="zh-CN"/>
                    </w:rPr>
                    <w:t>/h</w:t>
                  </w:r>
                </w:p>
              </w:tc>
              <w:tc>
                <w:tcPr>
                  <w:tcW w:w="14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eastAsia" w:ascii="Times New Roman" w:hAnsi="Times New Roman" w:cs="Times New Roman"/>
                      <w:b w:val="0"/>
                      <w:bCs/>
                      <w:color w:val="auto"/>
                      <w:sz w:val="21"/>
                      <w:szCs w:val="21"/>
                      <w:u w:val="none"/>
                      <w:lang w:val="en-US" w:eastAsia="zh-CN"/>
                    </w:rPr>
                    <w:t>袋式除尘器</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eastAsia" w:ascii="Times New Roman" w:hAnsi="Times New Roman" w:cs="Times New Roman"/>
                      <w:b w:val="0"/>
                      <w:bCs/>
                      <w:color w:val="auto"/>
                      <w:sz w:val="21"/>
                      <w:szCs w:val="21"/>
                      <w:u w:val="none"/>
                      <w:vertAlign w:val="baseline"/>
                      <w:lang w:val="en-US" w:eastAsia="zh-CN"/>
                    </w:rPr>
                    <w:t>有组织</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eastAsia" w:ascii="Times New Roman" w:hAnsi="Times New Roman" w:cs="Times New Roman"/>
                      <w:b w:val="0"/>
                      <w:bCs/>
                      <w:color w:val="auto"/>
                      <w:sz w:val="21"/>
                      <w:szCs w:val="21"/>
                      <w:u w:val="none"/>
                      <w:vertAlign w:val="baseline"/>
                      <w:lang w:val="en-US" w:eastAsia="zh-CN"/>
                    </w:rPr>
                    <w:t>0.0568</w:t>
                  </w:r>
                  <w:r>
                    <w:rPr>
                      <w:rFonts w:hint="default" w:ascii="Times New Roman" w:hAnsi="Times New Roman" w:eastAsia="宋体" w:cs="Times New Roman"/>
                      <w:b w:val="0"/>
                      <w:bCs/>
                      <w:color w:val="auto"/>
                      <w:sz w:val="21"/>
                      <w:szCs w:val="21"/>
                      <w:u w:val="none"/>
                      <w:vertAlign w:val="baseline"/>
                      <w:lang w:val="en-US" w:eastAsia="zh-CN"/>
                    </w:rPr>
                    <w:t>t/a</w:t>
                  </w:r>
                </w:p>
              </w:tc>
              <w:tc>
                <w:tcPr>
                  <w:tcW w:w="11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eastAsia" w:ascii="Times New Roman" w:hAnsi="Times New Roman" w:eastAsia="宋体" w:cs="Times New Roman"/>
                      <w:b w:val="0"/>
                      <w:bCs/>
                      <w:color w:val="auto"/>
                      <w:sz w:val="21"/>
                      <w:szCs w:val="21"/>
                      <w:u w:val="none"/>
                      <w:vertAlign w:val="baseline"/>
                      <w:lang w:val="en-US" w:eastAsia="zh-CN"/>
                    </w:rPr>
                    <w:t>0.0</w:t>
                  </w:r>
                  <w:r>
                    <w:rPr>
                      <w:rFonts w:hint="eastAsia" w:ascii="Times New Roman" w:hAnsi="Times New Roman" w:cs="Times New Roman"/>
                      <w:b w:val="0"/>
                      <w:bCs/>
                      <w:color w:val="auto"/>
                      <w:sz w:val="21"/>
                      <w:szCs w:val="21"/>
                      <w:u w:val="none"/>
                      <w:vertAlign w:val="baseline"/>
                      <w:lang w:val="en-US" w:eastAsia="zh-CN"/>
                    </w:rPr>
                    <w:t>072</w:t>
                  </w:r>
                  <w:r>
                    <w:rPr>
                      <w:rFonts w:hint="default" w:ascii="Times New Roman" w:hAnsi="Times New Roman" w:eastAsia="宋体" w:cs="Times New Roman"/>
                      <w:b w:val="0"/>
                      <w:bCs/>
                      <w:color w:val="auto"/>
                      <w:sz w:val="21"/>
                      <w:szCs w:val="21"/>
                      <w:u w:val="none"/>
                      <w:vertAlign w:val="baseline"/>
                      <w:lang w:val="en-US" w:eastAsia="zh-CN"/>
                    </w:rPr>
                    <w:t>kg/h</w:t>
                  </w:r>
                </w:p>
              </w:tc>
              <w:tc>
                <w:tcPr>
                  <w:tcW w:w="11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eastAsia" w:ascii="Times New Roman" w:hAnsi="Times New Roman" w:cs="Times New Roman"/>
                      <w:b w:val="0"/>
                      <w:bCs/>
                      <w:color w:val="auto"/>
                      <w:sz w:val="21"/>
                      <w:szCs w:val="21"/>
                      <w:u w:val="none"/>
                      <w:vertAlign w:val="baseline"/>
                      <w:lang w:val="en-US" w:eastAsia="zh-CN"/>
                    </w:rPr>
                    <w:t>1.44</w:t>
                  </w:r>
                  <w:r>
                    <w:rPr>
                      <w:rFonts w:hint="default" w:ascii="Times New Roman" w:hAnsi="Times New Roman" w:eastAsia="宋体" w:cs="Times New Roman"/>
                      <w:b w:val="0"/>
                      <w:bCs/>
                      <w:color w:val="auto"/>
                      <w:sz w:val="21"/>
                      <w:szCs w:val="21"/>
                      <w:u w:val="none"/>
                      <w:vertAlign w:val="baseline"/>
                      <w:lang w:val="en-US" w:eastAsia="zh-CN"/>
                    </w:rPr>
                    <w:t>mg/m</w:t>
                  </w:r>
                  <w:r>
                    <w:rPr>
                      <w:rFonts w:hint="default" w:ascii="Times New Roman" w:hAnsi="Times New Roman" w:eastAsia="宋体" w:cs="Times New Roman"/>
                      <w:b w:val="0"/>
                      <w:bCs/>
                      <w:color w:val="auto"/>
                      <w:sz w:val="21"/>
                      <w:szCs w:val="21"/>
                      <w:u w:val="non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63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imes New Roman" w:hAnsi="Times New Roman" w:cs="Times New Roman"/>
                      <w:b w:val="0"/>
                      <w:bCs/>
                      <w:color w:val="auto"/>
                      <w:sz w:val="21"/>
                      <w:szCs w:val="21"/>
                      <w:u w:val="none"/>
                      <w:vertAlign w:val="baseline"/>
                      <w:lang w:val="en-US" w:eastAsia="zh-CN"/>
                    </w:rPr>
                  </w:pPr>
                </w:p>
              </w:tc>
              <w:tc>
                <w:tcPr>
                  <w:tcW w:w="5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imes New Roman" w:hAnsi="Times New Roman" w:cs="Times New Roman"/>
                      <w:b w:val="0"/>
                      <w:bCs/>
                      <w:color w:val="auto"/>
                      <w:sz w:val="21"/>
                      <w:szCs w:val="21"/>
                      <w:u w:val="none"/>
                      <w:vertAlign w:val="baseline"/>
                      <w:lang w:val="en-US" w:eastAsia="zh-CN"/>
                    </w:rPr>
                  </w:pPr>
                </w:p>
              </w:tc>
              <w:tc>
                <w:tcPr>
                  <w:tcW w:w="11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imes New Roman" w:hAnsi="Times New Roman" w:cs="Times New Roman"/>
                      <w:b w:val="0"/>
                      <w:bCs/>
                      <w:color w:val="auto"/>
                      <w:sz w:val="21"/>
                      <w:szCs w:val="21"/>
                      <w:u w:val="none"/>
                      <w:vertAlign w:val="baseline"/>
                      <w:lang w:val="en-US" w:eastAsia="zh-CN"/>
                    </w:rPr>
                  </w:pPr>
                </w:p>
              </w:tc>
              <w:tc>
                <w:tcPr>
                  <w:tcW w:w="14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imes New Roman" w:hAnsi="Times New Roman" w:cs="Times New Roman"/>
                      <w:b w:val="0"/>
                      <w:bCs/>
                      <w:color w:val="auto"/>
                      <w:sz w:val="21"/>
                      <w:szCs w:val="21"/>
                      <w:u w:val="none"/>
                      <w:lang w:val="en-US" w:eastAsia="zh-CN"/>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imes New Roman" w:hAnsi="Times New Roman" w:cs="Times New Roman"/>
                      <w:b/>
                      <w:bCs w:val="0"/>
                      <w:color w:val="auto"/>
                      <w:sz w:val="21"/>
                      <w:szCs w:val="21"/>
                      <w:u w:val="single"/>
                      <w:vertAlign w:val="baseline"/>
                      <w:lang w:val="en-US" w:eastAsia="zh-CN"/>
                    </w:rPr>
                  </w:pPr>
                  <w:r>
                    <w:rPr>
                      <w:rFonts w:hint="eastAsia" w:ascii="Times New Roman" w:hAnsi="Times New Roman" w:cs="Times New Roman"/>
                      <w:b/>
                      <w:bCs w:val="0"/>
                      <w:color w:val="auto"/>
                      <w:sz w:val="21"/>
                      <w:szCs w:val="21"/>
                      <w:u w:val="single"/>
                      <w:vertAlign w:val="baseline"/>
                      <w:lang w:val="en-US" w:eastAsia="zh-CN"/>
                    </w:rPr>
                    <w:t>无</w:t>
                  </w:r>
                  <w:r>
                    <w:rPr>
                      <w:rFonts w:hint="default" w:ascii="Times New Roman" w:hAnsi="Times New Roman" w:eastAsia="宋体" w:cs="Times New Roman"/>
                      <w:b/>
                      <w:bCs w:val="0"/>
                      <w:color w:val="auto"/>
                      <w:sz w:val="21"/>
                      <w:szCs w:val="21"/>
                      <w:u w:val="single"/>
                      <w:vertAlign w:val="baseline"/>
                      <w:lang w:val="en-US" w:eastAsia="zh-CN"/>
                    </w:rPr>
                    <w:t>组织</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imes New Roman" w:hAnsi="Times New Roman" w:cs="Times New Roman"/>
                      <w:b/>
                      <w:bCs w:val="0"/>
                      <w:color w:val="auto"/>
                      <w:sz w:val="21"/>
                      <w:szCs w:val="21"/>
                      <w:u w:val="single"/>
                      <w:vertAlign w:val="baseline"/>
                      <w:lang w:val="en-US" w:eastAsia="zh-CN"/>
                    </w:rPr>
                  </w:pPr>
                  <w:r>
                    <w:rPr>
                      <w:rFonts w:hint="eastAsia" w:ascii="Times New Roman" w:hAnsi="Times New Roman" w:cs="Times New Roman"/>
                      <w:b/>
                      <w:bCs w:val="0"/>
                      <w:color w:val="auto"/>
                      <w:sz w:val="21"/>
                      <w:szCs w:val="21"/>
                      <w:u w:val="single"/>
                      <w:vertAlign w:val="baseline"/>
                      <w:lang w:val="en-US" w:eastAsia="zh-CN"/>
                    </w:rPr>
                    <w:t>0.2524</w:t>
                  </w:r>
                  <w:r>
                    <w:rPr>
                      <w:rFonts w:hint="default" w:ascii="Times New Roman" w:hAnsi="Times New Roman" w:eastAsia="宋体" w:cs="Times New Roman"/>
                      <w:b/>
                      <w:bCs w:val="0"/>
                      <w:color w:val="auto"/>
                      <w:sz w:val="21"/>
                      <w:szCs w:val="21"/>
                      <w:u w:val="single"/>
                      <w:vertAlign w:val="baseline"/>
                      <w:lang w:val="en-US" w:eastAsia="zh-CN"/>
                    </w:rPr>
                    <w:t>t/a</w:t>
                  </w:r>
                </w:p>
              </w:tc>
              <w:tc>
                <w:tcPr>
                  <w:tcW w:w="11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imes New Roman" w:hAnsi="Times New Roman" w:cs="Times New Roman"/>
                      <w:b/>
                      <w:bCs w:val="0"/>
                      <w:color w:val="auto"/>
                      <w:sz w:val="21"/>
                      <w:szCs w:val="21"/>
                      <w:u w:val="single"/>
                      <w:vertAlign w:val="baseline"/>
                      <w:lang w:val="en-US" w:eastAsia="zh-CN"/>
                    </w:rPr>
                  </w:pPr>
                  <w:r>
                    <w:rPr>
                      <w:rFonts w:hint="eastAsia" w:ascii="Times New Roman" w:hAnsi="Times New Roman" w:eastAsia="宋体" w:cs="Times New Roman"/>
                      <w:b/>
                      <w:bCs w:val="0"/>
                      <w:color w:val="auto"/>
                      <w:sz w:val="21"/>
                      <w:szCs w:val="21"/>
                      <w:u w:val="single"/>
                      <w:vertAlign w:val="baseline"/>
                      <w:lang w:val="en-US" w:eastAsia="zh-CN"/>
                    </w:rPr>
                    <w:t>0.0</w:t>
                  </w:r>
                  <w:r>
                    <w:rPr>
                      <w:rFonts w:hint="eastAsia" w:ascii="Times New Roman" w:hAnsi="Times New Roman" w:cs="Times New Roman"/>
                      <w:b/>
                      <w:bCs w:val="0"/>
                      <w:color w:val="auto"/>
                      <w:sz w:val="21"/>
                      <w:szCs w:val="21"/>
                      <w:u w:val="single"/>
                      <w:vertAlign w:val="baseline"/>
                      <w:lang w:val="en-US" w:eastAsia="zh-CN"/>
                    </w:rPr>
                    <w:t>319</w:t>
                  </w:r>
                  <w:r>
                    <w:rPr>
                      <w:rFonts w:hint="default" w:ascii="Times New Roman" w:hAnsi="Times New Roman" w:eastAsia="宋体" w:cs="Times New Roman"/>
                      <w:b/>
                      <w:bCs w:val="0"/>
                      <w:color w:val="auto"/>
                      <w:sz w:val="21"/>
                      <w:szCs w:val="21"/>
                      <w:u w:val="single"/>
                      <w:vertAlign w:val="baseline"/>
                      <w:lang w:val="en-US" w:eastAsia="zh-CN"/>
                    </w:rPr>
                    <w:t>kg/h</w:t>
                  </w:r>
                </w:p>
              </w:tc>
              <w:tc>
                <w:tcPr>
                  <w:tcW w:w="11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imes New Roman" w:hAnsi="Times New Roman" w:cs="Times New Roman"/>
                      <w:b/>
                      <w:bCs w:val="0"/>
                      <w:color w:val="auto"/>
                      <w:sz w:val="21"/>
                      <w:szCs w:val="21"/>
                      <w:u w:val="single"/>
                      <w:vertAlign w:val="baseline"/>
                      <w:lang w:val="en-US" w:eastAsia="zh-CN"/>
                    </w:rPr>
                  </w:pPr>
                  <w:r>
                    <w:rPr>
                      <w:rFonts w:hint="eastAsia" w:ascii="Times New Roman" w:hAnsi="Times New Roman" w:cs="Times New Roman"/>
                      <w:b/>
                      <w:bCs w:val="0"/>
                      <w:color w:val="auto"/>
                      <w:sz w:val="21"/>
                      <w:szCs w:val="21"/>
                      <w:u w:val="singl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eastAsia" w:ascii="Times New Roman" w:hAnsi="Times New Roman" w:cs="Times New Roman"/>
                      <w:b w:val="0"/>
                      <w:bCs/>
                      <w:color w:val="auto"/>
                      <w:sz w:val="21"/>
                      <w:szCs w:val="21"/>
                      <w:u w:val="none"/>
                      <w:vertAlign w:val="baseline"/>
                      <w:lang w:val="en-US" w:eastAsia="zh-CN"/>
                    </w:rPr>
                    <w:t>烘干粉尘</w:t>
                  </w:r>
                </w:p>
              </w:tc>
              <w:tc>
                <w:tcPr>
                  <w:tcW w:w="5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eastAsia" w:ascii="Times New Roman" w:hAnsi="Times New Roman" w:cs="Times New Roman"/>
                      <w:b w:val="0"/>
                      <w:bCs/>
                      <w:color w:val="auto"/>
                      <w:sz w:val="21"/>
                      <w:szCs w:val="21"/>
                      <w:u w:val="none"/>
                      <w:vertAlign w:val="baseline"/>
                      <w:lang w:val="en-US" w:eastAsia="zh-CN"/>
                    </w:rPr>
                    <w:t>颗粒物</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eastAsia="zh-CN"/>
                    </w:rPr>
                  </w:pPr>
                  <w:r>
                    <w:rPr>
                      <w:rFonts w:hint="eastAsia" w:ascii="Times New Roman" w:hAnsi="Times New Roman" w:cs="Times New Roman"/>
                      <w:b w:val="0"/>
                      <w:bCs/>
                      <w:color w:val="auto"/>
                      <w:sz w:val="21"/>
                      <w:szCs w:val="21"/>
                      <w:u w:val="none"/>
                      <w:vertAlign w:val="baseline"/>
                      <w:lang w:val="en-US" w:eastAsia="zh-CN"/>
                    </w:rPr>
                    <w:t>50</w:t>
                  </w:r>
                  <w:r>
                    <w:rPr>
                      <w:rFonts w:hint="default" w:ascii="Times New Roman" w:hAnsi="Times New Roman" w:eastAsia="宋体" w:cs="Times New Roman"/>
                      <w:b w:val="0"/>
                      <w:bCs/>
                      <w:color w:val="auto"/>
                      <w:sz w:val="21"/>
                      <w:szCs w:val="21"/>
                      <w:u w:val="none"/>
                      <w:vertAlign w:val="baseline"/>
                      <w:lang w:val="en-US" w:eastAsia="zh-CN"/>
                    </w:rPr>
                    <w:t>00m</w:t>
                  </w:r>
                  <w:r>
                    <w:rPr>
                      <w:rFonts w:hint="default" w:ascii="Times New Roman" w:hAnsi="Times New Roman" w:eastAsia="宋体" w:cs="Times New Roman"/>
                      <w:b w:val="0"/>
                      <w:bCs/>
                      <w:color w:val="auto"/>
                      <w:sz w:val="21"/>
                      <w:szCs w:val="21"/>
                      <w:u w:val="none"/>
                      <w:vertAlign w:val="superscript"/>
                      <w:lang w:val="en-US" w:eastAsia="zh-CN"/>
                    </w:rPr>
                    <w:t>3</w:t>
                  </w:r>
                  <w:r>
                    <w:rPr>
                      <w:rFonts w:hint="default" w:ascii="Times New Roman" w:hAnsi="Times New Roman" w:eastAsia="宋体" w:cs="Times New Roman"/>
                      <w:b w:val="0"/>
                      <w:bCs/>
                      <w:color w:val="auto"/>
                      <w:sz w:val="21"/>
                      <w:szCs w:val="21"/>
                      <w:u w:val="none"/>
                      <w:vertAlign w:val="baseline"/>
                      <w:lang w:val="en-US" w:eastAsia="zh-CN"/>
                    </w:rPr>
                    <w:t>/h</w:t>
                  </w:r>
                </w:p>
              </w:tc>
              <w:tc>
                <w:tcPr>
                  <w:tcW w:w="14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eastAsia="zh-CN"/>
                    </w:rPr>
                  </w:pPr>
                  <w:r>
                    <w:rPr>
                      <w:rFonts w:hint="eastAsia" w:ascii="Times New Roman" w:hAnsi="Times New Roman" w:cs="Times New Roman"/>
                      <w:b w:val="0"/>
                      <w:bCs/>
                      <w:color w:val="auto"/>
                      <w:sz w:val="21"/>
                      <w:szCs w:val="21"/>
                      <w:u w:val="none"/>
                      <w:lang w:val="en-US" w:eastAsia="zh-CN"/>
                    </w:rPr>
                    <w:t>袋式除尘器</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eastAsia" w:ascii="Times New Roman" w:hAnsi="Times New Roman" w:cs="Times New Roman"/>
                      <w:b w:val="0"/>
                      <w:bCs/>
                      <w:color w:val="auto"/>
                      <w:sz w:val="21"/>
                      <w:szCs w:val="21"/>
                      <w:u w:val="none"/>
                      <w:vertAlign w:val="baseline"/>
                      <w:lang w:val="en-US" w:eastAsia="zh-CN"/>
                    </w:rPr>
                    <w:t>有组织</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imes New Roman" w:hAnsi="Times New Roman" w:cs="Times New Roman"/>
                      <w:b w:val="0"/>
                      <w:bCs/>
                      <w:color w:val="auto"/>
                      <w:sz w:val="21"/>
                      <w:szCs w:val="21"/>
                      <w:u w:val="none"/>
                      <w:vertAlign w:val="baseline"/>
                      <w:lang w:val="en-US" w:eastAsia="zh-CN"/>
                    </w:rPr>
                  </w:pPr>
                  <w:r>
                    <w:rPr>
                      <w:rFonts w:hint="eastAsia" w:ascii="Times New Roman" w:hAnsi="Times New Roman" w:cs="Times New Roman"/>
                      <w:b w:val="0"/>
                      <w:bCs/>
                      <w:color w:val="auto"/>
                      <w:sz w:val="21"/>
                      <w:szCs w:val="21"/>
                      <w:u w:val="none"/>
                      <w:vertAlign w:val="baseline"/>
                      <w:lang w:val="en-US" w:eastAsia="zh-CN"/>
                    </w:rPr>
                    <w:t>0.07</w:t>
                  </w:r>
                  <w:r>
                    <w:rPr>
                      <w:rFonts w:hint="default" w:ascii="Times New Roman" w:hAnsi="Times New Roman" w:eastAsia="宋体" w:cs="Times New Roman"/>
                      <w:b w:val="0"/>
                      <w:bCs/>
                      <w:color w:val="auto"/>
                      <w:sz w:val="21"/>
                      <w:szCs w:val="21"/>
                      <w:u w:val="none"/>
                      <w:vertAlign w:val="baseline"/>
                      <w:lang w:val="en-US" w:eastAsia="zh-CN"/>
                    </w:rPr>
                    <w:t>t/a</w:t>
                  </w:r>
                </w:p>
              </w:tc>
              <w:tc>
                <w:tcPr>
                  <w:tcW w:w="11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imes New Roman" w:hAnsi="Times New Roman" w:cs="Times New Roman"/>
                      <w:b w:val="0"/>
                      <w:bCs/>
                      <w:color w:val="auto"/>
                      <w:sz w:val="21"/>
                      <w:szCs w:val="21"/>
                      <w:u w:val="none"/>
                      <w:vertAlign w:val="baseline"/>
                      <w:lang w:val="en-US" w:eastAsia="zh-CN"/>
                    </w:rPr>
                  </w:pPr>
                  <w:r>
                    <w:rPr>
                      <w:rFonts w:hint="eastAsia" w:ascii="Times New Roman" w:hAnsi="Times New Roman" w:eastAsia="宋体" w:cs="Times New Roman"/>
                      <w:b w:val="0"/>
                      <w:bCs/>
                      <w:color w:val="auto"/>
                      <w:sz w:val="21"/>
                      <w:szCs w:val="21"/>
                      <w:u w:val="none"/>
                      <w:vertAlign w:val="baseline"/>
                      <w:lang w:val="en-US" w:eastAsia="zh-CN"/>
                    </w:rPr>
                    <w:t>0.0</w:t>
                  </w:r>
                  <w:r>
                    <w:rPr>
                      <w:rFonts w:hint="eastAsia" w:ascii="Times New Roman" w:hAnsi="Times New Roman" w:cs="Times New Roman"/>
                      <w:b w:val="0"/>
                      <w:bCs/>
                      <w:color w:val="auto"/>
                      <w:sz w:val="21"/>
                      <w:szCs w:val="21"/>
                      <w:u w:val="none"/>
                      <w:vertAlign w:val="baseline"/>
                      <w:lang w:val="en-US" w:eastAsia="zh-CN"/>
                    </w:rPr>
                    <w:t>088</w:t>
                  </w:r>
                  <w:r>
                    <w:rPr>
                      <w:rFonts w:hint="default" w:ascii="Times New Roman" w:hAnsi="Times New Roman" w:eastAsia="宋体" w:cs="Times New Roman"/>
                      <w:b w:val="0"/>
                      <w:bCs/>
                      <w:color w:val="auto"/>
                      <w:sz w:val="21"/>
                      <w:szCs w:val="21"/>
                      <w:u w:val="none"/>
                      <w:vertAlign w:val="baseline"/>
                      <w:lang w:val="en-US" w:eastAsia="zh-CN"/>
                    </w:rPr>
                    <w:t>kg/h</w:t>
                  </w:r>
                </w:p>
              </w:tc>
              <w:tc>
                <w:tcPr>
                  <w:tcW w:w="11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eastAsia" w:ascii="Times New Roman" w:hAnsi="Times New Roman" w:cs="Times New Roman"/>
                      <w:b w:val="0"/>
                      <w:bCs/>
                      <w:color w:val="auto"/>
                      <w:sz w:val="21"/>
                      <w:szCs w:val="21"/>
                      <w:u w:val="none"/>
                      <w:vertAlign w:val="baseline"/>
                      <w:lang w:val="en-US" w:eastAsia="zh-CN"/>
                    </w:rPr>
                    <w:t>1.76</w:t>
                  </w:r>
                  <w:r>
                    <w:rPr>
                      <w:rFonts w:hint="default" w:ascii="Times New Roman" w:hAnsi="Times New Roman" w:eastAsia="宋体" w:cs="Times New Roman"/>
                      <w:b w:val="0"/>
                      <w:bCs/>
                      <w:color w:val="auto"/>
                      <w:sz w:val="21"/>
                      <w:szCs w:val="21"/>
                      <w:u w:val="none"/>
                      <w:vertAlign w:val="baseline"/>
                      <w:lang w:val="en-US" w:eastAsia="zh-CN"/>
                    </w:rPr>
                    <w:t>mg/m</w:t>
                  </w:r>
                  <w:r>
                    <w:rPr>
                      <w:rFonts w:hint="default" w:ascii="Times New Roman" w:hAnsi="Times New Roman" w:eastAsia="宋体" w:cs="Times New Roman"/>
                      <w:b w:val="0"/>
                      <w:bCs/>
                      <w:color w:val="auto"/>
                      <w:sz w:val="21"/>
                      <w:szCs w:val="21"/>
                      <w:u w:val="none"/>
                      <w:vertAlign w:val="superscript"/>
                      <w:lang w:val="en-US" w:eastAsia="zh-CN"/>
                    </w:rPr>
                    <w:t>3</w:t>
                  </w:r>
                </w:p>
              </w:tc>
            </w:tr>
          </w:tbl>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项目废气排放口基本情况见下表。</w:t>
            </w: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4"/>
                <w:vertAlign w:val="baseline"/>
                <w:lang w:val="en-US" w:eastAsia="zh-CN"/>
              </w:rPr>
            </w:pPr>
            <w:r>
              <w:rPr>
                <w:rFonts w:hint="default" w:ascii="Times New Roman" w:hAnsi="Times New Roman" w:eastAsia="宋体" w:cs="Times New Roman"/>
                <w:b/>
                <w:bCs/>
                <w:color w:val="auto"/>
                <w:sz w:val="21"/>
                <w:szCs w:val="24"/>
                <w:vertAlign w:val="baseline"/>
                <w:lang w:val="en-US" w:eastAsia="zh-CN"/>
              </w:rPr>
              <w:t>表4-</w:t>
            </w:r>
            <w:r>
              <w:rPr>
                <w:rFonts w:hint="eastAsia" w:ascii="Times New Roman" w:hAnsi="Times New Roman" w:cs="Times New Roman"/>
                <w:b/>
                <w:bCs/>
                <w:color w:val="auto"/>
                <w:sz w:val="21"/>
                <w:szCs w:val="24"/>
                <w:vertAlign w:val="baseline"/>
                <w:lang w:val="en-US" w:eastAsia="zh-CN"/>
              </w:rPr>
              <w:t>5</w:t>
            </w:r>
            <w:r>
              <w:rPr>
                <w:rFonts w:hint="default" w:ascii="Times New Roman" w:hAnsi="Times New Roman" w:eastAsia="宋体" w:cs="Times New Roman"/>
                <w:b/>
                <w:bCs/>
                <w:color w:val="auto"/>
                <w:sz w:val="21"/>
                <w:szCs w:val="24"/>
                <w:vertAlign w:val="baseline"/>
                <w:lang w:val="en-US" w:eastAsia="zh-CN"/>
              </w:rPr>
              <w:t xml:space="preserve">  废气排放口基本情况表</w:t>
            </w:r>
          </w:p>
          <w:tbl>
            <w:tblPr>
              <w:tblStyle w:val="15"/>
              <w:tblW w:w="7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104"/>
              <w:gridCol w:w="1617"/>
              <w:gridCol w:w="1119"/>
              <w:gridCol w:w="1118"/>
              <w:gridCol w:w="1118"/>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3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序号</w:t>
                  </w:r>
                </w:p>
              </w:tc>
              <w:tc>
                <w:tcPr>
                  <w:tcW w:w="110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编号</w:t>
                  </w:r>
                </w:p>
              </w:tc>
              <w:tc>
                <w:tcPr>
                  <w:tcW w:w="16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排放口名称</w:t>
                  </w:r>
                </w:p>
              </w:tc>
              <w:tc>
                <w:tcPr>
                  <w:tcW w:w="111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污染物</w:t>
                  </w:r>
                </w:p>
              </w:tc>
              <w:tc>
                <w:tcPr>
                  <w:tcW w:w="111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排气筒高度m</w:t>
                  </w:r>
                </w:p>
              </w:tc>
              <w:tc>
                <w:tcPr>
                  <w:tcW w:w="111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排气筒内径m</w:t>
                  </w:r>
                </w:p>
              </w:tc>
              <w:tc>
                <w:tcPr>
                  <w:tcW w:w="112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排气筒温度K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p>
              </w:tc>
              <w:tc>
                <w:tcPr>
                  <w:tcW w:w="110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DA00</w:t>
                  </w:r>
                  <w:r>
                    <w:rPr>
                      <w:rFonts w:hint="eastAsia" w:ascii="Times New Roman" w:hAnsi="Times New Roman" w:cs="Times New Roman"/>
                      <w:color w:val="auto"/>
                      <w:sz w:val="21"/>
                      <w:szCs w:val="21"/>
                      <w:vertAlign w:val="baseline"/>
                      <w:lang w:val="en-US" w:eastAsia="zh-CN"/>
                    </w:rPr>
                    <w:t>1</w:t>
                  </w: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b w:val="0"/>
                      <w:bCs/>
                      <w:color w:val="auto"/>
                      <w:sz w:val="21"/>
                      <w:szCs w:val="21"/>
                      <w:u w:val="none"/>
                      <w:vertAlign w:val="baseline"/>
                      <w:lang w:val="en-US" w:eastAsia="zh-CN"/>
                    </w:rPr>
                    <w:t>投料、混合粉尘</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b w:val="0"/>
                      <w:bCs/>
                      <w:color w:val="auto"/>
                      <w:sz w:val="21"/>
                      <w:szCs w:val="21"/>
                      <w:u w:val="none"/>
                      <w:vertAlign w:val="baseline"/>
                      <w:lang w:val="en-US" w:eastAsia="zh-CN"/>
                    </w:rPr>
                    <w:t>颗粒物</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aps w:val="0"/>
                      <w:color w:val="auto"/>
                      <w:kern w:val="0"/>
                      <w:sz w:val="21"/>
                      <w:szCs w:val="21"/>
                      <w:lang w:val="en-US" w:eastAsia="zh-CN"/>
                    </w:rPr>
                    <w:t>15</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aps w:val="0"/>
                      <w:color w:val="auto"/>
                      <w:kern w:val="0"/>
                      <w:sz w:val="21"/>
                      <w:szCs w:val="21"/>
                      <w:lang w:val="en-US" w:eastAsia="zh-CN"/>
                    </w:rPr>
                    <w:t>0.</w:t>
                  </w:r>
                  <w:r>
                    <w:rPr>
                      <w:rFonts w:hint="eastAsia" w:ascii="Times New Roman" w:hAnsi="Times New Roman" w:cs="Times New Roman"/>
                      <w:caps w:val="0"/>
                      <w:color w:val="auto"/>
                      <w:kern w:val="0"/>
                      <w:sz w:val="21"/>
                      <w:szCs w:val="21"/>
                      <w:lang w:val="en-US" w:eastAsia="zh-CN"/>
                    </w:rPr>
                    <w:t>4</w:t>
                  </w:r>
                </w:p>
              </w:tc>
              <w:tc>
                <w:tcPr>
                  <w:tcW w:w="112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aps w:val="0"/>
                      <w:color w:val="auto"/>
                      <w:kern w:val="0"/>
                      <w:sz w:val="21"/>
                      <w:szCs w:val="21"/>
                      <w:lang w:val="en-US" w:eastAsia="zh-CN"/>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3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2</w:t>
                  </w:r>
                </w:p>
              </w:tc>
              <w:tc>
                <w:tcPr>
                  <w:tcW w:w="110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DA00</w:t>
                  </w:r>
                  <w:r>
                    <w:rPr>
                      <w:rFonts w:hint="eastAsia" w:ascii="Times New Roman" w:hAnsi="Times New Roman" w:cs="Times New Roman"/>
                      <w:color w:val="auto"/>
                      <w:sz w:val="21"/>
                      <w:szCs w:val="21"/>
                      <w:vertAlign w:val="baseline"/>
                      <w:lang w:val="en-US" w:eastAsia="zh-CN"/>
                    </w:rPr>
                    <w:t>2</w:t>
                  </w: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u w:val="none"/>
                      <w:vertAlign w:val="baseline"/>
                      <w:lang w:val="en-US" w:eastAsia="zh-CN"/>
                    </w:rPr>
                    <w:t>烘干粉尘</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cs="Times New Roman"/>
                      <w:caps w:val="0"/>
                      <w:color w:val="auto"/>
                      <w:kern w:val="0"/>
                      <w:sz w:val="21"/>
                      <w:szCs w:val="21"/>
                      <w:lang w:val="en-US" w:eastAsia="zh-CN"/>
                    </w:rPr>
                  </w:pPr>
                  <w:r>
                    <w:rPr>
                      <w:rFonts w:hint="eastAsia" w:ascii="Times New Roman" w:hAnsi="Times New Roman" w:cs="Times New Roman"/>
                      <w:b w:val="0"/>
                      <w:bCs/>
                      <w:color w:val="auto"/>
                      <w:sz w:val="21"/>
                      <w:szCs w:val="21"/>
                      <w:u w:val="none"/>
                      <w:vertAlign w:val="baseline"/>
                      <w:lang w:val="en-US" w:eastAsia="zh-CN"/>
                    </w:rPr>
                    <w:t>颗粒物</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aps w:val="0"/>
                      <w:color w:val="auto"/>
                      <w:kern w:val="0"/>
                      <w:sz w:val="21"/>
                      <w:szCs w:val="21"/>
                      <w:lang w:val="en-US" w:eastAsia="zh-CN"/>
                    </w:rPr>
                  </w:pPr>
                  <w:r>
                    <w:rPr>
                      <w:rFonts w:hint="eastAsia" w:ascii="Times New Roman" w:hAnsi="Times New Roman" w:cs="Times New Roman"/>
                      <w:caps w:val="0"/>
                      <w:color w:val="auto"/>
                      <w:kern w:val="0"/>
                      <w:sz w:val="21"/>
                      <w:szCs w:val="21"/>
                      <w:lang w:val="en-US" w:eastAsia="zh-CN"/>
                    </w:rPr>
                    <w:t>15</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aps w:val="0"/>
                      <w:color w:val="auto"/>
                      <w:kern w:val="0"/>
                      <w:sz w:val="21"/>
                      <w:szCs w:val="21"/>
                      <w:lang w:val="en-US" w:eastAsia="zh-CN"/>
                    </w:rPr>
                  </w:pPr>
                  <w:r>
                    <w:rPr>
                      <w:rFonts w:hint="eastAsia" w:ascii="Times New Roman" w:hAnsi="Times New Roman" w:cs="Times New Roman"/>
                      <w:caps w:val="0"/>
                      <w:color w:val="auto"/>
                      <w:kern w:val="0"/>
                      <w:sz w:val="21"/>
                      <w:szCs w:val="21"/>
                      <w:lang w:val="en-US" w:eastAsia="zh-CN"/>
                    </w:rPr>
                    <w:t>0.4</w:t>
                  </w:r>
                </w:p>
              </w:tc>
              <w:tc>
                <w:tcPr>
                  <w:tcW w:w="112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aps w:val="0"/>
                      <w:color w:val="auto"/>
                      <w:kern w:val="0"/>
                      <w:sz w:val="21"/>
                      <w:szCs w:val="21"/>
                      <w:lang w:val="en-US" w:eastAsia="zh-CN"/>
                    </w:rPr>
                  </w:pPr>
                  <w:r>
                    <w:rPr>
                      <w:rFonts w:hint="eastAsia" w:ascii="Times New Roman" w:hAnsi="Times New Roman" w:cs="Times New Roman"/>
                      <w:caps w:val="0"/>
                      <w:color w:val="auto"/>
                      <w:kern w:val="0"/>
                      <w:sz w:val="21"/>
                      <w:szCs w:val="21"/>
                      <w:lang w:val="en-US" w:eastAsia="zh-CN"/>
                    </w:rPr>
                    <w:t>313</w:t>
                  </w:r>
                </w:p>
              </w:tc>
            </w:tr>
          </w:tbl>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项目废气监测计划见下表。</w:t>
            </w: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4"/>
                <w:vertAlign w:val="baseline"/>
                <w:lang w:val="en-US" w:eastAsia="zh-CN"/>
              </w:rPr>
            </w:pPr>
            <w:r>
              <w:rPr>
                <w:rFonts w:hint="default" w:ascii="Times New Roman" w:hAnsi="Times New Roman" w:eastAsia="宋体" w:cs="Times New Roman"/>
                <w:b/>
                <w:bCs/>
                <w:color w:val="auto"/>
                <w:sz w:val="21"/>
                <w:szCs w:val="24"/>
                <w:vertAlign w:val="baseline"/>
                <w:lang w:val="en-US" w:eastAsia="zh-CN"/>
              </w:rPr>
              <w:t>表4-</w:t>
            </w:r>
            <w:r>
              <w:rPr>
                <w:rFonts w:hint="eastAsia" w:ascii="Times New Roman" w:hAnsi="Times New Roman" w:cs="Times New Roman"/>
                <w:b/>
                <w:bCs/>
                <w:color w:val="auto"/>
                <w:sz w:val="21"/>
                <w:szCs w:val="24"/>
                <w:vertAlign w:val="baseline"/>
                <w:lang w:val="en-US" w:eastAsia="zh-CN"/>
              </w:rPr>
              <w:t>6</w:t>
            </w:r>
            <w:r>
              <w:rPr>
                <w:rFonts w:hint="default" w:ascii="Times New Roman" w:hAnsi="Times New Roman" w:eastAsia="宋体" w:cs="Times New Roman"/>
                <w:b/>
                <w:bCs/>
                <w:color w:val="auto"/>
                <w:sz w:val="21"/>
                <w:szCs w:val="24"/>
                <w:vertAlign w:val="baseline"/>
                <w:lang w:val="en-US" w:eastAsia="zh-CN"/>
              </w:rPr>
              <w:t xml:space="preserve">  废气监测计划内容一览表</w:t>
            </w:r>
          </w:p>
          <w:tbl>
            <w:tblPr>
              <w:tblStyle w:val="15"/>
              <w:tblW w:w="7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546"/>
              <w:gridCol w:w="859"/>
              <w:gridCol w:w="1261"/>
              <w:gridCol w:w="1298"/>
              <w:gridCol w:w="1171"/>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5"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项目</w:t>
                  </w:r>
                </w:p>
              </w:tc>
              <w:tc>
                <w:tcPr>
                  <w:tcW w:w="8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监测项目</w:t>
                  </w:r>
                </w:p>
              </w:tc>
              <w:tc>
                <w:tcPr>
                  <w:tcW w:w="126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监测因子</w:t>
                  </w:r>
                </w:p>
              </w:tc>
              <w:tc>
                <w:tcPr>
                  <w:tcW w:w="129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取样位置</w:t>
                  </w:r>
                </w:p>
              </w:tc>
              <w:tc>
                <w:tcPr>
                  <w:tcW w:w="117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监测频率</w:t>
                  </w:r>
                </w:p>
              </w:tc>
              <w:tc>
                <w:tcPr>
                  <w:tcW w:w="225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449"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废气</w:t>
                  </w:r>
                </w:p>
              </w:tc>
              <w:tc>
                <w:tcPr>
                  <w:tcW w:w="5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点源</w:t>
                  </w:r>
                </w:p>
              </w:tc>
              <w:tc>
                <w:tcPr>
                  <w:tcW w:w="8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DA00</w:t>
                  </w:r>
                  <w:r>
                    <w:rPr>
                      <w:rFonts w:hint="eastAsia" w:ascii="Times New Roman" w:hAnsi="Times New Roman" w:cs="Times New Roman"/>
                      <w:color w:val="auto"/>
                      <w:sz w:val="21"/>
                      <w:szCs w:val="24"/>
                      <w:vertAlign w:val="baseline"/>
                      <w:lang w:val="en-US" w:eastAsia="zh-CN"/>
                    </w:rPr>
                    <w:t>1</w:t>
                  </w:r>
                </w:p>
              </w:tc>
              <w:tc>
                <w:tcPr>
                  <w:tcW w:w="126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b w:val="0"/>
                      <w:bCs/>
                      <w:color w:val="auto"/>
                      <w:sz w:val="21"/>
                      <w:szCs w:val="21"/>
                      <w:u w:val="none"/>
                      <w:vertAlign w:val="baseline"/>
                      <w:lang w:val="en-US" w:eastAsia="zh-CN"/>
                    </w:rPr>
                    <w:t>颗粒物</w:t>
                  </w:r>
                </w:p>
              </w:tc>
              <w:tc>
                <w:tcPr>
                  <w:tcW w:w="129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排气筒</w:t>
                  </w:r>
                </w:p>
              </w:tc>
              <w:tc>
                <w:tcPr>
                  <w:tcW w:w="1171"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1次/</w:t>
                  </w:r>
                  <w:r>
                    <w:rPr>
                      <w:rFonts w:hint="eastAsia" w:ascii="Times New Roman" w:hAnsi="Times New Roman" w:cs="Times New Roman"/>
                      <w:color w:val="auto"/>
                      <w:sz w:val="21"/>
                      <w:szCs w:val="24"/>
                      <w:vertAlign w:val="baseline"/>
                      <w:lang w:val="en-US" w:eastAsia="zh-CN"/>
                    </w:rPr>
                    <w:t>半</w:t>
                  </w:r>
                  <w:r>
                    <w:rPr>
                      <w:rFonts w:hint="default" w:ascii="Times New Roman" w:hAnsi="Times New Roman" w:eastAsia="宋体" w:cs="Times New Roman"/>
                      <w:color w:val="auto"/>
                      <w:sz w:val="21"/>
                      <w:szCs w:val="24"/>
                      <w:vertAlign w:val="baseline"/>
                      <w:lang w:val="en-US" w:eastAsia="zh-CN"/>
                    </w:rPr>
                    <w:t>年</w:t>
                  </w:r>
                </w:p>
              </w:tc>
              <w:tc>
                <w:tcPr>
                  <w:tcW w:w="2252" w:type="dxa"/>
                  <w:vMerge w:val="restart"/>
                  <w:noWrap w:val="0"/>
                  <w:vAlign w:val="center"/>
                </w:tcPr>
                <w:p>
                  <w:pPr>
                    <w:autoSpaceDE w:val="0"/>
                    <w:jc w:val="center"/>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《大气污染物综合排放标准》（GB16297-1996）</w:t>
                  </w:r>
                  <w:r>
                    <w:rPr>
                      <w:rFonts w:hint="eastAsia" w:ascii="Times New Roman" w:hAnsi="Times New Roman" w:cs="Times New Roman"/>
                      <w:color w:val="auto"/>
                      <w:sz w:val="21"/>
                      <w:szCs w:val="24"/>
                      <w:vertAlign w:val="baseline"/>
                      <w:lang w:val="en-US" w:eastAsia="zh-CN"/>
                    </w:rPr>
                    <w:t>表2二级标准及《重污染天气重点行业应急减排措施制定技术指南》（2021年版）A级指标要求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449"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p>
              </w:tc>
              <w:tc>
                <w:tcPr>
                  <w:tcW w:w="5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点源</w:t>
                  </w:r>
                </w:p>
              </w:tc>
              <w:tc>
                <w:tcPr>
                  <w:tcW w:w="8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DA00</w:t>
                  </w:r>
                  <w:r>
                    <w:rPr>
                      <w:rFonts w:hint="eastAsia" w:ascii="Times New Roman" w:hAnsi="Times New Roman" w:cs="Times New Roman"/>
                      <w:color w:val="auto"/>
                      <w:sz w:val="21"/>
                      <w:szCs w:val="24"/>
                      <w:vertAlign w:val="baseline"/>
                      <w:lang w:val="en-US" w:eastAsia="zh-CN"/>
                    </w:rPr>
                    <w:t>2</w:t>
                  </w:r>
                </w:p>
              </w:tc>
              <w:tc>
                <w:tcPr>
                  <w:tcW w:w="126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cs="Times New Roman"/>
                      <w:color w:val="auto"/>
                      <w:sz w:val="21"/>
                      <w:szCs w:val="24"/>
                      <w:vertAlign w:val="baseline"/>
                      <w:lang w:val="en-US" w:eastAsia="zh-CN"/>
                    </w:rPr>
                  </w:pPr>
                  <w:r>
                    <w:rPr>
                      <w:rFonts w:hint="eastAsia" w:ascii="Times New Roman" w:hAnsi="Times New Roman" w:cs="Times New Roman"/>
                      <w:b w:val="0"/>
                      <w:bCs/>
                      <w:color w:val="auto"/>
                      <w:sz w:val="21"/>
                      <w:szCs w:val="21"/>
                      <w:u w:val="none"/>
                      <w:vertAlign w:val="baseline"/>
                      <w:lang w:val="en-US" w:eastAsia="zh-CN"/>
                    </w:rPr>
                    <w:t>颗粒物</w:t>
                  </w:r>
                </w:p>
              </w:tc>
              <w:tc>
                <w:tcPr>
                  <w:tcW w:w="129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排气筒</w:t>
                  </w:r>
                </w:p>
              </w:tc>
              <w:tc>
                <w:tcPr>
                  <w:tcW w:w="117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p>
              </w:tc>
              <w:tc>
                <w:tcPr>
                  <w:tcW w:w="2252" w:type="dxa"/>
                  <w:vMerge w:val="continue"/>
                  <w:noWrap w:val="0"/>
                  <w:vAlign w:val="center"/>
                </w:tcPr>
                <w:p>
                  <w:pPr>
                    <w:autoSpaceDE w:val="0"/>
                    <w:jc w:val="center"/>
                    <w:rPr>
                      <w:rFonts w:hint="default" w:ascii="Times New Roman" w:hAnsi="Times New Roman" w:eastAsia="宋体" w:cs="Times New Roman"/>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49"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p>
              </w:tc>
              <w:tc>
                <w:tcPr>
                  <w:tcW w:w="5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面源</w:t>
                  </w:r>
                </w:p>
              </w:tc>
              <w:tc>
                <w:tcPr>
                  <w:tcW w:w="8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厂界</w:t>
                  </w:r>
                </w:p>
              </w:tc>
              <w:tc>
                <w:tcPr>
                  <w:tcW w:w="126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颗粒物</w:t>
                  </w:r>
                </w:p>
              </w:tc>
              <w:tc>
                <w:tcPr>
                  <w:tcW w:w="129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厂界上风向及下风向</w:t>
                  </w:r>
                </w:p>
              </w:tc>
              <w:tc>
                <w:tcPr>
                  <w:tcW w:w="117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1次/年</w:t>
                  </w:r>
                </w:p>
              </w:tc>
              <w:tc>
                <w:tcPr>
                  <w:tcW w:w="225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《大气污染物综合排放标准》（GB16297-1996）表2</w:t>
                  </w:r>
                  <w:r>
                    <w:rPr>
                      <w:rFonts w:hint="eastAsia" w:ascii="Times New Roman" w:hAnsi="Times New Roman" w:cs="Times New Roman"/>
                      <w:color w:val="auto"/>
                      <w:sz w:val="21"/>
                      <w:szCs w:val="24"/>
                      <w:vertAlign w:val="baseline"/>
                      <w:lang w:val="en-US" w:eastAsia="zh-CN"/>
                    </w:rPr>
                    <w:t>无组织排放监控浓度限值</w:t>
                  </w:r>
                </w:p>
              </w:tc>
            </w:tr>
          </w:tbl>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2、废气污染防治措施及可行性分析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highlight w:val="none"/>
                <w:u w:val="none"/>
                <w:lang w:val="en-US" w:eastAsia="zh-CN"/>
              </w:rPr>
            </w:pPr>
            <w:r>
              <w:rPr>
                <w:rFonts w:hint="eastAsia" w:ascii="Times New Roman" w:hAnsi="Times New Roman" w:cs="Times New Roman"/>
                <w:b/>
                <w:bCs/>
                <w:color w:val="auto"/>
                <w:sz w:val="24"/>
                <w:highlight w:val="none"/>
                <w:u w:val="none"/>
                <w:lang w:val="en-US" w:eastAsia="zh-CN"/>
              </w:rPr>
              <w:t>袋式除尘器：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sz w:val="24"/>
                <w:highlight w:val="none"/>
                <w:u w:val="none"/>
                <w:lang w:eastAsia="zh-CN"/>
              </w:rPr>
            </w:pPr>
            <w:r>
              <w:rPr>
                <w:rFonts w:hint="eastAsia" w:ascii="Times New Roman" w:hAnsi="Times New Roman" w:cs="Times New Roman"/>
                <w:b w:val="0"/>
                <w:bCs w:val="0"/>
                <w:color w:val="auto"/>
                <w:sz w:val="24"/>
                <w:highlight w:val="none"/>
                <w:u w:val="none"/>
                <w:lang w:val="en-US" w:eastAsia="zh-CN"/>
              </w:rPr>
              <w:t>袋式除尘器的工作原理是依靠编织的或毡织（压）的滤布做为过滤材料，当含尘气体通过滤袋时，粉尘被阻留在滤袋的表面，干净空气则通过滤袋间的缝隙排出，从而达到分离含尘气体中粉尘的目的。根据袋式除尘器清灰方式的不同，又可分为机械振动清灰袋式除尘器、脉冲袋式除尘器、反吹袋式除尘器等，本项目选用的是脉冲袋式除尘器，清灰方式是通过脉冲阀将空气引入滤袋，使之急剧膨胀震动，加之气流返乡吹扫，使富集在滤袋外表面的粉尘层脱落，落入灰斗中。袋式除尘器除尘效率一般可达98%以上</w:t>
            </w:r>
            <w:r>
              <w:rPr>
                <w:rFonts w:hint="eastAsia" w:ascii="Times New Roman" w:hAnsi="Times New Roman" w:eastAsia="宋体" w:cs="Times New Roman"/>
                <w:b w:val="0"/>
                <w:bCs w:val="0"/>
                <w:color w:val="auto"/>
                <w:sz w:val="24"/>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3、废气环境影响分析</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项目投料、混合粉尘经集气装置收集后，进入袋式除尘器处理后，通过15m高排气筒1#排放，烘干粉尘经自带除尘器处理后，通过15m高排气筒2#排放，排放浓度均能满足《大气污染物综合排放标准》（GB16297-1996）表2二级标准及《重污染天气重点行业应急减排措施制定技术指南》（2021年版）A级指标要求。</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项目运行过程中，废气收集系统应于生产设备同步运行，为进一步减少无组织排放对周围环境的影响，建议企业应做好如下措施：</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eastAsia="宋体" w:cs="Times New Roman"/>
                <w:color w:val="auto"/>
                <w:sz w:val="24"/>
                <w:szCs w:val="32"/>
                <w:vertAlign w:val="baseline"/>
                <w:lang w:val="en-US" w:eastAsia="zh-CN"/>
              </w:rPr>
              <w:t>①定期检修废气处理设施，保证其废气处理效率；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highlight w:val="none"/>
                <w:u w:val="none"/>
                <w:lang w:val="en-US" w:eastAsia="zh-CN"/>
              </w:rPr>
            </w:pPr>
            <w:r>
              <w:rPr>
                <w:rFonts w:hint="eastAsia" w:ascii="Times New Roman" w:hAnsi="Times New Roman" w:eastAsia="宋体" w:cs="Times New Roman"/>
                <w:b w:val="0"/>
                <w:bCs w:val="0"/>
                <w:color w:val="auto"/>
                <w:sz w:val="24"/>
                <w:highlight w:val="none"/>
                <w:u w:val="none"/>
                <w:lang w:val="en-US" w:eastAsia="zh-CN"/>
              </w:rPr>
              <w:t>②加强员工培训，严格按照规定操作仪器设备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highlight w:val="none"/>
                <w:u w:val="none"/>
                <w:lang w:val="en-US" w:eastAsia="zh-CN"/>
              </w:rPr>
            </w:pPr>
            <w:r>
              <w:rPr>
                <w:rFonts w:hint="eastAsia" w:ascii="Times New Roman" w:hAnsi="Times New Roman" w:eastAsia="宋体" w:cs="Times New Roman"/>
                <w:b w:val="0"/>
                <w:bCs w:val="0"/>
                <w:color w:val="auto"/>
                <w:sz w:val="24"/>
                <w:highlight w:val="none"/>
                <w:u w:val="none"/>
                <w:lang w:val="en-US" w:eastAsia="zh-CN"/>
              </w:rPr>
              <w:t>经采取上述措施处理后，污染物排放均能够满足标准要求。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b/>
                <w:bCs/>
                <w:color w:val="auto"/>
                <w:sz w:val="24"/>
                <w:szCs w:val="32"/>
                <w:vertAlign w:val="baseline"/>
                <w:lang w:eastAsia="zh-CN"/>
              </w:rPr>
            </w:pPr>
            <w:r>
              <w:rPr>
                <w:rFonts w:hint="default" w:ascii="Times New Roman" w:hAnsi="Times New Roman" w:eastAsia="宋体" w:cs="Times New Roman"/>
                <w:b/>
                <w:bCs/>
                <w:color w:val="auto"/>
                <w:sz w:val="24"/>
                <w:szCs w:val="32"/>
                <w:vertAlign w:val="baseline"/>
                <w:lang w:eastAsia="zh-CN"/>
              </w:rPr>
              <w:t>（二）废</w:t>
            </w:r>
            <w:r>
              <w:rPr>
                <w:rFonts w:hint="eastAsia" w:ascii="Times New Roman" w:hAnsi="Times New Roman" w:cs="Times New Roman"/>
                <w:b/>
                <w:bCs/>
                <w:color w:val="auto"/>
                <w:sz w:val="24"/>
                <w:szCs w:val="32"/>
                <w:vertAlign w:val="baseline"/>
                <w:lang w:val="en-US" w:eastAsia="zh-CN"/>
              </w:rPr>
              <w:t>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本次扩建项目不新增劳动定员，无新增生活污水外排。设备清洗水经收集后回用于生产，生产过程添加水</w:t>
            </w:r>
            <w:r>
              <w:rPr>
                <w:rFonts w:hint="eastAsia" w:ascii="Times New Roman" w:hAnsi="Times New Roman" w:cs="Times New Roman"/>
                <w:color w:val="auto"/>
                <w:sz w:val="24"/>
                <w:highlight w:val="none"/>
                <w:lang w:val="en-US" w:eastAsia="zh-CN"/>
              </w:rPr>
              <w:t>70%部分在烘干工序以水蒸气形式损失，剩余部分由产品带走。</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（三）噪声</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eastAsia="宋体"/>
                <w:color w:val="auto"/>
                <w:sz w:val="24"/>
                <w:highlight w:val="none"/>
              </w:rPr>
              <w:t>本项目</w:t>
            </w:r>
            <w:r>
              <w:rPr>
                <w:rFonts w:hint="eastAsia"/>
                <w:color w:val="auto"/>
                <w:sz w:val="24"/>
                <w:highlight w:val="none"/>
                <w:lang w:eastAsia="zh-CN"/>
              </w:rPr>
              <w:t>噪声源主要为生产设备运行时产生的机械噪声</w:t>
            </w:r>
            <w:r>
              <w:rPr>
                <w:rFonts w:hint="eastAsia" w:ascii="Times New Roman" w:hAnsi="Times New Roman" w:eastAsia="宋体"/>
                <w:color w:val="auto"/>
                <w:sz w:val="24"/>
                <w:highlight w:val="none"/>
              </w:rPr>
              <w:t>等，噪声源强在</w:t>
            </w:r>
            <w:r>
              <w:rPr>
                <w:rFonts w:hint="default" w:ascii="Times New Roman" w:hAnsi="Times New Roman" w:cs="Times New Roman"/>
                <w:color w:val="auto"/>
                <w:sz w:val="24"/>
                <w:highlight w:val="none"/>
                <w:lang w:val="en-US" w:eastAsia="zh-CN"/>
              </w:rPr>
              <w:t>70~75</w:t>
            </w:r>
            <w:r>
              <w:rPr>
                <w:rFonts w:ascii="Times New Roman" w:hAnsi="Times New Roman" w:eastAsia="宋体"/>
                <w:color w:val="auto"/>
                <w:sz w:val="24"/>
                <w:highlight w:val="none"/>
              </w:rPr>
              <w:t>dB(A)</w:t>
            </w:r>
            <w:r>
              <w:rPr>
                <w:rFonts w:hint="eastAsia" w:ascii="Times New Roman" w:hAnsi="Times New Roman" w:eastAsia="宋体"/>
                <w:color w:val="auto"/>
                <w:sz w:val="24"/>
                <w:highlight w:val="none"/>
              </w:rPr>
              <w:t>之间，项目主要</w:t>
            </w:r>
            <w:r>
              <w:rPr>
                <w:rFonts w:ascii="Times New Roman" w:hAnsi="Times New Roman" w:eastAsia="宋体"/>
                <w:color w:val="auto"/>
                <w:sz w:val="24"/>
                <w:highlight w:val="none"/>
              </w:rPr>
              <w:t>噪声源及治理措施如下表</w:t>
            </w:r>
            <w:r>
              <w:rPr>
                <w:rFonts w:hint="eastAsia" w:ascii="Times New Roman" w:hAnsi="Times New Roman" w:eastAsia="宋体"/>
                <w:color w:val="auto"/>
                <w:sz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4"/>
                <w:vertAlign w:val="baseline"/>
                <w:lang w:val="en-US" w:eastAsia="zh-CN"/>
              </w:rPr>
            </w:pPr>
            <w:r>
              <w:rPr>
                <w:rFonts w:hint="default" w:ascii="Times New Roman" w:hAnsi="Times New Roman" w:eastAsia="宋体" w:cs="Times New Roman"/>
                <w:b/>
                <w:bCs/>
                <w:color w:val="auto"/>
                <w:sz w:val="21"/>
                <w:szCs w:val="24"/>
                <w:vertAlign w:val="baseline"/>
                <w:lang w:val="en-US" w:eastAsia="zh-CN"/>
              </w:rPr>
              <w:t>表4-</w:t>
            </w:r>
            <w:r>
              <w:rPr>
                <w:rFonts w:hint="eastAsia" w:ascii="Times New Roman" w:hAnsi="Times New Roman" w:cs="Times New Roman"/>
                <w:b/>
                <w:bCs/>
                <w:color w:val="auto"/>
                <w:sz w:val="21"/>
                <w:szCs w:val="24"/>
                <w:vertAlign w:val="baseline"/>
                <w:lang w:val="en-US" w:eastAsia="zh-CN"/>
              </w:rPr>
              <w:t xml:space="preserve">13 </w:t>
            </w:r>
            <w:r>
              <w:rPr>
                <w:rFonts w:hint="default" w:ascii="Times New Roman" w:hAnsi="Times New Roman" w:eastAsia="宋体" w:cs="Times New Roman"/>
                <w:b/>
                <w:bCs/>
                <w:color w:val="auto"/>
                <w:sz w:val="21"/>
                <w:szCs w:val="24"/>
                <w:vertAlign w:val="baseline"/>
                <w:lang w:val="en-US" w:eastAsia="zh-CN"/>
              </w:rPr>
              <w:t xml:space="preserve"> 主要噪声源情况一览表</w:t>
            </w:r>
          </w:p>
          <w:tbl>
            <w:tblPr>
              <w:tblStyle w:val="14"/>
              <w:tblW w:w="78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709"/>
              <w:gridCol w:w="1267"/>
              <w:gridCol w:w="2866"/>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序号</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设备名称</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产生源强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dB（A）</w:t>
                  </w:r>
                </w:p>
              </w:tc>
              <w:tc>
                <w:tcPr>
                  <w:tcW w:w="28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处置措施</w:t>
                  </w:r>
                </w:p>
              </w:tc>
              <w:tc>
                <w:tcPr>
                  <w:tcW w:w="136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排放源强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color w:val="auto"/>
                      <w:sz w:val="21"/>
                      <w:szCs w:val="21"/>
                      <w:lang w:val="en-US" w:eastAsia="zh-CN"/>
                    </w:rPr>
                    <w:t>离心机</w:t>
                  </w:r>
                </w:p>
              </w:tc>
              <w:tc>
                <w:tcPr>
                  <w:tcW w:w="1267" w:type="dxa"/>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color w:val="auto"/>
                      <w:sz w:val="21"/>
                      <w:szCs w:val="21"/>
                      <w:vertAlign w:val="baseline"/>
                      <w:lang w:val="en-US" w:eastAsia="zh-CN"/>
                    </w:rPr>
                    <w:t>7</w:t>
                  </w:r>
                  <w:r>
                    <w:rPr>
                      <w:rFonts w:hint="eastAsia" w:ascii="Times New Roman" w:hAnsi="Times New Roman" w:cs="Times New Roman"/>
                      <w:color w:val="auto"/>
                      <w:sz w:val="21"/>
                      <w:szCs w:val="21"/>
                      <w:vertAlign w:val="baseline"/>
                      <w:lang w:val="en-US" w:eastAsia="zh-CN"/>
                    </w:rPr>
                    <w:t>5</w:t>
                  </w:r>
                </w:p>
              </w:tc>
              <w:tc>
                <w:tcPr>
                  <w:tcW w:w="286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采用基础减震、距离衰减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厂房隔声可降低约20dB（A）</w:t>
                  </w:r>
                </w:p>
              </w:tc>
              <w:tc>
                <w:tcPr>
                  <w:tcW w:w="136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2</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color w:val="auto"/>
                      <w:sz w:val="21"/>
                      <w:szCs w:val="21"/>
                      <w:lang w:val="en-US" w:eastAsia="zh-CN"/>
                    </w:rPr>
                    <w:t>板框过滤机</w:t>
                  </w:r>
                </w:p>
              </w:tc>
              <w:tc>
                <w:tcPr>
                  <w:tcW w:w="1267" w:type="dxa"/>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color w:val="auto"/>
                      <w:sz w:val="21"/>
                      <w:szCs w:val="21"/>
                      <w:vertAlign w:val="baseline"/>
                      <w:lang w:val="en-US" w:eastAsia="zh-CN"/>
                    </w:rPr>
                    <w:t>7</w:t>
                  </w:r>
                  <w:r>
                    <w:rPr>
                      <w:rFonts w:hint="eastAsia" w:ascii="Times New Roman" w:hAnsi="Times New Roman" w:cs="Times New Roman"/>
                      <w:color w:val="auto"/>
                      <w:sz w:val="21"/>
                      <w:szCs w:val="21"/>
                      <w:vertAlign w:val="baseline"/>
                      <w:lang w:val="en-US" w:eastAsia="zh-CN"/>
                    </w:rPr>
                    <w:t>0</w:t>
                  </w:r>
                </w:p>
              </w:tc>
              <w:tc>
                <w:tcPr>
                  <w:tcW w:w="286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13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3</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b w:val="0"/>
                      <w:bCs w:val="0"/>
                      <w:color w:val="auto"/>
                      <w:sz w:val="21"/>
                      <w:szCs w:val="21"/>
                      <w:highlight w:val="none"/>
                      <w:u w:val="none"/>
                      <w:lang w:val="en-US" w:eastAsia="zh-CN"/>
                    </w:rPr>
                  </w:pPr>
                  <w:r>
                    <w:rPr>
                      <w:rFonts w:hint="eastAsia" w:ascii="Times New Roman" w:hAnsi="Times New Roman" w:eastAsia="宋体" w:cs="Times New Roman"/>
                      <w:color w:val="auto"/>
                      <w:sz w:val="21"/>
                      <w:szCs w:val="21"/>
                      <w:lang w:val="en-US" w:eastAsia="zh-CN"/>
                    </w:rPr>
                    <w:t>烘干机</w:t>
                  </w:r>
                </w:p>
              </w:tc>
              <w:tc>
                <w:tcPr>
                  <w:tcW w:w="1267" w:type="dxa"/>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cs="Times New Roman"/>
                      <w:b w:val="0"/>
                      <w:bCs w:val="0"/>
                      <w:color w:val="auto"/>
                      <w:sz w:val="21"/>
                      <w:szCs w:val="21"/>
                      <w:highlight w:val="none"/>
                      <w:u w:val="none"/>
                      <w:lang w:val="en-US" w:eastAsia="zh-CN"/>
                    </w:rPr>
                  </w:pPr>
                  <w:r>
                    <w:rPr>
                      <w:rFonts w:hint="eastAsia" w:ascii="Times New Roman" w:hAnsi="Times New Roman" w:eastAsia="宋体" w:cs="Times New Roman"/>
                      <w:color w:val="auto"/>
                      <w:sz w:val="21"/>
                      <w:szCs w:val="21"/>
                      <w:vertAlign w:val="baseline"/>
                      <w:lang w:val="en-US" w:eastAsia="zh-CN"/>
                    </w:rPr>
                    <w:t>70</w:t>
                  </w:r>
                </w:p>
              </w:tc>
              <w:tc>
                <w:tcPr>
                  <w:tcW w:w="286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136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50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经采取措施后，设备噪声源强可下降20dB（A）左右，降噪效果明显。</w:t>
            </w:r>
          </w:p>
          <w:p>
            <w:pPr>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根据《环境影响评价技术导则  声环境》（HJ2.4-2009）要求，本次评价声环境质量预测范围为厂区四周</w:t>
            </w:r>
            <w:r>
              <w:rPr>
                <w:rFonts w:hint="default" w:ascii="Times New Roman" w:hAnsi="Times New Roman" w:eastAsia="宋体" w:cs="Times New Roman"/>
                <w:color w:val="auto"/>
                <w:sz w:val="24"/>
                <w:szCs w:val="24"/>
                <w:lang w:eastAsia="zh-CN"/>
              </w:rPr>
              <w:t>边界</w:t>
            </w:r>
            <w:r>
              <w:rPr>
                <w:rFonts w:hint="default" w:ascii="Times New Roman" w:hAnsi="Times New Roman" w:eastAsia="宋体" w:cs="Times New Roman"/>
                <w:color w:val="auto"/>
                <w:sz w:val="24"/>
                <w:szCs w:val="24"/>
              </w:rPr>
              <w:t>。本次评价在</w:t>
            </w:r>
            <w:r>
              <w:rPr>
                <w:rFonts w:hint="default" w:ascii="Times New Roman" w:hAnsi="Times New Roman" w:eastAsia="宋体" w:cs="Times New Roman"/>
                <w:color w:val="auto"/>
                <w:sz w:val="24"/>
                <w:szCs w:val="24"/>
                <w:lang w:eastAsia="zh-CN"/>
              </w:rPr>
              <w:t>边界四周</w:t>
            </w:r>
            <w:r>
              <w:rPr>
                <w:rFonts w:hint="default" w:ascii="Times New Roman" w:hAnsi="Times New Roman" w:eastAsia="宋体" w:cs="Times New Roman"/>
                <w:color w:val="auto"/>
                <w:sz w:val="24"/>
                <w:szCs w:val="24"/>
              </w:rPr>
              <w:t>各设1个预测点，根据HJ2.4-2009中声级预测模式进行预测。</w:t>
            </w:r>
          </w:p>
          <w:p>
            <w:pPr>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建设项目声源在预测点产生的等效声级贡献值</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i/>
                <w:color w:val="auto"/>
                <w:sz w:val="24"/>
                <w:szCs w:val="24"/>
                <w:lang w:eastAsia="zh-CN"/>
              </w:rPr>
              <w:t>L</w:t>
            </w:r>
            <w:r>
              <w:rPr>
                <w:rFonts w:hint="default" w:ascii="Times New Roman" w:hAnsi="Times New Roman" w:eastAsia="宋体" w:cs="Times New Roman"/>
                <w:i/>
                <w:color w:val="auto"/>
                <w:sz w:val="24"/>
                <w:szCs w:val="24"/>
                <w:vertAlign w:val="subscript"/>
                <w:lang w:eastAsia="zh-CN"/>
              </w:rPr>
              <w:t>eqg</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计算公式：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position w:val="-30"/>
                <w:sz w:val="24"/>
                <w:szCs w:val="24"/>
              </w:rPr>
              <w:pict>
                <v:shape id="对象 105" o:spid="_x0000_s1032" o:spt="75" type="#_x0000_t75" style="position:absolute;left:0pt;margin-top:10.65pt;height:24.4pt;width:94.5pt;mso-position-horizontal:center;mso-wrap-distance-bottom:0pt;mso-wrap-distance-top:0pt;z-index:251660288;mso-width-relative:page;mso-height-relative:page;" o:ole="t" filled="f" o:preferrelative="t" stroked="f" coordsize="21600,21600">
                  <v:path/>
                  <v:fill on="f" focussize="0,0"/>
                  <v:stroke on="f"/>
                  <v:imagedata r:id="rId10" o:title=""/>
                  <o:lock v:ext="edit" grouping="f" rotation="f" text="f" aspectratio="t"/>
                  <w10:wrap type="topAndBottom"/>
                </v:shape>
                <o:OLEObject Type="Embed" ProgID="Equation.3" ShapeID="对象 105" DrawAspect="Content" ObjectID="_1468075729" r:id="rId17">
                  <o:LockedField>false</o:LockedField>
                </o:OLEObject>
              </w:pict>
            </w:r>
            <w:r>
              <w:rPr>
                <w:rFonts w:hint="default" w:ascii="Times New Roman" w:hAnsi="Times New Roman" w:eastAsia="宋体" w:cs="Times New Roman"/>
                <w:color w:val="auto"/>
                <w:sz w:val="24"/>
                <w:szCs w:val="24"/>
              </w:rPr>
              <w:t>式中：</w:t>
            </w:r>
            <w:r>
              <w:rPr>
                <w:rFonts w:hint="default" w:ascii="Times New Roman" w:hAnsi="Times New Roman" w:eastAsia="宋体" w:cs="Times New Roman"/>
                <w:color w:val="auto"/>
                <w:sz w:val="24"/>
                <w:szCs w:val="24"/>
              </w:rPr>
              <w:object>
                <v:shape id="_x0000_i1028" o:spt="75" type="#_x0000_t75" style="height:18.95pt;width:20.95pt;" o:ole="t" filled="f" stroked="f" coordsize="21600,21600">
                  <v:path/>
                  <v:fill on="f" focussize="0,0"/>
                  <v:stroke on="f"/>
                  <v:imagedata r:id="rId12" o:title=""/>
                  <o:lock v:ext="edit" grouping="f" rotation="f" text="f" aspectratio="t"/>
                  <w10:wrap type="none"/>
                  <w10:anchorlock/>
                </v:shape>
                <o:OLEObject Type="Embed" ProgID="Equation.KSEE3" ShapeID="_x0000_i1028" DrawAspect="Content" ObjectID="_1468075730" r:id="rId18">
                  <o:LockedField>false</o:LockedField>
                </o:OLEObject>
              </w:object>
            </w:r>
            <w:r>
              <w:rPr>
                <w:rFonts w:hint="default" w:ascii="Times New Roman" w:hAnsi="Times New Roman" w:eastAsia="宋体" w:cs="Times New Roman"/>
                <w:color w:val="auto"/>
                <w:sz w:val="24"/>
                <w:szCs w:val="24"/>
              </w:rPr>
              <w:t>—建设项目声源在预测点的等效声级贡献值，dB(A)；</w:t>
            </w:r>
          </w:p>
          <w:p>
            <w:pPr>
              <w:spacing w:line="460" w:lineRule="exact"/>
              <w:ind w:firstLine="1200" w:firstLineChars="500"/>
              <w:jc w:val="left"/>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object>
                <v:shape id="_x0000_i1029" o:spt="75" type="#_x0000_t75" style="height:16.95pt;width:18pt;" o:ole="t" filled="f" stroked="f" coordsize="21600,21600">
                  <v:path/>
                  <v:fill on="f" focussize="0,0"/>
                  <v:stroke on="f"/>
                  <v:imagedata r:id="rId14" o:title=""/>
                  <o:lock v:ext="edit" grouping="f" rotation="f" text="f" aspectratio="t"/>
                  <w10:wrap type="none"/>
                  <w10:anchorlock/>
                </v:shape>
                <o:OLEObject Type="Embed" ProgID="Equation.KSEE3" ShapeID="_x0000_i1029" DrawAspect="Content" ObjectID="_1468075731" r:id="rId19">
                  <o:LockedField>false</o:LockedField>
                </o:OLEObject>
              </w:object>
            </w:r>
            <w:r>
              <w:rPr>
                <w:rFonts w:hint="default" w:ascii="Times New Roman" w:hAnsi="Times New Roman" w:eastAsia="宋体" w:cs="Times New Roman"/>
                <w:color w:val="auto"/>
                <w:sz w:val="24"/>
                <w:szCs w:val="24"/>
              </w:rPr>
              <w:t>—声源在预测点产生的A声级，dB(A)；</w:t>
            </w:r>
          </w:p>
          <w:p>
            <w:pPr>
              <w:spacing w:line="460" w:lineRule="exact"/>
              <w:ind w:firstLine="1200" w:firstLineChars="5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T</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预测计算的时间段，s；</w:t>
            </w:r>
          </w:p>
          <w:p>
            <w:pPr>
              <w:spacing w:line="460" w:lineRule="exact"/>
              <w:ind w:firstLine="1200" w:firstLineChars="5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position w:val="-12"/>
                <w:sz w:val="24"/>
                <w:szCs w:val="24"/>
              </w:rPr>
              <w:object>
                <v:shape id="_x0000_i1030" o:spt="75" type="#_x0000_t75" style="height:17.55pt;width:10.7pt;" o:ole="t" filled="f" stroked="f" coordsize="21600,21600">
                  <v:path/>
                  <v:fill on="f" focussize="0,0"/>
                  <v:stroke on="f"/>
                  <v:imagedata r:id="rId16" o:title=""/>
                  <o:lock v:ext="edit" grouping="f" rotation="f" text="f" aspectratio="t"/>
                  <w10:wrap type="none"/>
                  <w10:anchorlock/>
                </v:shape>
                <o:OLEObject Type="Embed" ProgID="Equation.KSEE3" ShapeID="_x0000_i1030" DrawAspect="Content" ObjectID="_1468075732" r:id="rId20">
                  <o:LockedField>false</o:LockedField>
                </o:OLEObject>
              </w:objec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i</w:t>
            </w:r>
            <w:r>
              <w:rPr>
                <w:rFonts w:hint="default" w:ascii="Times New Roman" w:hAnsi="Times New Roman" w:eastAsia="宋体" w:cs="Times New Roman"/>
                <w:color w:val="auto"/>
                <w:sz w:val="24"/>
                <w:szCs w:val="24"/>
              </w:rPr>
              <w:t>声源在T时段内的运行时间，s。</w:t>
            </w:r>
          </w:p>
          <w:p>
            <w:pPr>
              <w:spacing w:line="460" w:lineRule="exact"/>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①</w:t>
            </w:r>
            <w:r>
              <w:rPr>
                <w:rFonts w:hint="default" w:ascii="Times New Roman" w:hAnsi="Times New Roman" w:eastAsia="宋体" w:cs="Times New Roman"/>
                <w:color w:val="auto"/>
                <w:sz w:val="24"/>
                <w:szCs w:val="24"/>
              </w:rPr>
              <w:t>高噪声源衰减分析方法</w:t>
            </w:r>
          </w:p>
          <w:p>
            <w:pPr>
              <w:spacing w:line="460" w:lineRule="exact"/>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噪声衰减计算公式为：</w:t>
            </w:r>
          </w:p>
          <w:p>
            <w:pPr>
              <w:spacing w:line="480" w:lineRule="exact"/>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object>
                <v:shape id="_x0000_i1031" o:spt="75" type="#_x0000_t75" style="height:18pt;width:102pt;" o:ole="t" filled="f" o:preferrelative="t" stroked="f" coordsize="21600,21600">
                  <v:path/>
                  <v:fill on="f" focussize="0,0"/>
                  <v:stroke on="f"/>
                  <v:imagedata r:id="rId22" o:title=""/>
                  <o:lock v:ext="edit" grouping="f" rotation="f" text="f" aspectratio="t"/>
                  <w10:wrap type="none"/>
                  <w10:anchorlock/>
                </v:shape>
                <o:OLEObject Type="Embed" ProgID="Equation.3" ShapeID="_x0000_i1031" DrawAspect="Content" ObjectID="_1468075733" r:id="rId21">
                  <o:LockedField>false</o:LockedField>
                </o:OLEObject>
              </w:object>
            </w:r>
          </w:p>
          <w:p>
            <w:pPr>
              <w:spacing w:line="460" w:lineRule="exact"/>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式中：Lr——距噪声源距离为r处声级值，[dB(A)]；</w:t>
            </w:r>
          </w:p>
          <w:p>
            <w:pPr>
              <w:spacing w:line="460" w:lineRule="exact"/>
              <w:ind w:firstLine="1200" w:firstLineChars="5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L</w:t>
            </w:r>
            <w:r>
              <w:rPr>
                <w:rFonts w:hint="default" w:ascii="Times New Roman" w:hAnsi="Times New Roman" w:eastAsia="宋体" w:cs="Times New Roman"/>
                <w:color w:val="auto"/>
                <w:sz w:val="24"/>
                <w:szCs w:val="24"/>
                <w:vertAlign w:val="subscript"/>
                <w:lang w:eastAsia="zh-CN"/>
              </w:rPr>
              <w:t>0</w:t>
            </w:r>
            <w:r>
              <w:rPr>
                <w:rFonts w:hint="default" w:ascii="Times New Roman" w:hAnsi="Times New Roman" w:eastAsia="宋体" w:cs="Times New Roman"/>
                <w:color w:val="auto"/>
                <w:sz w:val="24"/>
                <w:szCs w:val="24"/>
              </w:rPr>
              <w:t>——距噪声源距离为r</w:t>
            </w:r>
            <w:r>
              <w:rPr>
                <w:rFonts w:hint="default" w:ascii="Times New Roman" w:hAnsi="Times New Roman" w:eastAsia="宋体" w:cs="Times New Roman"/>
                <w:color w:val="auto"/>
                <w:sz w:val="24"/>
                <w:szCs w:val="24"/>
                <w:vertAlign w:val="subscript"/>
                <w:lang w:eastAsia="zh-CN"/>
              </w:rPr>
              <w:t>0</w:t>
            </w:r>
            <w:r>
              <w:rPr>
                <w:rFonts w:hint="default" w:ascii="Times New Roman" w:hAnsi="Times New Roman" w:eastAsia="宋体" w:cs="Times New Roman"/>
                <w:color w:val="auto"/>
                <w:sz w:val="24"/>
                <w:szCs w:val="24"/>
              </w:rPr>
              <w:t>处声级值，[dB(A)]；</w:t>
            </w:r>
          </w:p>
          <w:p>
            <w:pPr>
              <w:spacing w:line="460" w:lineRule="exact"/>
              <w:ind w:firstLine="1200" w:firstLineChars="5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R——关心点距噪声源距离，m；</w:t>
            </w:r>
          </w:p>
          <w:p>
            <w:pPr>
              <w:spacing w:line="360" w:lineRule="auto"/>
              <w:ind w:firstLine="1200" w:firstLineChars="500"/>
              <w:jc w:val="left"/>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r</w:t>
            </w:r>
            <w:r>
              <w:rPr>
                <w:rFonts w:hint="default" w:ascii="Times New Roman" w:hAnsi="Times New Roman" w:eastAsia="宋体" w:cs="Times New Roman"/>
                <w:color w:val="auto"/>
                <w:sz w:val="24"/>
                <w:szCs w:val="24"/>
                <w:vertAlign w:val="subscript"/>
                <w:lang w:eastAsia="zh-CN"/>
              </w:rPr>
              <w:t>0</w:t>
            </w:r>
            <w:r>
              <w:rPr>
                <w:rFonts w:hint="default" w:ascii="Times New Roman" w:hAnsi="Times New Roman" w:eastAsia="宋体" w:cs="Times New Roman"/>
                <w:color w:val="auto"/>
                <w:sz w:val="24"/>
                <w:szCs w:val="24"/>
              </w:rPr>
              <w:t>——距噪声源距离，r</w:t>
            </w:r>
            <w:r>
              <w:rPr>
                <w:rFonts w:hint="default" w:ascii="Times New Roman" w:hAnsi="Times New Roman" w:eastAsia="宋体" w:cs="Times New Roman"/>
                <w:color w:val="auto"/>
                <w:sz w:val="24"/>
                <w:szCs w:val="24"/>
                <w:vertAlign w:val="subscript"/>
                <w:lang w:eastAsia="zh-CN"/>
              </w:rPr>
              <w:t>0</w:t>
            </w:r>
            <w:r>
              <w:rPr>
                <w:rFonts w:hint="default" w:ascii="Times New Roman" w:hAnsi="Times New Roman" w:eastAsia="宋体" w:cs="Times New Roman"/>
                <w:color w:val="auto"/>
                <w:sz w:val="24"/>
                <w:szCs w:val="24"/>
              </w:rPr>
              <w:t>取1m</w:t>
            </w:r>
            <w:r>
              <w:rPr>
                <w:rFonts w:hint="default" w:ascii="Times New Roman" w:hAnsi="Times New Roman" w:eastAsia="宋体" w:cs="Times New Roman"/>
                <w:color w:val="auto"/>
                <w:sz w:val="24"/>
                <w:szCs w:val="24"/>
                <w:lang w:eastAsia="zh-CN"/>
              </w:rPr>
              <w:t>。</w:t>
            </w:r>
          </w:p>
          <w:p>
            <w:pPr>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②</w:t>
            </w:r>
            <w:r>
              <w:rPr>
                <w:rFonts w:hint="default" w:ascii="Times New Roman" w:hAnsi="Times New Roman" w:eastAsia="宋体" w:cs="Times New Roman"/>
                <w:color w:val="auto"/>
                <w:sz w:val="24"/>
                <w:szCs w:val="24"/>
              </w:rPr>
              <w:t>噪声源叠加影响分析方法</w:t>
            </w:r>
          </w:p>
          <w:p>
            <w:pPr>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当预测点受多声源叠加影响时，采用噪声叠加公式：</w:t>
            </w:r>
          </w:p>
          <w:p>
            <w:pPr>
              <w:spacing w:line="460" w:lineRule="exact"/>
              <w:ind w:firstLine="480" w:firstLineChars="20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position w:val="-30"/>
                <w:sz w:val="24"/>
                <w:szCs w:val="24"/>
              </w:rPr>
              <w:object>
                <v:shape id="_x0000_i1032" o:spt="75" type="#_x0000_t75" style="height:36.65pt;width:99.6pt;" o:ole="t" filled="f" o:preferrelative="t" stroked="f" coordsize="21600,21600">
                  <v:path/>
                  <v:fill on="f" focussize="0,0"/>
                  <v:stroke on="f"/>
                  <v:imagedata r:id="rId24" o:title=""/>
                  <o:lock v:ext="edit" grouping="f" rotation="f" text="f" aspectratio="t"/>
                  <w10:wrap type="none"/>
                  <w10:anchorlock/>
                </v:shape>
                <o:OLEObject Type="Embed" ProgID="Equation.3" ShapeID="_x0000_i1032" DrawAspect="Content" ObjectID="_1468075734" r:id="rId23">
                  <o:LockedField>false</o:LockedField>
                </o:OLEObject>
              </w:objec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式中：L——总声压级，[dB(A)]；</w:t>
            </w:r>
          </w:p>
          <w:p>
            <w:pPr>
              <w:spacing w:line="460" w:lineRule="exact"/>
              <w:ind w:firstLine="1200" w:firstLineChars="5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Li——第i个声源的声压级，[dB(A)]；</w:t>
            </w:r>
          </w:p>
          <w:p>
            <w:pPr>
              <w:spacing w:line="460" w:lineRule="exact"/>
              <w:ind w:firstLine="1200" w:firstLineChars="5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n——声源数量。</w:t>
            </w:r>
          </w:p>
          <w:p>
            <w:pPr>
              <w:spacing w:line="460" w:lineRule="exact"/>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预测结果见</w:t>
            </w:r>
            <w:r>
              <w:rPr>
                <w:rFonts w:hint="default" w:ascii="Times New Roman" w:hAnsi="Times New Roman" w:eastAsia="宋体" w:cs="Times New Roman"/>
                <w:color w:val="auto"/>
                <w:sz w:val="24"/>
                <w:szCs w:val="24"/>
                <w:lang w:eastAsia="zh-CN"/>
              </w:rPr>
              <w:t>下表</w:t>
            </w:r>
            <w:r>
              <w:rPr>
                <w:rFonts w:hint="default" w:ascii="Times New Roman" w:hAnsi="Times New Roman" w:eastAsia="宋体" w:cs="Times New Roman"/>
                <w:color w:val="auto"/>
                <w:sz w:val="24"/>
                <w:szCs w:val="24"/>
                <w:lang w:val="en-US" w:eastAsia="zh-CN"/>
              </w:rPr>
              <w:t>：</w:t>
            </w:r>
            <w:bookmarkStart w:id="0" w:name="_Ref289953020"/>
          </w:p>
          <w:bookmarkEnd w:id="0"/>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b/>
                <w:bCs/>
                <w:color w:val="auto"/>
                <w:sz w:val="21"/>
                <w:szCs w:val="24"/>
                <w:vertAlign w:val="baseline"/>
                <w:lang w:val="en-US" w:eastAsia="zh-CN"/>
              </w:rPr>
              <w:t>表4-</w:t>
            </w:r>
            <w:r>
              <w:rPr>
                <w:rFonts w:hint="eastAsia" w:ascii="Times New Roman" w:hAnsi="Times New Roman" w:cs="Times New Roman"/>
                <w:b/>
                <w:bCs/>
                <w:color w:val="auto"/>
                <w:sz w:val="21"/>
                <w:szCs w:val="24"/>
                <w:vertAlign w:val="baseline"/>
                <w:lang w:val="en-US" w:eastAsia="zh-CN"/>
              </w:rPr>
              <w:t>14</w:t>
            </w:r>
            <w:r>
              <w:rPr>
                <w:rFonts w:hint="default" w:ascii="Times New Roman" w:hAnsi="Times New Roman" w:eastAsia="宋体" w:cs="Times New Roman"/>
                <w:b/>
                <w:bCs/>
                <w:color w:val="auto"/>
                <w:sz w:val="21"/>
                <w:szCs w:val="24"/>
                <w:vertAlign w:val="baseline"/>
                <w:lang w:val="en-US" w:eastAsia="zh-CN"/>
              </w:rPr>
              <w:t xml:space="preserve"> </w:t>
            </w:r>
            <w:r>
              <w:rPr>
                <w:rFonts w:hint="default" w:ascii="Times New Roman" w:hAnsi="Times New Roman" w:eastAsia="宋体" w:cs="Times New Roman"/>
                <w:color w:val="auto"/>
                <w:sz w:val="24"/>
                <w:szCs w:val="32"/>
                <w:vertAlign w:val="baseline"/>
                <w:lang w:val="en-US" w:eastAsia="zh-CN"/>
              </w:rPr>
              <w:t xml:space="preserve"> </w:t>
            </w:r>
            <w:r>
              <w:rPr>
                <w:rFonts w:hint="default" w:ascii="Times New Roman" w:hAnsi="Times New Roman" w:eastAsia="宋体" w:cs="Times New Roman"/>
                <w:b/>
                <w:bCs/>
                <w:color w:val="auto"/>
                <w:sz w:val="21"/>
                <w:szCs w:val="21"/>
                <w:lang w:val="en-US" w:eastAsia="zh-CN"/>
              </w:rPr>
              <w:t>距噪声源不同距离处厂界噪声值一览表</w:t>
            </w:r>
          </w:p>
          <w:tbl>
            <w:tblPr>
              <w:tblStyle w:val="15"/>
              <w:tblW w:w="7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1003"/>
              <w:gridCol w:w="1306"/>
              <w:gridCol w:w="1306"/>
              <w:gridCol w:w="1307"/>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评价点</w:t>
                  </w:r>
                </w:p>
              </w:tc>
              <w:tc>
                <w:tcPr>
                  <w:tcW w:w="1003" w:type="dxa"/>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时段</w:t>
                  </w:r>
                </w:p>
              </w:tc>
              <w:tc>
                <w:tcPr>
                  <w:tcW w:w="1306" w:type="dxa"/>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背景值</w:t>
                  </w:r>
                </w:p>
              </w:tc>
              <w:tc>
                <w:tcPr>
                  <w:tcW w:w="1306" w:type="dxa"/>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贡献值昼间</w:t>
                  </w:r>
                </w:p>
              </w:tc>
              <w:tc>
                <w:tcPr>
                  <w:tcW w:w="1307" w:type="dxa"/>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预测值</w:t>
                  </w:r>
                </w:p>
              </w:tc>
              <w:tc>
                <w:tcPr>
                  <w:tcW w:w="1308" w:type="dxa"/>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东边界外1m处</w:t>
                  </w:r>
                </w:p>
              </w:tc>
              <w:tc>
                <w:tcPr>
                  <w:tcW w:w="1003" w:type="dxa"/>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昼间</w:t>
                  </w:r>
                </w:p>
              </w:tc>
              <w:tc>
                <w:tcPr>
                  <w:tcW w:w="1306" w:type="dxa"/>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w:t>
                  </w:r>
                </w:p>
              </w:tc>
              <w:tc>
                <w:tcPr>
                  <w:tcW w:w="1306" w:type="dxa"/>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50.32</w:t>
                  </w:r>
                </w:p>
              </w:tc>
              <w:tc>
                <w:tcPr>
                  <w:tcW w:w="1307" w:type="dxa"/>
                  <w:vAlign w:val="top"/>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50.32</w:t>
                  </w:r>
                </w:p>
              </w:tc>
              <w:tc>
                <w:tcPr>
                  <w:tcW w:w="1308" w:type="dxa"/>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南边界外1m处</w:t>
                  </w:r>
                </w:p>
              </w:tc>
              <w:tc>
                <w:tcPr>
                  <w:tcW w:w="1003"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昼间</w:t>
                  </w:r>
                </w:p>
              </w:tc>
              <w:tc>
                <w:tcPr>
                  <w:tcW w:w="1306" w:type="dxa"/>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w:t>
                  </w:r>
                </w:p>
              </w:tc>
              <w:tc>
                <w:tcPr>
                  <w:tcW w:w="1306" w:type="dxa"/>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51.07</w:t>
                  </w:r>
                </w:p>
              </w:tc>
              <w:tc>
                <w:tcPr>
                  <w:tcW w:w="1307" w:type="dxa"/>
                  <w:vAlign w:val="top"/>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51.07</w:t>
                  </w:r>
                </w:p>
              </w:tc>
              <w:tc>
                <w:tcPr>
                  <w:tcW w:w="130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西边界外1m处</w:t>
                  </w:r>
                </w:p>
              </w:tc>
              <w:tc>
                <w:tcPr>
                  <w:tcW w:w="1003"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昼间</w:t>
                  </w:r>
                </w:p>
              </w:tc>
              <w:tc>
                <w:tcPr>
                  <w:tcW w:w="1306" w:type="dxa"/>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w:t>
                  </w:r>
                </w:p>
              </w:tc>
              <w:tc>
                <w:tcPr>
                  <w:tcW w:w="1306" w:type="dxa"/>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53.56</w:t>
                  </w:r>
                </w:p>
              </w:tc>
              <w:tc>
                <w:tcPr>
                  <w:tcW w:w="1307" w:type="dxa"/>
                  <w:vAlign w:val="top"/>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53.56</w:t>
                  </w:r>
                </w:p>
              </w:tc>
              <w:tc>
                <w:tcPr>
                  <w:tcW w:w="130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北边界外1m处</w:t>
                  </w:r>
                </w:p>
              </w:tc>
              <w:tc>
                <w:tcPr>
                  <w:tcW w:w="1003"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昼间</w:t>
                  </w:r>
                </w:p>
              </w:tc>
              <w:tc>
                <w:tcPr>
                  <w:tcW w:w="1306" w:type="dxa"/>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w:t>
                  </w:r>
                </w:p>
              </w:tc>
              <w:tc>
                <w:tcPr>
                  <w:tcW w:w="1306" w:type="dxa"/>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51.64</w:t>
                  </w:r>
                </w:p>
              </w:tc>
              <w:tc>
                <w:tcPr>
                  <w:tcW w:w="1307" w:type="dxa"/>
                  <w:vAlign w:val="top"/>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51.64</w:t>
                  </w:r>
                </w:p>
              </w:tc>
              <w:tc>
                <w:tcPr>
                  <w:tcW w:w="130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65</w:t>
                  </w:r>
                </w:p>
              </w:tc>
            </w:tr>
          </w:tbl>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由上述计算结果可知，本项目运营过程中产生的噪声经基础减振、厂房隔声及距离衰减后，厂界噪声贡献值满足《工业企业厂界环境噪声排放标准》（GB12348-2008）中的</w:t>
            </w:r>
            <w:r>
              <w:rPr>
                <w:rFonts w:hint="eastAsia" w:ascii="Times New Roman" w:hAnsi="Times New Roman" w:cs="Times New Roman"/>
                <w:color w:val="auto"/>
                <w:sz w:val="24"/>
                <w:szCs w:val="32"/>
                <w:vertAlign w:val="baseline"/>
                <w:lang w:val="en-US" w:eastAsia="zh-CN"/>
              </w:rPr>
              <w:t>3</w:t>
            </w:r>
            <w:r>
              <w:rPr>
                <w:rFonts w:hint="default" w:ascii="Times New Roman" w:hAnsi="Times New Roman" w:eastAsia="宋体" w:cs="Times New Roman"/>
                <w:color w:val="auto"/>
                <w:sz w:val="24"/>
                <w:szCs w:val="32"/>
                <w:vertAlign w:val="baseline"/>
                <w:lang w:val="en-US" w:eastAsia="zh-CN"/>
              </w:rPr>
              <w:t>类标准（昼间≤6</w:t>
            </w:r>
            <w:r>
              <w:rPr>
                <w:rFonts w:hint="eastAsia" w:ascii="Times New Roman" w:hAnsi="Times New Roman" w:cs="Times New Roman"/>
                <w:color w:val="auto"/>
                <w:sz w:val="24"/>
                <w:szCs w:val="32"/>
                <w:vertAlign w:val="baseline"/>
                <w:lang w:val="en-US" w:eastAsia="zh-CN"/>
              </w:rPr>
              <w:t>5</w:t>
            </w:r>
            <w:r>
              <w:rPr>
                <w:rFonts w:hint="default" w:ascii="Times New Roman" w:hAnsi="Times New Roman" w:eastAsia="宋体" w:cs="Times New Roman"/>
                <w:color w:val="auto"/>
                <w:sz w:val="24"/>
                <w:szCs w:val="32"/>
                <w:vertAlign w:val="baseline"/>
                <w:lang w:val="en-US" w:eastAsia="zh-CN"/>
              </w:rPr>
              <w:t>dB(A)</w:t>
            </w:r>
            <w:r>
              <w:rPr>
                <w:rFonts w:hint="eastAsia" w:ascii="Times New Roman" w:hAnsi="Times New Roman" w:cs="Times New Roman"/>
                <w:color w:val="auto"/>
                <w:sz w:val="24"/>
                <w:szCs w:val="32"/>
                <w:vertAlign w:val="baseline"/>
                <w:lang w:val="en-US" w:eastAsia="zh-CN"/>
              </w:rPr>
              <w:t>、夜间</w:t>
            </w:r>
            <w:r>
              <w:rPr>
                <w:rFonts w:hint="default" w:ascii="Times New Roman" w:hAnsi="Times New Roman" w:eastAsia="宋体" w:cs="Times New Roman"/>
                <w:color w:val="auto"/>
                <w:sz w:val="24"/>
                <w:szCs w:val="32"/>
                <w:vertAlign w:val="baseline"/>
                <w:lang w:val="en-US" w:eastAsia="zh-CN"/>
              </w:rPr>
              <w:t>≤</w:t>
            </w:r>
            <w:r>
              <w:rPr>
                <w:rFonts w:hint="eastAsia" w:ascii="Times New Roman" w:hAnsi="Times New Roman" w:cs="Times New Roman"/>
                <w:color w:val="auto"/>
                <w:sz w:val="24"/>
                <w:szCs w:val="32"/>
                <w:vertAlign w:val="baseline"/>
                <w:lang w:val="en-US" w:eastAsia="zh-CN"/>
              </w:rPr>
              <w:t>55</w:t>
            </w:r>
            <w:r>
              <w:rPr>
                <w:rFonts w:hint="default" w:ascii="Times New Roman" w:hAnsi="Times New Roman" w:eastAsia="宋体" w:cs="Times New Roman"/>
                <w:color w:val="auto"/>
                <w:sz w:val="24"/>
                <w:szCs w:val="32"/>
                <w:vertAlign w:val="baseline"/>
                <w:lang w:val="en-US" w:eastAsia="zh-CN"/>
              </w:rPr>
              <w:t>dB(A)）。因此，本项目产生的噪声对周围声环境影响不大。</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项目噪声排放监测计划见下表。</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b/>
                <w:bCs/>
                <w:color w:val="auto"/>
                <w:sz w:val="21"/>
                <w:szCs w:val="24"/>
                <w:vertAlign w:val="baseline"/>
                <w:lang w:val="en-US" w:eastAsia="zh-CN"/>
              </w:rPr>
              <w:t>表4-</w:t>
            </w:r>
            <w:r>
              <w:rPr>
                <w:rFonts w:hint="eastAsia" w:ascii="Times New Roman" w:hAnsi="Times New Roman" w:cs="Times New Roman"/>
                <w:b/>
                <w:bCs/>
                <w:color w:val="auto"/>
                <w:sz w:val="21"/>
                <w:szCs w:val="24"/>
                <w:vertAlign w:val="baseline"/>
                <w:lang w:val="en-US" w:eastAsia="zh-CN"/>
              </w:rPr>
              <w:t xml:space="preserve">15 </w:t>
            </w:r>
            <w:r>
              <w:rPr>
                <w:rFonts w:hint="default" w:ascii="Times New Roman" w:hAnsi="Times New Roman" w:eastAsia="宋体" w:cs="Times New Roman"/>
                <w:b/>
                <w:bCs/>
                <w:color w:val="auto"/>
                <w:sz w:val="21"/>
                <w:szCs w:val="24"/>
                <w:vertAlign w:val="baseline"/>
                <w:lang w:val="en-US" w:eastAsia="zh-CN"/>
              </w:rPr>
              <w:t xml:space="preserve"> 监测计划内容一览表</w:t>
            </w:r>
          </w:p>
          <w:tbl>
            <w:tblPr>
              <w:tblStyle w:val="15"/>
              <w:tblW w:w="7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11"/>
              <w:gridCol w:w="1258"/>
              <w:gridCol w:w="1096"/>
              <w:gridCol w:w="3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监测内容</w:t>
                  </w:r>
                </w:p>
              </w:tc>
              <w:tc>
                <w:tcPr>
                  <w:tcW w:w="91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监测位置</w:t>
                  </w:r>
                </w:p>
              </w:tc>
              <w:tc>
                <w:tcPr>
                  <w:tcW w:w="12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监测项目</w:t>
                  </w:r>
                </w:p>
              </w:tc>
              <w:tc>
                <w:tcPr>
                  <w:tcW w:w="109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监测频率</w:t>
                  </w:r>
                </w:p>
              </w:tc>
              <w:tc>
                <w:tcPr>
                  <w:tcW w:w="387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bottom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噪声</w:t>
                  </w:r>
                </w:p>
              </w:tc>
              <w:tc>
                <w:tcPr>
                  <w:tcW w:w="911" w:type="dxa"/>
                  <w:tcBorders>
                    <w:bottom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边界外1m</w:t>
                  </w:r>
                </w:p>
              </w:tc>
              <w:tc>
                <w:tcPr>
                  <w:tcW w:w="1258" w:type="dxa"/>
                  <w:tcBorders>
                    <w:bottom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等效连续A声级</w:t>
                  </w:r>
                </w:p>
              </w:tc>
              <w:tc>
                <w:tcPr>
                  <w:tcW w:w="1096" w:type="dxa"/>
                  <w:tcBorders>
                    <w:bottom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1次/季度</w:t>
                  </w:r>
                </w:p>
              </w:tc>
              <w:tc>
                <w:tcPr>
                  <w:tcW w:w="3878" w:type="dxa"/>
                  <w:tcBorders>
                    <w:bottom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《工业企业边界环境噪声排放标准》（GB12348-2008）的</w:t>
                  </w:r>
                  <w:r>
                    <w:rPr>
                      <w:rFonts w:hint="eastAsia" w:ascii="Times New Roman" w:hAnsi="Times New Roman" w:cs="Times New Roman"/>
                      <w:color w:val="auto"/>
                      <w:sz w:val="21"/>
                      <w:szCs w:val="24"/>
                      <w:vertAlign w:val="baseline"/>
                      <w:lang w:val="en-US" w:eastAsia="zh-CN"/>
                    </w:rPr>
                    <w:t>3</w:t>
                  </w:r>
                  <w:r>
                    <w:rPr>
                      <w:rFonts w:hint="default" w:ascii="Times New Roman" w:hAnsi="Times New Roman" w:eastAsia="宋体" w:cs="Times New Roman"/>
                      <w:color w:val="auto"/>
                      <w:sz w:val="21"/>
                      <w:szCs w:val="24"/>
                      <w:vertAlign w:val="baseline"/>
                      <w:lang w:val="en-US" w:eastAsia="zh-CN"/>
                    </w:rPr>
                    <w:t>类标准</w:t>
                  </w:r>
                </w:p>
              </w:tc>
            </w:tr>
          </w:tbl>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（四）固体废物</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（1）固废产生情况</w:t>
            </w:r>
          </w:p>
          <w:p>
            <w:pPr>
              <w:pageBreakBefore w:val="0"/>
              <w:kinsoku/>
              <w:wordWrap/>
              <w:overflowPunct/>
              <w:bidi w:val="0"/>
              <w:adjustRightInd/>
              <w:snapToGrid/>
              <w:spacing w:line="360" w:lineRule="auto"/>
              <w:ind w:firstLine="480" w:firstLineChars="200"/>
              <w:rPr>
                <w:rFonts w:hint="default" w:ascii="Times New Roman" w:hAnsi="Times New Roman" w:eastAsia="宋体" w:cs="Times New Roman"/>
                <w:b/>
                <w:bCs/>
                <w:color w:val="auto"/>
                <w:sz w:val="28"/>
                <w:szCs w:val="28"/>
              </w:rPr>
            </w:pPr>
            <w:r>
              <w:rPr>
                <w:rFonts w:hint="default" w:ascii="Times New Roman" w:hAnsi="Times New Roman" w:eastAsia="宋体" w:cs="Times New Roman"/>
                <w:color w:val="auto"/>
                <w:sz w:val="24"/>
                <w:szCs w:val="32"/>
                <w:vertAlign w:val="baseline"/>
                <w:lang w:val="en-US" w:eastAsia="zh-CN"/>
              </w:rPr>
              <w:t>本项目固体废物主要为</w:t>
            </w:r>
            <w:r>
              <w:rPr>
                <w:rFonts w:hint="eastAsia" w:ascii="Times New Roman" w:hAnsi="Times New Roman" w:eastAsia="宋体" w:cs="Times New Roman"/>
                <w:color w:val="auto"/>
                <w:sz w:val="24"/>
                <w:lang w:eastAsia="zh-CN"/>
              </w:rPr>
              <w:t>除尘器收集粉尘、</w:t>
            </w:r>
            <w:r>
              <w:rPr>
                <w:rFonts w:hint="eastAsia" w:ascii="Times New Roman" w:hAnsi="Times New Roman" w:cs="Times New Roman"/>
                <w:color w:val="auto"/>
                <w:sz w:val="24"/>
                <w:lang w:eastAsia="zh-CN"/>
              </w:rPr>
              <w:t>废包装桶</w:t>
            </w:r>
            <w:r>
              <w:rPr>
                <w:rFonts w:hint="eastAsia" w:ascii="Times New Roman" w:hAnsi="Times New Roman" w:eastAsia="宋体" w:cs="Times New Roman"/>
                <w:color w:val="auto"/>
                <w:sz w:val="24"/>
                <w:lang w:eastAsia="zh-CN"/>
              </w:rPr>
              <w:t>、</w:t>
            </w:r>
            <w:r>
              <w:rPr>
                <w:rFonts w:hint="eastAsia" w:ascii="Times New Roman" w:hAnsi="Times New Roman" w:cs="Times New Roman"/>
                <w:color w:val="auto"/>
                <w:sz w:val="24"/>
                <w:lang w:eastAsia="zh-CN"/>
              </w:rPr>
              <w:t>废包装袋</w:t>
            </w:r>
            <w:r>
              <w:rPr>
                <w:rFonts w:hint="default" w:ascii="Times New Roman" w:hAnsi="Times New Roman" w:eastAsia="宋体" w:cs="Times New Roman"/>
                <w:color w:val="auto"/>
                <w:sz w:val="24"/>
              </w:rPr>
              <w:t>。</w:t>
            </w:r>
          </w:p>
          <w:p>
            <w:pPr>
              <w:pageBreakBefore w:val="0"/>
              <w:kinsoku/>
              <w:wordWrap/>
              <w:overflowPunct/>
              <w:bidi w:val="0"/>
              <w:adjustRightInd/>
              <w:snapToGrid/>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①除尘器收集粉尘</w:t>
            </w:r>
          </w:p>
          <w:p>
            <w:pPr>
              <w:pageBreakBefore w:val="0"/>
              <w:kinsoku/>
              <w:wordWrap/>
              <w:overflowPunct/>
              <w:bidi w:val="0"/>
              <w:adjustRightInd/>
              <w:snapToGrid/>
              <w:spacing w:line="360" w:lineRule="auto"/>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根据前文工程分析，投料、混合粉尘收集量为5.622t/a，收集后回用于生产；烘干粉尘收集量为6.93t/a，收集后作为产品外售。</w:t>
            </w:r>
          </w:p>
          <w:p>
            <w:pPr>
              <w:pageBreakBefore w:val="0"/>
              <w:kinsoku/>
              <w:wordWrap/>
              <w:overflowPunct/>
              <w:bidi w:val="0"/>
              <w:adjustRightInd/>
              <w:snapToGrid/>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②</w:t>
            </w:r>
            <w:r>
              <w:rPr>
                <w:rFonts w:hint="eastAsia" w:ascii="Times New Roman" w:hAnsi="Times New Roman" w:cs="Times New Roman"/>
                <w:color w:val="auto"/>
                <w:sz w:val="24"/>
                <w:lang w:val="en-US" w:eastAsia="zh-CN"/>
              </w:rPr>
              <w:t>废包装袋</w:t>
            </w:r>
          </w:p>
          <w:p>
            <w:pPr>
              <w:pageBreakBefore w:val="0"/>
              <w:kinsoku/>
              <w:wordWrap/>
              <w:overflowPunct/>
              <w:bidi w:val="0"/>
              <w:adjustRightInd/>
              <w:snapToGrid/>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项目</w:t>
            </w:r>
            <w:r>
              <w:rPr>
                <w:rFonts w:hint="eastAsia" w:ascii="Times New Roman" w:hAnsi="Times New Roman" w:cs="Times New Roman"/>
                <w:color w:val="auto"/>
                <w:sz w:val="24"/>
                <w:lang w:val="en-US" w:eastAsia="zh-CN"/>
              </w:rPr>
              <w:t>原料及产品</w:t>
            </w:r>
            <w:r>
              <w:rPr>
                <w:rFonts w:hint="eastAsia" w:ascii="Times New Roman" w:hAnsi="Times New Roman" w:eastAsia="宋体" w:cs="Times New Roman"/>
                <w:color w:val="auto"/>
                <w:sz w:val="24"/>
                <w:lang w:val="en-US" w:eastAsia="zh-CN"/>
              </w:rPr>
              <w:t>，</w:t>
            </w:r>
            <w:r>
              <w:rPr>
                <w:rFonts w:hint="eastAsia" w:ascii="Times New Roman" w:hAnsi="Times New Roman" w:cs="Times New Roman"/>
                <w:color w:val="auto"/>
                <w:sz w:val="24"/>
                <w:lang w:val="en-US" w:eastAsia="zh-CN"/>
              </w:rPr>
              <w:t>废包装袋</w:t>
            </w:r>
            <w:r>
              <w:rPr>
                <w:rFonts w:hint="eastAsia" w:ascii="Times New Roman" w:hAnsi="Times New Roman" w:eastAsia="宋体" w:cs="Times New Roman"/>
                <w:color w:val="auto"/>
                <w:sz w:val="24"/>
                <w:lang w:val="en-US" w:eastAsia="zh-CN"/>
              </w:rPr>
              <w:t>产生量约</w:t>
            </w:r>
            <w:r>
              <w:rPr>
                <w:rFonts w:hint="eastAsia" w:ascii="Times New Roman" w:hAnsi="Times New Roman" w:cs="Times New Roman"/>
                <w:color w:val="auto"/>
                <w:sz w:val="24"/>
                <w:lang w:val="en-US" w:eastAsia="zh-CN"/>
              </w:rPr>
              <w:t>5</w:t>
            </w:r>
            <w:r>
              <w:rPr>
                <w:rFonts w:hint="eastAsia" w:ascii="Times New Roman" w:hAnsi="Times New Roman" w:eastAsia="宋体" w:cs="Times New Roman"/>
                <w:color w:val="auto"/>
                <w:sz w:val="24"/>
                <w:lang w:val="en-US" w:eastAsia="zh-CN"/>
              </w:rPr>
              <w:t>t/a，经收集后外售。</w:t>
            </w:r>
          </w:p>
          <w:p>
            <w:pPr>
              <w:pageBreakBefore w:val="0"/>
              <w:kinsoku/>
              <w:wordWrap/>
              <w:overflowPunct/>
              <w:bidi w:val="0"/>
              <w:adjustRightInd/>
              <w:snapToGrid/>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③</w:t>
            </w:r>
            <w:r>
              <w:rPr>
                <w:rFonts w:hint="eastAsia" w:ascii="Times New Roman" w:hAnsi="Times New Roman" w:cs="Times New Roman"/>
                <w:color w:val="auto"/>
                <w:sz w:val="24"/>
                <w:lang w:val="en-US" w:eastAsia="zh-CN"/>
              </w:rPr>
              <w:t>废包装桶</w:t>
            </w:r>
          </w:p>
          <w:p>
            <w:pPr>
              <w:pageBreakBefore w:val="0"/>
              <w:kinsoku/>
              <w:wordWrap/>
              <w:overflowPunct/>
              <w:bidi w:val="0"/>
              <w:adjustRightInd/>
              <w:snapToGrid/>
              <w:spacing w:line="360" w:lineRule="auto"/>
              <w:ind w:firstLine="480" w:firstLineChars="200"/>
              <w:rPr>
                <w:rFonts w:hint="default" w:ascii="Times New Roman" w:hAnsi="Times New Roman" w:eastAsia="宋体" w:cs="Times New Roman"/>
                <w:color w:val="auto"/>
                <w:sz w:val="24"/>
                <w:u w:val="none"/>
                <w:lang w:val="en-US" w:eastAsia="zh-CN"/>
              </w:rPr>
            </w:pPr>
            <w:r>
              <w:rPr>
                <w:rFonts w:hint="eastAsia" w:ascii="Times New Roman" w:hAnsi="Times New Roman" w:cs="Times New Roman"/>
                <w:color w:val="auto"/>
                <w:sz w:val="24"/>
                <w:u w:val="none"/>
                <w:lang w:val="en-US" w:eastAsia="zh-CN"/>
              </w:rPr>
              <w:t>项目鱼溶浆及菌种为液态，均采用桶装，规格为50kg/桶，鱼溶浆使用量为500t/a，菌种使用量为280t/a</w:t>
            </w:r>
            <w:r>
              <w:rPr>
                <w:rFonts w:hint="eastAsia" w:ascii="Times New Roman" w:hAnsi="Times New Roman" w:eastAsia="宋体" w:cs="Times New Roman"/>
                <w:color w:val="auto"/>
                <w:sz w:val="24"/>
                <w:u w:val="none"/>
                <w:lang w:eastAsia="zh-CN"/>
              </w:rPr>
              <w:t>。</w:t>
            </w:r>
            <w:r>
              <w:rPr>
                <w:rFonts w:hint="eastAsia" w:ascii="Times New Roman" w:hAnsi="Times New Roman" w:cs="Times New Roman"/>
                <w:color w:val="auto"/>
                <w:sz w:val="24"/>
                <w:u w:val="none"/>
                <w:lang w:eastAsia="zh-CN"/>
              </w:rPr>
              <w:t>包装桶量为</w:t>
            </w:r>
            <w:r>
              <w:rPr>
                <w:rFonts w:hint="eastAsia" w:ascii="Times New Roman" w:hAnsi="Times New Roman" w:cs="Times New Roman"/>
                <w:color w:val="auto"/>
                <w:sz w:val="24"/>
                <w:u w:val="none"/>
                <w:lang w:val="en-US" w:eastAsia="zh-CN"/>
              </w:rPr>
              <w:t>15600桶/a，经收集后由厂家回收利用。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（2）固体废物处理措施及管理要求</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b w:val="0"/>
                <w:bCs w:val="0"/>
                <w:color w:val="auto"/>
                <w:sz w:val="24"/>
                <w:szCs w:val="24"/>
                <w:highlight w:val="none"/>
                <w:u w:val="none"/>
                <w:lang w:eastAsia="zh-CN"/>
              </w:rPr>
              <w:t>评价依托现有工程一般固废暂存间（</w:t>
            </w:r>
            <w:r>
              <w:rPr>
                <w:rFonts w:hint="eastAsia" w:ascii="Times New Roman" w:hAnsi="Times New Roman"/>
                <w:b w:val="0"/>
                <w:bCs w:val="0"/>
                <w:color w:val="auto"/>
                <w:sz w:val="24"/>
                <w:szCs w:val="24"/>
                <w:highlight w:val="none"/>
                <w:u w:val="none"/>
                <w:lang w:val="en-US" w:eastAsia="zh-CN"/>
              </w:rPr>
              <w:t>20m</w:t>
            </w:r>
            <w:r>
              <w:rPr>
                <w:rFonts w:hint="eastAsia" w:ascii="Times New Roman" w:hAnsi="Times New Roman"/>
                <w:b w:val="0"/>
                <w:bCs w:val="0"/>
                <w:color w:val="auto"/>
                <w:sz w:val="24"/>
                <w:szCs w:val="24"/>
                <w:highlight w:val="none"/>
                <w:u w:val="none"/>
                <w:vertAlign w:val="superscript"/>
                <w:lang w:val="en-US" w:eastAsia="zh-CN"/>
              </w:rPr>
              <w:t>2</w:t>
            </w:r>
            <w:r>
              <w:rPr>
                <w:rFonts w:hint="eastAsia" w:ascii="Times New Roman" w:hAnsi="Times New Roman"/>
                <w:b w:val="0"/>
                <w:bCs w:val="0"/>
                <w:color w:val="auto"/>
                <w:sz w:val="24"/>
                <w:szCs w:val="24"/>
                <w:highlight w:val="none"/>
                <w:u w:val="none"/>
                <w:lang w:eastAsia="zh-CN"/>
              </w:rPr>
              <w:t>），通过减少暂存周期，增大处理频率，能够满足本项目储存需求，且项目</w:t>
            </w:r>
            <w:r>
              <w:rPr>
                <w:rFonts w:hint="eastAsia" w:ascii="Times New Roman" w:hAnsi="Times New Roman" w:eastAsia="宋体"/>
                <w:b w:val="0"/>
                <w:bCs w:val="0"/>
                <w:color w:val="auto"/>
                <w:sz w:val="24"/>
                <w:szCs w:val="24"/>
                <w:highlight w:val="none"/>
                <w:u w:val="none"/>
              </w:rPr>
              <w:t>一般固体废物暂存场所的建设严格按照《一般工业固体废物贮存、处置场污染控制标准》（GB18599-2020）中的要求进行建设，加强入库固废管理；建设单位应建立固废档案管理制度，详细记录贮存的一般工业固废种类、数量、去向，长期保存，以便查阅。贮存场地面采取混凝土硬化，位于密闭的料库内，可以做到防渗、防雨淋和防流失，满足堆场要求</w:t>
            </w:r>
            <w:r>
              <w:rPr>
                <w:rFonts w:hint="default" w:ascii="Times New Roman" w:hAnsi="Times New Roman" w:eastAsia="宋体" w:cs="Times New Roman"/>
                <w:color w:val="auto"/>
                <w:sz w:val="24"/>
                <w:szCs w:val="32"/>
                <w:vertAlign w:val="baseli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4"/>
                <w:vertAlign w:val="baseline"/>
                <w:lang w:val="en-US" w:eastAsia="zh-CN"/>
              </w:rPr>
            </w:pPr>
            <w:r>
              <w:rPr>
                <w:rFonts w:hint="default" w:ascii="Times New Roman" w:hAnsi="Times New Roman" w:eastAsia="宋体" w:cs="Times New Roman"/>
                <w:b/>
                <w:bCs/>
                <w:color w:val="auto"/>
                <w:sz w:val="21"/>
                <w:szCs w:val="24"/>
                <w:vertAlign w:val="baseline"/>
                <w:lang w:val="en-US" w:eastAsia="zh-CN"/>
              </w:rPr>
              <w:t>表4-</w:t>
            </w:r>
            <w:r>
              <w:rPr>
                <w:rFonts w:hint="eastAsia" w:ascii="Times New Roman" w:hAnsi="Times New Roman" w:cs="Times New Roman"/>
                <w:b/>
                <w:bCs/>
                <w:color w:val="auto"/>
                <w:sz w:val="21"/>
                <w:szCs w:val="24"/>
                <w:vertAlign w:val="baseline"/>
                <w:lang w:val="en-US" w:eastAsia="zh-CN"/>
              </w:rPr>
              <w:t>16</w:t>
            </w:r>
            <w:r>
              <w:rPr>
                <w:rFonts w:hint="default" w:ascii="Times New Roman" w:hAnsi="Times New Roman" w:eastAsia="宋体" w:cs="Times New Roman"/>
                <w:b/>
                <w:bCs/>
                <w:color w:val="auto"/>
                <w:sz w:val="21"/>
                <w:szCs w:val="24"/>
                <w:vertAlign w:val="baseline"/>
                <w:lang w:val="en-US" w:eastAsia="zh-CN"/>
              </w:rPr>
              <w:t xml:space="preserve">  项目固体废物产生情况一览表</w:t>
            </w:r>
          </w:p>
          <w:tbl>
            <w:tblPr>
              <w:tblStyle w:val="14"/>
              <w:tblW w:w="7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07"/>
              <w:gridCol w:w="1222"/>
              <w:gridCol w:w="1264"/>
              <w:gridCol w:w="1082"/>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2" w:type="dxa"/>
                  <w:gridSpan w:val="2"/>
                  <w:noWrap w:val="0"/>
                  <w:vAlign w:val="center"/>
                </w:tcPr>
                <w:p>
                  <w:pPr>
                    <w:pStyle w:val="31"/>
                    <w:spacing w:line="360" w:lineRule="exact"/>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固废名称</w:t>
                  </w:r>
                </w:p>
              </w:tc>
              <w:tc>
                <w:tcPr>
                  <w:tcW w:w="1222" w:type="dxa"/>
                  <w:noWrap w:val="0"/>
                  <w:vAlign w:val="center"/>
                </w:tcPr>
                <w:p>
                  <w:pPr>
                    <w:pStyle w:val="31"/>
                    <w:spacing w:line="360" w:lineRule="exact"/>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产生工序</w:t>
                  </w:r>
                </w:p>
              </w:tc>
              <w:tc>
                <w:tcPr>
                  <w:tcW w:w="1264" w:type="dxa"/>
                  <w:noWrap w:val="0"/>
                  <w:vAlign w:val="center"/>
                </w:tcPr>
                <w:p>
                  <w:pPr>
                    <w:pStyle w:val="31"/>
                    <w:spacing w:line="360" w:lineRule="exact"/>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属性</w:t>
                  </w:r>
                </w:p>
              </w:tc>
              <w:tc>
                <w:tcPr>
                  <w:tcW w:w="1082" w:type="dxa"/>
                  <w:noWrap w:val="0"/>
                  <w:vAlign w:val="center"/>
                </w:tcPr>
                <w:p>
                  <w:pPr>
                    <w:pStyle w:val="31"/>
                    <w:spacing w:line="360" w:lineRule="exact"/>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产生量</w:t>
                  </w:r>
                </w:p>
              </w:tc>
              <w:tc>
                <w:tcPr>
                  <w:tcW w:w="2089" w:type="dxa"/>
                  <w:noWrap w:val="0"/>
                  <w:vAlign w:val="center"/>
                </w:tcPr>
                <w:p>
                  <w:pPr>
                    <w:pStyle w:val="31"/>
                    <w:spacing w:line="360" w:lineRule="exact"/>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处置去向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7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除尘器收集粉尘</w:t>
                  </w:r>
                </w:p>
              </w:tc>
              <w:tc>
                <w:tcPr>
                  <w:tcW w:w="13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投料、混合粉尘</w:t>
                  </w:r>
                </w:p>
              </w:tc>
              <w:tc>
                <w:tcPr>
                  <w:tcW w:w="1222" w:type="dxa"/>
                  <w:noWrap w:val="0"/>
                  <w:vAlign w:val="center"/>
                </w:tcPr>
                <w:p>
                  <w:pPr>
                    <w:pStyle w:val="31"/>
                    <w:spacing w:line="360" w:lineRule="exact"/>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生产过程</w:t>
                  </w:r>
                </w:p>
              </w:tc>
              <w:tc>
                <w:tcPr>
                  <w:tcW w:w="1264" w:type="dxa"/>
                  <w:noWrap w:val="0"/>
                  <w:vAlign w:val="center"/>
                </w:tcPr>
                <w:p>
                  <w:pPr>
                    <w:spacing w:line="36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一般固废</w:t>
                  </w:r>
                </w:p>
              </w:tc>
              <w:tc>
                <w:tcPr>
                  <w:tcW w:w="1082" w:type="dxa"/>
                  <w:noWrap w:val="0"/>
                  <w:vAlign w:val="center"/>
                </w:tcPr>
                <w:p>
                  <w:pPr>
                    <w:pStyle w:val="31"/>
                    <w:spacing w:line="360" w:lineRule="exact"/>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5.622t/a</w:t>
                  </w:r>
                </w:p>
              </w:tc>
              <w:tc>
                <w:tcPr>
                  <w:tcW w:w="2089" w:type="dxa"/>
                  <w:noWrap w:val="0"/>
                  <w:vAlign w:val="center"/>
                </w:tcPr>
                <w:p>
                  <w:pPr>
                    <w:pStyle w:val="31"/>
                    <w:spacing w:line="360" w:lineRule="exact"/>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收集后回用于生产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87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color w:val="auto"/>
                      <w:sz w:val="21"/>
                      <w:szCs w:val="21"/>
                      <w:highlight w:val="none"/>
                      <w:lang w:val="en-US" w:eastAsia="zh-CN"/>
                    </w:rPr>
                  </w:pPr>
                </w:p>
              </w:tc>
              <w:tc>
                <w:tcPr>
                  <w:tcW w:w="13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烘干粉尘</w:t>
                  </w:r>
                </w:p>
              </w:tc>
              <w:tc>
                <w:tcPr>
                  <w:tcW w:w="1222" w:type="dxa"/>
                  <w:noWrap w:val="0"/>
                  <w:vAlign w:val="center"/>
                </w:tcPr>
                <w:p>
                  <w:pPr>
                    <w:pStyle w:val="31"/>
                    <w:spacing w:line="360" w:lineRule="exact"/>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生产过程</w:t>
                  </w:r>
                </w:p>
              </w:tc>
              <w:tc>
                <w:tcPr>
                  <w:tcW w:w="1264" w:type="dxa"/>
                  <w:noWrap w:val="0"/>
                  <w:vAlign w:val="center"/>
                </w:tcPr>
                <w:p>
                  <w:pPr>
                    <w:spacing w:line="36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一般固废</w:t>
                  </w:r>
                </w:p>
              </w:tc>
              <w:tc>
                <w:tcPr>
                  <w:tcW w:w="1082" w:type="dxa"/>
                  <w:noWrap w:val="0"/>
                  <w:vAlign w:val="center"/>
                </w:tcPr>
                <w:p>
                  <w:pPr>
                    <w:pStyle w:val="31"/>
                    <w:spacing w:line="360" w:lineRule="exact"/>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6.93t/a</w:t>
                  </w:r>
                </w:p>
              </w:tc>
              <w:tc>
                <w:tcPr>
                  <w:tcW w:w="2089" w:type="dxa"/>
                  <w:noWrap w:val="0"/>
                  <w:vAlign w:val="center"/>
                </w:tcPr>
                <w:p>
                  <w:pPr>
                    <w:pStyle w:val="31"/>
                    <w:spacing w:line="360" w:lineRule="exact"/>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收集后作为产品外售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2182"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废包装袋</w:t>
                  </w:r>
                </w:p>
              </w:tc>
              <w:tc>
                <w:tcPr>
                  <w:tcW w:w="1222" w:type="dxa"/>
                  <w:noWrap w:val="0"/>
                  <w:vAlign w:val="center"/>
                </w:tcPr>
                <w:p>
                  <w:pPr>
                    <w:spacing w:line="360" w:lineRule="exact"/>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生产过程</w:t>
                  </w:r>
                </w:p>
              </w:tc>
              <w:tc>
                <w:tcPr>
                  <w:tcW w:w="1264" w:type="dxa"/>
                  <w:noWrap w:val="0"/>
                  <w:vAlign w:val="center"/>
                </w:tcPr>
                <w:p>
                  <w:pPr>
                    <w:spacing w:line="360" w:lineRule="exact"/>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一般固废</w:t>
                  </w:r>
                </w:p>
              </w:tc>
              <w:tc>
                <w:tcPr>
                  <w:tcW w:w="1082" w:type="dxa"/>
                  <w:noWrap w:val="0"/>
                  <w:vAlign w:val="center"/>
                </w:tcPr>
                <w:p>
                  <w:pPr>
                    <w:pStyle w:val="31"/>
                    <w:spacing w:line="360" w:lineRule="exact"/>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5t/a</w:t>
                  </w:r>
                </w:p>
              </w:tc>
              <w:tc>
                <w:tcPr>
                  <w:tcW w:w="2089" w:type="dxa"/>
                  <w:noWrap w:val="0"/>
                  <w:vAlign w:val="center"/>
                </w:tcPr>
                <w:p>
                  <w:pPr>
                    <w:pStyle w:val="31"/>
                    <w:spacing w:line="36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收集后外售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2182"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废包装桶</w:t>
                  </w:r>
                </w:p>
              </w:tc>
              <w:tc>
                <w:tcPr>
                  <w:tcW w:w="1222" w:type="dxa"/>
                  <w:noWrap w:val="0"/>
                  <w:vAlign w:val="center"/>
                </w:tcPr>
                <w:p>
                  <w:pPr>
                    <w:spacing w:line="360" w:lineRule="exact"/>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生产过程</w:t>
                  </w:r>
                </w:p>
              </w:tc>
              <w:tc>
                <w:tcPr>
                  <w:tcW w:w="1264" w:type="dxa"/>
                  <w:noWrap w:val="0"/>
                  <w:vAlign w:val="center"/>
                </w:tcPr>
                <w:p>
                  <w:pPr>
                    <w:spacing w:line="360" w:lineRule="exact"/>
                    <w:ind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一般固废</w:t>
                  </w:r>
                </w:p>
              </w:tc>
              <w:tc>
                <w:tcPr>
                  <w:tcW w:w="1082" w:type="dxa"/>
                  <w:noWrap w:val="0"/>
                  <w:vAlign w:val="center"/>
                </w:tcPr>
                <w:p>
                  <w:pPr>
                    <w:pStyle w:val="31"/>
                    <w:spacing w:line="360" w:lineRule="exact"/>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15600桶/a</w:t>
                  </w:r>
                </w:p>
              </w:tc>
              <w:tc>
                <w:tcPr>
                  <w:tcW w:w="2089" w:type="dxa"/>
                  <w:noWrap w:val="0"/>
                  <w:vAlign w:val="center"/>
                </w:tcPr>
                <w:p>
                  <w:pPr>
                    <w:pStyle w:val="31"/>
                    <w:spacing w:line="360" w:lineRule="exact"/>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由厂家回收利用</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u w:val="none"/>
              </w:rPr>
            </w:pPr>
            <w:r>
              <w:rPr>
                <w:rFonts w:hint="eastAsia" w:ascii="Times New Roman" w:hAnsi="Times New Roman" w:eastAsia="宋体"/>
                <w:b w:val="0"/>
                <w:bCs w:val="0"/>
                <w:color w:val="auto"/>
                <w:sz w:val="24"/>
                <w:szCs w:val="24"/>
                <w:highlight w:val="none"/>
                <w:u w:val="none"/>
              </w:rPr>
              <w:t>采取上述</w:t>
            </w:r>
            <w:r>
              <w:rPr>
                <w:rFonts w:hint="eastAsia" w:ascii="Times New Roman" w:hAnsi="Times New Roman" w:eastAsia="宋体"/>
                <w:b w:val="0"/>
                <w:bCs w:val="0"/>
                <w:color w:val="auto"/>
                <w:sz w:val="24"/>
                <w:szCs w:val="24"/>
                <w:highlight w:val="none"/>
                <w:u w:val="none"/>
                <w:lang w:eastAsia="zh-CN"/>
              </w:rPr>
              <w:t>危废</w:t>
            </w:r>
            <w:r>
              <w:rPr>
                <w:rFonts w:hint="eastAsia" w:ascii="Times New Roman" w:hAnsi="Times New Roman" w:eastAsia="宋体"/>
                <w:b w:val="0"/>
                <w:bCs w:val="0"/>
                <w:color w:val="auto"/>
                <w:sz w:val="24"/>
                <w:szCs w:val="24"/>
                <w:highlight w:val="none"/>
                <w:u w:val="none"/>
              </w:rPr>
              <w:t>废物处理措施后，项目</w:t>
            </w:r>
            <w:r>
              <w:rPr>
                <w:rFonts w:hint="eastAsia" w:ascii="Times New Roman" w:hAnsi="Times New Roman" w:eastAsia="宋体"/>
                <w:b w:val="0"/>
                <w:bCs w:val="0"/>
                <w:color w:val="auto"/>
                <w:sz w:val="24"/>
                <w:szCs w:val="24"/>
                <w:highlight w:val="none"/>
                <w:u w:val="none"/>
                <w:lang w:eastAsia="zh-CN"/>
              </w:rPr>
              <w:t>危险废物在</w:t>
            </w:r>
            <w:r>
              <w:rPr>
                <w:rFonts w:hint="eastAsia" w:ascii="Times New Roman" w:hAnsi="Times New Roman" w:eastAsia="宋体"/>
                <w:b w:val="0"/>
                <w:bCs w:val="0"/>
                <w:color w:val="auto"/>
                <w:sz w:val="24"/>
                <w:szCs w:val="24"/>
                <w:highlight w:val="none"/>
                <w:u w:val="none"/>
              </w:rPr>
              <w:t>营运</w:t>
            </w:r>
            <w:r>
              <w:rPr>
                <w:rFonts w:hint="eastAsia" w:ascii="Times New Roman" w:hAnsi="Times New Roman" w:eastAsia="宋体"/>
                <w:b w:val="0"/>
                <w:bCs w:val="0"/>
                <w:color w:val="auto"/>
                <w:sz w:val="24"/>
                <w:szCs w:val="24"/>
                <w:highlight w:val="none"/>
                <w:u w:val="none"/>
                <w:lang w:eastAsia="zh-CN"/>
              </w:rPr>
              <w:t>期</w:t>
            </w:r>
            <w:r>
              <w:rPr>
                <w:rFonts w:hint="eastAsia" w:ascii="Times New Roman" w:hAnsi="Times New Roman" w:eastAsia="宋体"/>
                <w:b w:val="0"/>
                <w:bCs w:val="0"/>
                <w:color w:val="auto"/>
                <w:sz w:val="24"/>
                <w:szCs w:val="24"/>
                <w:highlight w:val="none"/>
                <w:u w:val="none"/>
              </w:rPr>
              <w:t>对周边环境影响较小</w:t>
            </w:r>
            <w:r>
              <w:rPr>
                <w:rFonts w:hint="default" w:ascii="Times New Roman" w:hAnsi="Times New Roman" w:eastAsia="宋体" w:cs="Times New Roman"/>
                <w:b w:val="0"/>
                <w:bCs w:val="0"/>
                <w:color w:val="auto"/>
                <w:sz w:val="24"/>
                <w:u w:val="none"/>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（五）土壤</w:t>
            </w:r>
            <w:r>
              <w:rPr>
                <w:rFonts w:hint="eastAsia" w:ascii="Times New Roman" w:hAnsi="Times New Roman" w:cs="Times New Roman"/>
                <w:b/>
                <w:bCs/>
                <w:color w:val="auto"/>
                <w:sz w:val="24"/>
                <w:szCs w:val="32"/>
                <w:vertAlign w:val="baseline"/>
                <w:lang w:val="en-US" w:eastAsia="zh-CN"/>
              </w:rPr>
              <w:t>和地下水环境影响和保护措施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Times New Roman" w:hAnsi="Times New Roman" w:cs="Times New Roman"/>
                <w:bCs/>
                <w:color w:val="auto"/>
                <w:sz w:val="24"/>
                <w:szCs w:val="24"/>
                <w:highlight w:val="none"/>
                <w:u w:val="none"/>
                <w:lang w:val="en-US" w:eastAsia="zh-CN"/>
              </w:rPr>
            </w:pPr>
            <w:r>
              <w:rPr>
                <w:rFonts w:hint="eastAsia" w:ascii="Times New Roman" w:hAnsi="Times New Roman" w:cs="Times New Roman"/>
                <w:bCs/>
                <w:color w:val="auto"/>
                <w:sz w:val="24"/>
                <w:szCs w:val="24"/>
                <w:highlight w:val="none"/>
                <w:u w:val="none"/>
                <w:lang w:val="en-US" w:eastAsia="zh-CN"/>
              </w:rPr>
              <w:t>本项目生产车间地面均采用防渗处理，离心出的母液采用储罐贮存，储罐区设置围堰并做防渗处理。一般固体废物暂存间内采取相应的防渗、防泄漏措施，不存在污染地下水和土壤的污染途径，不会对区域的地下水和土壤造成影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Times New Roman" w:hAnsi="Times New Roman" w:cs="Times New Roman"/>
                <w:bCs/>
                <w:color w:val="auto"/>
                <w:sz w:val="24"/>
                <w:szCs w:val="24"/>
                <w:highlight w:val="none"/>
                <w:u w:val="none"/>
                <w:lang w:val="en-US" w:eastAsia="zh-CN"/>
              </w:rPr>
            </w:pPr>
            <w:r>
              <w:rPr>
                <w:rFonts w:hint="eastAsia" w:ascii="Times New Roman" w:hAnsi="Times New Roman" w:cs="Times New Roman"/>
                <w:bCs/>
                <w:color w:val="auto"/>
                <w:sz w:val="24"/>
                <w:szCs w:val="24"/>
                <w:highlight w:val="none"/>
                <w:u w:val="none"/>
                <w:lang w:val="en-US" w:eastAsia="zh-CN"/>
              </w:rPr>
              <w:t>结合本项目特点，本次评价建议企业采取如下土壤及地下水保护措施：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Times New Roman" w:hAnsi="Times New Roman" w:cs="Times New Roman"/>
                <w:bCs/>
                <w:color w:val="auto"/>
                <w:sz w:val="24"/>
                <w:szCs w:val="24"/>
                <w:highlight w:val="none"/>
                <w:u w:val="none"/>
                <w:lang w:val="en-US" w:eastAsia="zh-CN"/>
              </w:rPr>
            </w:pPr>
            <w:r>
              <w:rPr>
                <w:rFonts w:hint="eastAsia" w:ascii="Times New Roman" w:hAnsi="Times New Roman" w:cs="Times New Roman"/>
                <w:bCs/>
                <w:color w:val="auto"/>
                <w:sz w:val="24"/>
                <w:szCs w:val="24"/>
                <w:highlight w:val="none"/>
                <w:u w:val="none"/>
                <w:lang w:val="en-US" w:eastAsia="zh-CN"/>
              </w:rPr>
              <w:t>（1）尽可能采用新包装桶盛装原料，原料全部进入仓库内暂存，项目使用物料分区贮存、液态物料贮存区设围堰，仓库地面及围堰做防腐防渗处理，如发生泄漏，首先泄漏在原料仓库内，不会地面漫流至仓库外进入土壤和地下水，并避免大批量存放；营运期在生产区域、危废暂存间地面做防腐防渗处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Times New Roman" w:hAnsi="Times New Roman" w:cs="Times New Roman"/>
                <w:bCs/>
                <w:color w:val="auto"/>
                <w:sz w:val="24"/>
                <w:szCs w:val="24"/>
                <w:highlight w:val="none"/>
                <w:u w:val="none"/>
                <w:lang w:val="en-US" w:eastAsia="zh-CN"/>
              </w:rPr>
            </w:pPr>
            <w:r>
              <w:rPr>
                <w:rFonts w:hint="eastAsia" w:ascii="Times New Roman" w:hAnsi="Times New Roman" w:cs="Times New Roman"/>
                <w:bCs/>
                <w:color w:val="auto"/>
                <w:sz w:val="24"/>
                <w:szCs w:val="24"/>
                <w:highlight w:val="none"/>
                <w:u w:val="none"/>
                <w:lang w:val="en-US" w:eastAsia="zh-CN"/>
              </w:rPr>
              <w:t>（2）厂区硬化；生产过程均在车间内进行，避免露天作业、雨水冲刷；一般固废暂存仓应满足《一般工业固体废物贮存和填埋污染控制标准》（GB18599-2020）要求，贮存过程满足防渗漏、防雨淋、防扬尘等要求。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Times New Roman" w:hAnsi="Times New Roman" w:cs="Times New Roman"/>
                <w:bCs/>
                <w:color w:val="auto"/>
                <w:sz w:val="24"/>
                <w:szCs w:val="24"/>
                <w:highlight w:val="none"/>
                <w:u w:val="none"/>
                <w:lang w:val="en-US" w:eastAsia="zh-CN"/>
              </w:rPr>
            </w:pPr>
            <w:r>
              <w:rPr>
                <w:rFonts w:hint="eastAsia" w:ascii="Times New Roman" w:hAnsi="Times New Roman" w:cs="Times New Roman"/>
                <w:bCs/>
                <w:color w:val="auto"/>
                <w:sz w:val="24"/>
                <w:szCs w:val="24"/>
                <w:highlight w:val="none"/>
                <w:u w:val="none"/>
                <w:lang w:val="en-US" w:eastAsia="zh-CN"/>
              </w:rPr>
              <w:t>（3）公司应及时申领排污许可证，依据排污许可证相关要求进行监测。企业营运过程中制定土壤自行监测计划，定期对土壤质量进行监测，并严格执行《土壤污染防治法》中的下列要求：①严格控制有毒有害物质排放，并按年度向生态环境主管局报告排放情况；②建立土壤污染隐患排查制度，保证持续有效防止有毒有害物质渗漏、流失、扬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Times New Roman" w:hAnsi="Times New Roman" w:cs="Times New Roman"/>
                <w:bCs/>
                <w:color w:val="auto"/>
                <w:sz w:val="24"/>
                <w:szCs w:val="24"/>
                <w:highlight w:val="none"/>
                <w:u w:val="none"/>
                <w:lang w:val="en-US" w:eastAsia="zh-CN"/>
              </w:rPr>
            </w:pPr>
            <w:r>
              <w:rPr>
                <w:rFonts w:hint="eastAsia" w:ascii="Times New Roman" w:hAnsi="Times New Roman" w:cs="Times New Roman"/>
                <w:bCs/>
                <w:color w:val="auto"/>
                <w:sz w:val="24"/>
                <w:szCs w:val="24"/>
                <w:highlight w:val="none"/>
                <w:u w:val="none"/>
                <w:lang w:val="en-US" w:eastAsia="zh-CN"/>
              </w:rPr>
              <w:t>（4）参照《环境影响评价技术导则 地下水环境》（HJ610-2016），结合项目水文地质条件，在厂区设置监测点，必要时在地下水流向上游设置背景监测点。监测因子：pH、耗氧量、氨氮。监测频率：每5年监测1次。</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（六）污染物产排“三本账”</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扩</w:t>
            </w:r>
            <w:r>
              <w:rPr>
                <w:rFonts w:hint="eastAsia" w:ascii="Times New Roman" w:hAnsi="Times New Roman" w:eastAsia="宋体" w:cs="Times New Roman"/>
                <w:b w:val="0"/>
                <w:bCs w:val="0"/>
                <w:color w:val="auto"/>
                <w:sz w:val="24"/>
                <w:szCs w:val="24"/>
                <w:highlight w:val="none"/>
                <w:lang w:val="en-US" w:eastAsia="zh-CN"/>
              </w:rPr>
              <w:t>建完成后，全厂各污染物产品“三本账”详见下表。</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4"/>
                <w:vertAlign w:val="baseline"/>
                <w:lang w:val="en-US" w:eastAsia="zh-CN"/>
              </w:rPr>
            </w:pPr>
            <w:r>
              <w:rPr>
                <w:rFonts w:hint="default" w:ascii="Times New Roman" w:hAnsi="Times New Roman" w:eastAsia="宋体" w:cs="Times New Roman"/>
                <w:b/>
                <w:bCs/>
                <w:color w:val="auto"/>
                <w:sz w:val="21"/>
                <w:szCs w:val="24"/>
                <w:vertAlign w:val="baseline"/>
                <w:lang w:val="en-US" w:eastAsia="zh-CN"/>
              </w:rPr>
              <w:t>表4-</w:t>
            </w:r>
            <w:r>
              <w:rPr>
                <w:rFonts w:hint="eastAsia" w:ascii="Times New Roman" w:hAnsi="Times New Roman" w:cs="Times New Roman"/>
                <w:b/>
                <w:bCs/>
                <w:color w:val="auto"/>
                <w:sz w:val="21"/>
                <w:szCs w:val="24"/>
                <w:vertAlign w:val="baseline"/>
                <w:lang w:val="en-US" w:eastAsia="zh-CN"/>
              </w:rPr>
              <w:t>17</w:t>
            </w:r>
            <w:r>
              <w:rPr>
                <w:rFonts w:hint="default" w:ascii="Times New Roman" w:hAnsi="Times New Roman" w:eastAsia="宋体" w:cs="Times New Roman"/>
                <w:b/>
                <w:bCs/>
                <w:color w:val="auto"/>
                <w:sz w:val="21"/>
                <w:szCs w:val="24"/>
                <w:vertAlign w:val="baseline"/>
                <w:lang w:val="en-US" w:eastAsia="zh-CN"/>
              </w:rPr>
              <w:t xml:space="preserve">  项目“三本账”一览表</w:t>
            </w:r>
          </w:p>
          <w:tbl>
            <w:tblPr>
              <w:tblStyle w:val="15"/>
              <w:tblW w:w="7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173"/>
              <w:gridCol w:w="640"/>
              <w:gridCol w:w="913"/>
              <w:gridCol w:w="906"/>
              <w:gridCol w:w="858"/>
              <w:gridCol w:w="883"/>
              <w:gridCol w:w="1014"/>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项目</w:t>
                  </w:r>
                </w:p>
              </w:tc>
              <w:tc>
                <w:tcPr>
                  <w:tcW w:w="1173"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污染物</w:t>
                  </w:r>
                </w:p>
              </w:tc>
              <w:tc>
                <w:tcPr>
                  <w:tcW w:w="640"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单位</w:t>
                  </w:r>
                </w:p>
              </w:tc>
              <w:tc>
                <w:tcPr>
                  <w:tcW w:w="913"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现有工程实际排放量</w:t>
                  </w:r>
                </w:p>
              </w:tc>
              <w:tc>
                <w:tcPr>
                  <w:tcW w:w="906"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现有工程许可排放量</w:t>
                  </w:r>
                </w:p>
              </w:tc>
              <w:tc>
                <w:tcPr>
                  <w:tcW w:w="858"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本项目排放量</w:t>
                  </w:r>
                </w:p>
              </w:tc>
              <w:tc>
                <w:tcPr>
                  <w:tcW w:w="883"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“以新代老”削减量</w:t>
                  </w:r>
                </w:p>
              </w:tc>
              <w:tc>
                <w:tcPr>
                  <w:tcW w:w="1014"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项目完成后全厂排放量</w:t>
                  </w:r>
                </w:p>
              </w:tc>
              <w:tc>
                <w:tcPr>
                  <w:tcW w:w="1022"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增减量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430" w:type="dxa"/>
                  <w:vMerge w:val="restart"/>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废气</w:t>
                  </w:r>
                </w:p>
              </w:tc>
              <w:tc>
                <w:tcPr>
                  <w:tcW w:w="1173"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颗粒物</w:t>
                  </w:r>
                </w:p>
              </w:tc>
              <w:tc>
                <w:tcPr>
                  <w:tcW w:w="640"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t/a</w:t>
                  </w:r>
                </w:p>
              </w:tc>
              <w:tc>
                <w:tcPr>
                  <w:tcW w:w="913" w:type="dxa"/>
                  <w:vAlign w:val="center"/>
                </w:tcPr>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cs="Times New Roman"/>
                      <w:b w:val="0"/>
                      <w:bCs w:val="0"/>
                      <w:color w:val="auto"/>
                      <w:sz w:val="21"/>
                      <w:szCs w:val="21"/>
                      <w:highlight w:val="none"/>
                      <w:u w:val="none"/>
                      <w:vertAlign w:val="baseline"/>
                      <w:lang w:val="en-US" w:eastAsia="zh-CN"/>
                    </w:rPr>
                    <w:t>0.464</w:t>
                  </w:r>
                </w:p>
              </w:tc>
              <w:tc>
                <w:tcPr>
                  <w:tcW w:w="906"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w:t>
                  </w:r>
                </w:p>
              </w:tc>
              <w:tc>
                <w:tcPr>
                  <w:tcW w:w="8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b/>
                      <w:bCs/>
                      <w:color w:val="auto"/>
                      <w:sz w:val="21"/>
                      <w:szCs w:val="21"/>
                      <w:highlight w:val="none"/>
                      <w:u w:val="single"/>
                      <w:vertAlign w:val="baseline"/>
                      <w:lang w:val="en-US" w:eastAsia="zh-CN"/>
                    </w:rPr>
                  </w:pPr>
                  <w:r>
                    <w:rPr>
                      <w:rFonts w:hint="eastAsia" w:ascii="Times New Roman" w:hAnsi="Times New Roman" w:cs="Times New Roman"/>
                      <w:b/>
                      <w:bCs/>
                      <w:color w:val="auto"/>
                      <w:sz w:val="21"/>
                      <w:szCs w:val="21"/>
                      <w:highlight w:val="none"/>
                      <w:u w:val="single"/>
                      <w:vertAlign w:val="baseline"/>
                      <w:lang w:val="en-US" w:eastAsia="zh-CN"/>
                    </w:rPr>
                    <w:t>0.3092</w:t>
                  </w:r>
                </w:p>
              </w:tc>
              <w:tc>
                <w:tcPr>
                  <w:tcW w:w="883"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color w:val="auto"/>
                      <w:sz w:val="21"/>
                      <w:szCs w:val="21"/>
                      <w:highlight w:val="none"/>
                      <w:u w:val="single"/>
                      <w:vertAlign w:val="baseline"/>
                      <w:lang w:val="en-US" w:eastAsia="zh-CN"/>
                    </w:rPr>
                  </w:pPr>
                  <w:r>
                    <w:rPr>
                      <w:rFonts w:hint="eastAsia" w:ascii="Times New Roman" w:hAnsi="Times New Roman" w:cs="Times New Roman"/>
                      <w:b/>
                      <w:bCs/>
                      <w:color w:val="auto"/>
                      <w:sz w:val="21"/>
                      <w:szCs w:val="21"/>
                      <w:highlight w:val="none"/>
                      <w:u w:val="single"/>
                      <w:vertAlign w:val="baseline"/>
                      <w:lang w:val="en-US" w:eastAsia="zh-CN"/>
                    </w:rPr>
                    <w:t>/</w:t>
                  </w:r>
                </w:p>
              </w:tc>
              <w:tc>
                <w:tcPr>
                  <w:tcW w:w="1014"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color w:val="auto"/>
                      <w:sz w:val="21"/>
                      <w:szCs w:val="21"/>
                      <w:highlight w:val="none"/>
                      <w:u w:val="single"/>
                      <w:vertAlign w:val="baseline"/>
                      <w:lang w:val="en-US" w:eastAsia="zh-CN"/>
                    </w:rPr>
                  </w:pPr>
                  <w:r>
                    <w:rPr>
                      <w:rFonts w:hint="eastAsia" w:ascii="Times New Roman" w:hAnsi="Times New Roman" w:cs="Times New Roman"/>
                      <w:b/>
                      <w:bCs/>
                      <w:color w:val="auto"/>
                      <w:sz w:val="21"/>
                      <w:szCs w:val="21"/>
                      <w:highlight w:val="none"/>
                      <w:u w:val="single"/>
                      <w:vertAlign w:val="baseline"/>
                      <w:lang w:val="en-US" w:eastAsia="zh-CN"/>
                    </w:rPr>
                    <w:t>0.7732</w:t>
                  </w:r>
                </w:p>
              </w:tc>
              <w:tc>
                <w:tcPr>
                  <w:tcW w:w="10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b/>
                      <w:bCs/>
                      <w:color w:val="auto"/>
                      <w:sz w:val="21"/>
                      <w:szCs w:val="21"/>
                      <w:highlight w:val="none"/>
                      <w:u w:val="single"/>
                      <w:vertAlign w:val="baseline"/>
                      <w:lang w:val="en-US" w:eastAsia="zh-CN"/>
                    </w:rPr>
                  </w:pPr>
                  <w:r>
                    <w:rPr>
                      <w:rFonts w:hint="eastAsia" w:ascii="Times New Roman" w:hAnsi="Times New Roman" w:cs="Times New Roman"/>
                      <w:b/>
                      <w:bCs/>
                      <w:color w:val="auto"/>
                      <w:sz w:val="21"/>
                      <w:szCs w:val="21"/>
                      <w:highlight w:val="none"/>
                      <w:u w:val="single"/>
                      <w:vertAlign w:val="baseline"/>
                      <w:lang w:val="en-US" w:eastAsia="zh-CN"/>
                    </w:rPr>
                    <w:t>+0.3092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430" w:type="dxa"/>
                  <w:vMerge w:val="continue"/>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b w:val="0"/>
                      <w:bCs w:val="0"/>
                      <w:color w:val="auto"/>
                      <w:sz w:val="21"/>
                      <w:szCs w:val="21"/>
                      <w:highlight w:val="none"/>
                      <w:u w:val="none"/>
                      <w:vertAlign w:val="baseline"/>
                      <w:lang w:val="en-US" w:eastAsia="zh-CN"/>
                    </w:rPr>
                  </w:pPr>
                </w:p>
              </w:tc>
              <w:tc>
                <w:tcPr>
                  <w:tcW w:w="1173"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SO</w:t>
                  </w:r>
                  <w:r>
                    <w:rPr>
                      <w:rFonts w:hint="eastAsia" w:ascii="Times New Roman" w:hAnsi="Times New Roman" w:cs="Times New Roman"/>
                      <w:b w:val="0"/>
                      <w:bCs w:val="0"/>
                      <w:color w:val="auto"/>
                      <w:sz w:val="21"/>
                      <w:szCs w:val="21"/>
                      <w:highlight w:val="none"/>
                      <w:u w:val="none"/>
                      <w:vertAlign w:val="subscript"/>
                      <w:lang w:val="en-US" w:eastAsia="zh-CN"/>
                    </w:rPr>
                    <w:t>2</w:t>
                  </w:r>
                </w:p>
              </w:tc>
              <w:tc>
                <w:tcPr>
                  <w:tcW w:w="640"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t/a</w:t>
                  </w:r>
                </w:p>
              </w:tc>
              <w:tc>
                <w:tcPr>
                  <w:tcW w:w="913" w:type="dxa"/>
                  <w:vAlign w:val="center"/>
                </w:tcPr>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cs="Times New Roman"/>
                      <w:b w:val="0"/>
                      <w:bCs w:val="0"/>
                      <w:color w:val="auto"/>
                      <w:sz w:val="21"/>
                      <w:szCs w:val="21"/>
                      <w:highlight w:val="none"/>
                      <w:u w:val="none"/>
                      <w:vertAlign w:val="baseline"/>
                      <w:lang w:val="en-US" w:eastAsia="zh-CN"/>
                    </w:rPr>
                    <w:t>0.0073</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snapToGrid w:val="0"/>
                      <w:color w:val="auto"/>
                      <w:spacing w:val="0"/>
                      <w:kern w:val="21"/>
                      <w:sz w:val="21"/>
                      <w:szCs w:val="21"/>
                      <w:lang w:val="en-US" w:eastAsia="zh-CN"/>
                    </w:rPr>
                    <w:t>0.0073</w:t>
                  </w:r>
                </w:p>
              </w:tc>
              <w:tc>
                <w:tcPr>
                  <w:tcW w:w="8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w:t>
                  </w:r>
                </w:p>
              </w:tc>
              <w:tc>
                <w:tcPr>
                  <w:tcW w:w="883"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w:t>
                  </w:r>
                </w:p>
              </w:tc>
              <w:tc>
                <w:tcPr>
                  <w:tcW w:w="1014" w:type="dxa"/>
                  <w:vAlign w:val="center"/>
                </w:tcPr>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cs="Times New Roman"/>
                      <w:b w:val="0"/>
                      <w:bCs w:val="0"/>
                      <w:color w:val="auto"/>
                      <w:sz w:val="21"/>
                      <w:szCs w:val="21"/>
                      <w:highlight w:val="none"/>
                      <w:u w:val="none"/>
                      <w:vertAlign w:val="baseline"/>
                      <w:lang w:val="en-US" w:eastAsia="zh-CN"/>
                    </w:rPr>
                    <w:t>0.0073</w:t>
                  </w:r>
                </w:p>
              </w:tc>
              <w:tc>
                <w:tcPr>
                  <w:tcW w:w="10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430" w:type="dxa"/>
                  <w:vMerge w:val="continue"/>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b w:val="0"/>
                      <w:bCs w:val="0"/>
                      <w:color w:val="auto"/>
                      <w:sz w:val="21"/>
                      <w:szCs w:val="21"/>
                      <w:highlight w:val="none"/>
                      <w:u w:val="none"/>
                      <w:vertAlign w:val="baseline"/>
                      <w:lang w:val="en-US" w:eastAsia="zh-CN"/>
                    </w:rPr>
                  </w:pPr>
                </w:p>
              </w:tc>
              <w:tc>
                <w:tcPr>
                  <w:tcW w:w="1173"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NOx</w:t>
                  </w:r>
                </w:p>
              </w:tc>
              <w:tc>
                <w:tcPr>
                  <w:tcW w:w="640"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t/a</w:t>
                  </w:r>
                </w:p>
              </w:tc>
              <w:tc>
                <w:tcPr>
                  <w:tcW w:w="913" w:type="dxa"/>
                  <w:vAlign w:val="center"/>
                </w:tcPr>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cs="Times New Roman"/>
                      <w:b w:val="0"/>
                      <w:bCs w:val="0"/>
                      <w:color w:val="auto"/>
                      <w:sz w:val="21"/>
                      <w:szCs w:val="21"/>
                      <w:highlight w:val="none"/>
                      <w:u w:val="none"/>
                      <w:vertAlign w:val="baseline"/>
                      <w:lang w:val="en-US" w:eastAsia="zh-CN"/>
                    </w:rPr>
                    <w:t>0.1716</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snapToGrid w:val="0"/>
                      <w:color w:val="auto"/>
                      <w:spacing w:val="0"/>
                      <w:kern w:val="21"/>
                      <w:sz w:val="21"/>
                      <w:szCs w:val="21"/>
                      <w:lang w:val="en-US" w:eastAsia="zh-CN"/>
                    </w:rPr>
                    <w:t>0.173</w:t>
                  </w:r>
                </w:p>
              </w:tc>
              <w:tc>
                <w:tcPr>
                  <w:tcW w:w="8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w:t>
                  </w:r>
                </w:p>
              </w:tc>
              <w:tc>
                <w:tcPr>
                  <w:tcW w:w="883"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w:t>
                  </w:r>
                </w:p>
              </w:tc>
              <w:tc>
                <w:tcPr>
                  <w:tcW w:w="1014" w:type="dxa"/>
                  <w:vAlign w:val="center"/>
                </w:tcPr>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cs="Times New Roman"/>
                      <w:b w:val="0"/>
                      <w:bCs w:val="0"/>
                      <w:color w:val="auto"/>
                      <w:sz w:val="21"/>
                      <w:szCs w:val="21"/>
                      <w:highlight w:val="none"/>
                      <w:u w:val="none"/>
                      <w:vertAlign w:val="baseline"/>
                      <w:lang w:val="en-US" w:eastAsia="zh-CN"/>
                    </w:rPr>
                    <w:t>0.1716</w:t>
                  </w:r>
                </w:p>
              </w:tc>
              <w:tc>
                <w:tcPr>
                  <w:tcW w:w="10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vMerge w:val="restart"/>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固废</w:t>
                  </w:r>
                </w:p>
              </w:tc>
              <w:tc>
                <w:tcPr>
                  <w:tcW w:w="1173"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除尘器收集粉尘</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t/a</w:t>
                  </w:r>
                </w:p>
              </w:tc>
              <w:tc>
                <w:tcPr>
                  <w:tcW w:w="913"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15.84</w:t>
                  </w:r>
                </w:p>
              </w:tc>
              <w:tc>
                <w:tcPr>
                  <w:tcW w:w="906"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w:t>
                  </w:r>
                </w:p>
              </w:tc>
              <w:tc>
                <w:tcPr>
                  <w:tcW w:w="858"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12.552</w:t>
                  </w:r>
                </w:p>
              </w:tc>
              <w:tc>
                <w:tcPr>
                  <w:tcW w:w="883"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w:t>
                  </w:r>
                </w:p>
              </w:tc>
              <w:tc>
                <w:tcPr>
                  <w:tcW w:w="1014"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28.392</w:t>
                  </w:r>
                </w:p>
              </w:tc>
              <w:tc>
                <w:tcPr>
                  <w:tcW w:w="1022"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+12.552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0" w:type="dxa"/>
                  <w:vMerge w:val="continue"/>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p>
              </w:tc>
              <w:tc>
                <w:tcPr>
                  <w:tcW w:w="11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color w:val="auto"/>
                      <w:sz w:val="21"/>
                      <w:szCs w:val="21"/>
                      <w:highlight w:val="none"/>
                      <w:lang w:val="en-US" w:eastAsia="zh-CN"/>
                    </w:rPr>
                    <w:t>废包装袋</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t/a</w:t>
                  </w:r>
                </w:p>
              </w:tc>
              <w:tc>
                <w:tcPr>
                  <w:tcW w:w="913"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3.5</w:t>
                  </w:r>
                </w:p>
              </w:tc>
              <w:tc>
                <w:tcPr>
                  <w:tcW w:w="906"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w:t>
                  </w:r>
                </w:p>
              </w:tc>
              <w:tc>
                <w:tcPr>
                  <w:tcW w:w="858" w:type="dxa"/>
                  <w:vAlign w:val="center"/>
                </w:tcPr>
                <w:p>
                  <w:pPr>
                    <w:pStyle w:val="31"/>
                    <w:spacing w:line="360" w:lineRule="exact"/>
                    <w:ind w:firstLine="0" w:firstLineChars="0"/>
                    <w:jc w:val="center"/>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color w:val="auto"/>
                      <w:sz w:val="21"/>
                      <w:szCs w:val="21"/>
                      <w:highlight w:val="none"/>
                      <w:lang w:val="en-US" w:eastAsia="zh-CN"/>
                    </w:rPr>
                    <w:t>5</w:t>
                  </w:r>
                </w:p>
              </w:tc>
              <w:tc>
                <w:tcPr>
                  <w:tcW w:w="883"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w:t>
                  </w:r>
                </w:p>
              </w:tc>
              <w:tc>
                <w:tcPr>
                  <w:tcW w:w="1014"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8.5</w:t>
                  </w:r>
                </w:p>
              </w:tc>
              <w:tc>
                <w:tcPr>
                  <w:tcW w:w="1022" w:type="dxa"/>
                  <w:vAlign w:val="center"/>
                </w:tcPr>
                <w:p>
                  <w:pPr>
                    <w:pStyle w:val="31"/>
                    <w:spacing w:line="360" w:lineRule="exact"/>
                    <w:ind w:firstLine="0" w:firstLineChars="0"/>
                    <w:jc w:val="center"/>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vMerge w:val="continue"/>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p>
              </w:tc>
              <w:tc>
                <w:tcPr>
                  <w:tcW w:w="11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color w:val="auto"/>
                      <w:sz w:val="21"/>
                      <w:szCs w:val="21"/>
                      <w:highlight w:val="none"/>
                      <w:lang w:val="en-US" w:eastAsia="zh-CN"/>
                    </w:rPr>
                    <w:t>废包装桶</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color w:val="auto"/>
                      <w:sz w:val="21"/>
                      <w:szCs w:val="21"/>
                      <w:highlight w:val="none"/>
                      <w:lang w:val="en-US" w:eastAsia="zh-CN"/>
                    </w:rPr>
                    <w:t>桶/a</w:t>
                  </w:r>
                </w:p>
              </w:tc>
              <w:tc>
                <w:tcPr>
                  <w:tcW w:w="913"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w:t>
                  </w:r>
                </w:p>
              </w:tc>
              <w:tc>
                <w:tcPr>
                  <w:tcW w:w="906"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w:t>
                  </w:r>
                </w:p>
              </w:tc>
              <w:tc>
                <w:tcPr>
                  <w:tcW w:w="858" w:type="dxa"/>
                  <w:vAlign w:val="center"/>
                </w:tcPr>
                <w:p>
                  <w:pPr>
                    <w:pStyle w:val="31"/>
                    <w:spacing w:line="360" w:lineRule="exact"/>
                    <w:ind w:firstLine="0" w:firstLineChars="0"/>
                    <w:jc w:val="center"/>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color w:val="auto"/>
                      <w:sz w:val="21"/>
                      <w:szCs w:val="21"/>
                      <w:highlight w:val="none"/>
                      <w:lang w:val="en-US" w:eastAsia="zh-CN"/>
                    </w:rPr>
                    <w:t>15600</w:t>
                  </w:r>
                </w:p>
              </w:tc>
              <w:tc>
                <w:tcPr>
                  <w:tcW w:w="883"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w:t>
                  </w:r>
                </w:p>
              </w:tc>
              <w:tc>
                <w:tcPr>
                  <w:tcW w:w="1014"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15600</w:t>
                  </w:r>
                </w:p>
              </w:tc>
              <w:tc>
                <w:tcPr>
                  <w:tcW w:w="1022" w:type="dxa"/>
                  <w:vAlign w:val="center"/>
                </w:tcPr>
                <w:p>
                  <w:pPr>
                    <w:pStyle w:val="31"/>
                    <w:spacing w:line="360" w:lineRule="exact"/>
                    <w:ind w:firstLine="0" w:firstLineChars="0"/>
                    <w:jc w:val="center"/>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color w:val="auto"/>
                      <w:sz w:val="21"/>
                      <w:szCs w:val="21"/>
                      <w:highlight w:val="none"/>
                      <w:lang w:val="en-US" w:eastAsia="zh-CN"/>
                    </w:rPr>
                    <w:t>+15600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vMerge w:val="continue"/>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p>
              </w:tc>
              <w:tc>
                <w:tcPr>
                  <w:tcW w:w="11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生活垃圾</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t/a</w:t>
                  </w:r>
                </w:p>
              </w:tc>
              <w:tc>
                <w:tcPr>
                  <w:tcW w:w="913"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19.8</w:t>
                  </w:r>
                </w:p>
              </w:tc>
              <w:tc>
                <w:tcPr>
                  <w:tcW w:w="906"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w:t>
                  </w:r>
                </w:p>
              </w:tc>
              <w:tc>
                <w:tcPr>
                  <w:tcW w:w="858" w:type="dxa"/>
                  <w:vAlign w:val="center"/>
                </w:tcPr>
                <w:p>
                  <w:pPr>
                    <w:pStyle w:val="31"/>
                    <w:spacing w:line="360" w:lineRule="exact"/>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w:t>
                  </w:r>
                </w:p>
              </w:tc>
              <w:tc>
                <w:tcPr>
                  <w:tcW w:w="883"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w:t>
                  </w:r>
                </w:p>
              </w:tc>
              <w:tc>
                <w:tcPr>
                  <w:tcW w:w="1014"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19.8</w:t>
                  </w:r>
                </w:p>
              </w:tc>
              <w:tc>
                <w:tcPr>
                  <w:tcW w:w="1022" w:type="dxa"/>
                  <w:vAlign w:val="center"/>
                </w:tcPr>
                <w:p>
                  <w:pPr>
                    <w:pStyle w:val="31"/>
                    <w:spacing w:line="360" w:lineRule="exact"/>
                    <w:ind w:firstLine="0" w:firstLineChars="0"/>
                    <w:jc w:val="center"/>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color w:val="auto"/>
                      <w:sz w:val="21"/>
                      <w:szCs w:val="21"/>
                      <w:highlight w:val="none"/>
                      <w:lang w:val="en-US" w:eastAsia="zh-CN"/>
                    </w:rPr>
                    <w:t>0</w:t>
                  </w:r>
                </w:p>
              </w:tc>
            </w:tr>
          </w:tbl>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sz w:val="24"/>
                <w:szCs w:val="24"/>
                <w:highlight w:val="none"/>
                <w:lang w:val="en-US" w:eastAsia="zh-CN"/>
              </w:rPr>
            </w:pP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auto"/>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32"/>
                <w:vertAlign w:val="baseline"/>
                <w:lang w:val="en-US" w:eastAsia="zh-CN"/>
              </w:rPr>
            </w:pPr>
          </w:p>
        </w:tc>
      </w:tr>
    </w:tbl>
    <w:p>
      <w:pPr>
        <w:pStyle w:val="2"/>
        <w:rPr>
          <w:rFonts w:hint="default"/>
          <w:color w:val="auto"/>
          <w:lang w:val="en-US" w:eastAsia="zh-CN"/>
        </w:rPr>
        <w:sectPr>
          <w:pgSz w:w="11906" w:h="16838"/>
          <w:pgMar w:top="1440" w:right="1800" w:bottom="1440" w:left="1800" w:header="851" w:footer="992" w:gutter="0"/>
          <w:pgNumType w:fmt="decimal"/>
          <w:cols w:space="720" w:num="1"/>
          <w:docGrid w:type="lines" w:linePitch="312" w:charSpace="0"/>
        </w:sectPr>
      </w:pPr>
    </w:p>
    <w:p>
      <w:pPr>
        <w:jc w:val="center"/>
        <w:rPr>
          <w:rFonts w:hint="default"/>
          <w:color w:val="auto"/>
          <w:lang w:val="en-US" w:eastAsia="zh-CN"/>
        </w:rPr>
      </w:pPr>
      <w:r>
        <w:rPr>
          <w:rFonts w:hint="eastAsia" w:ascii="黑体" w:hAnsi="黑体" w:eastAsia="黑体" w:cs="黑体"/>
          <w:color w:val="auto"/>
          <w:sz w:val="28"/>
          <w:szCs w:val="36"/>
          <w:lang w:val="en-US" w:eastAsia="zh-CN"/>
        </w:rPr>
        <w:t>五、环境保护措施监督检查清单</w:t>
      </w:r>
    </w:p>
    <w:tbl>
      <w:tblPr>
        <w:tblStyle w:val="14"/>
        <w:tblW w:w="850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465"/>
        <w:gridCol w:w="1477"/>
        <w:gridCol w:w="1857"/>
        <w:gridCol w:w="26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8" w:type="dxa"/>
            <w:tcBorders>
              <w:tl2br w:val="single" w:color="auto" w:sz="4" w:space="0"/>
            </w:tcBorders>
            <w:noWrap w:val="0"/>
            <w:vAlign w:val="top"/>
          </w:tcPr>
          <w:p>
            <w:pPr>
              <w:keepNext w:val="0"/>
              <w:keepLines w:val="0"/>
              <w:pageBreakBefore w:val="0"/>
              <w:widowControl w:val="0"/>
              <w:tabs>
                <w:tab w:val="center" w:pos="360"/>
              </w:tabs>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auto"/>
                <w:spacing w:val="0"/>
                <w:kern w:val="21"/>
                <w:sz w:val="21"/>
                <w:szCs w:val="21"/>
                <w:lang w:val="en-US" w:eastAsia="zh-CN"/>
              </w:rPr>
            </w:pPr>
            <w:r>
              <w:rPr>
                <w:rFonts w:hint="eastAsia" w:ascii="Times New Roman" w:hAnsi="Times New Roman" w:cs="Times New Roman"/>
                <w:color w:val="auto"/>
                <w:spacing w:val="0"/>
                <w:kern w:val="21"/>
                <w:sz w:val="21"/>
                <w:szCs w:val="21"/>
                <w:lang w:val="en-US" w:eastAsia="zh-CN"/>
              </w:rPr>
              <w:t>内容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要素</w:t>
            </w:r>
          </w:p>
        </w:tc>
        <w:tc>
          <w:tcPr>
            <w:tcW w:w="14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排放口(编号、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名称)/污染源</w:t>
            </w: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污染物项目</w:t>
            </w:r>
          </w:p>
        </w:tc>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环境保护措施</w:t>
            </w:r>
          </w:p>
        </w:tc>
        <w:tc>
          <w:tcPr>
            <w:tcW w:w="26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99" w:hRule="atLeast"/>
          <w:jc w:val="center"/>
        </w:trPr>
        <w:tc>
          <w:tcPr>
            <w:tcW w:w="107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大气环境</w:t>
            </w:r>
          </w:p>
        </w:tc>
        <w:tc>
          <w:tcPr>
            <w:tcW w:w="14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auto"/>
                <w:spacing w:val="0"/>
                <w:kern w:val="21"/>
                <w:sz w:val="21"/>
                <w:szCs w:val="21"/>
                <w:lang w:val="en-US" w:eastAsia="zh-CN"/>
              </w:rPr>
            </w:pPr>
            <w:r>
              <w:rPr>
                <w:rFonts w:hint="eastAsia" w:ascii="Times New Roman" w:hAnsi="Times New Roman" w:cs="Times New Roman"/>
                <w:color w:val="auto"/>
                <w:spacing w:val="0"/>
                <w:kern w:val="21"/>
                <w:sz w:val="21"/>
                <w:szCs w:val="21"/>
                <w:lang w:val="en-US" w:eastAsia="zh-CN"/>
              </w:rPr>
              <w:t>DA001</w:t>
            </w:r>
          </w:p>
        </w:tc>
        <w:tc>
          <w:tcPr>
            <w:tcW w:w="14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pacing w:val="0"/>
                <w:kern w:val="21"/>
                <w:sz w:val="21"/>
                <w:szCs w:val="21"/>
                <w:lang w:val="en-US" w:eastAsia="zh-CN"/>
              </w:rPr>
            </w:pPr>
            <w:r>
              <w:rPr>
                <w:rFonts w:hint="eastAsia" w:ascii="Times New Roman" w:hAnsi="Times New Roman" w:cs="Times New Roman"/>
                <w:b w:val="0"/>
                <w:bCs/>
                <w:color w:val="auto"/>
                <w:sz w:val="21"/>
                <w:szCs w:val="21"/>
                <w:u w:val="none"/>
                <w:vertAlign w:val="baseline"/>
                <w:lang w:val="en-US" w:eastAsia="zh-CN"/>
              </w:rPr>
              <w:t>颗粒物</w:t>
            </w:r>
          </w:p>
        </w:tc>
        <w:tc>
          <w:tcPr>
            <w:tcW w:w="18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auto"/>
                <w:spacing w:val="0"/>
                <w:kern w:val="21"/>
                <w:sz w:val="21"/>
                <w:szCs w:val="21"/>
                <w:lang w:val="en-US" w:eastAsia="zh-CN"/>
              </w:rPr>
            </w:pPr>
            <w:r>
              <w:rPr>
                <w:rFonts w:hint="eastAsia" w:ascii="Times New Roman" w:hAnsi="Times New Roman" w:cs="Times New Roman"/>
                <w:color w:val="auto"/>
                <w:spacing w:val="0"/>
                <w:kern w:val="21"/>
                <w:sz w:val="21"/>
                <w:szCs w:val="21"/>
                <w:lang w:val="en-US" w:eastAsia="zh-CN"/>
              </w:rPr>
              <w:t>集气罩+袋式除尘器+15m排气筒排放</w:t>
            </w:r>
          </w:p>
        </w:tc>
        <w:tc>
          <w:tcPr>
            <w:tcW w:w="2627"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pacing w:val="0"/>
                <w:kern w:val="21"/>
                <w:sz w:val="21"/>
                <w:szCs w:val="21"/>
                <w:lang w:val="en-US"/>
              </w:rPr>
            </w:pPr>
            <w:r>
              <w:rPr>
                <w:rFonts w:hint="default" w:ascii="Times New Roman" w:hAnsi="Times New Roman" w:eastAsia="宋体" w:cs="Times New Roman"/>
                <w:color w:val="auto"/>
                <w:sz w:val="21"/>
                <w:szCs w:val="24"/>
                <w:vertAlign w:val="baseline"/>
                <w:lang w:val="en-US" w:eastAsia="zh-CN"/>
              </w:rPr>
              <w:t>《大气污染物综合排放标准》（GB16297-1996）</w:t>
            </w:r>
            <w:r>
              <w:rPr>
                <w:rFonts w:hint="eastAsia" w:ascii="Times New Roman" w:hAnsi="Times New Roman" w:cs="Times New Roman"/>
                <w:color w:val="auto"/>
                <w:sz w:val="21"/>
                <w:szCs w:val="24"/>
                <w:vertAlign w:val="baseline"/>
                <w:lang w:val="en-US" w:eastAsia="zh-CN"/>
              </w:rPr>
              <w:t>表2二级标准及《重污染天气重点行业应急减排措施制定技术指南》（2021年版）A级指标要求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rPr>
            </w:pPr>
          </w:p>
        </w:tc>
        <w:tc>
          <w:tcPr>
            <w:tcW w:w="14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color w:val="auto"/>
                <w:spacing w:val="0"/>
                <w:kern w:val="21"/>
                <w:sz w:val="21"/>
                <w:szCs w:val="21"/>
                <w:lang w:val="en-US" w:eastAsia="zh-CN"/>
              </w:rPr>
            </w:pPr>
            <w:r>
              <w:rPr>
                <w:rFonts w:hint="eastAsia" w:ascii="Times New Roman" w:hAnsi="Times New Roman" w:cs="Times New Roman"/>
                <w:color w:val="auto"/>
                <w:spacing w:val="0"/>
                <w:kern w:val="21"/>
                <w:sz w:val="21"/>
                <w:szCs w:val="21"/>
                <w:lang w:val="en-US" w:eastAsia="zh-CN"/>
              </w:rPr>
              <w:t>DA002</w:t>
            </w:r>
          </w:p>
        </w:tc>
        <w:tc>
          <w:tcPr>
            <w:tcW w:w="14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cs="Times New Roman"/>
                <w:color w:val="auto"/>
                <w:spacing w:val="0"/>
                <w:kern w:val="21"/>
                <w:sz w:val="21"/>
                <w:szCs w:val="21"/>
                <w:lang w:val="en-US" w:eastAsia="zh-CN"/>
              </w:rPr>
            </w:pPr>
            <w:r>
              <w:rPr>
                <w:rFonts w:hint="eastAsia" w:ascii="Times New Roman" w:hAnsi="Times New Roman" w:cs="Times New Roman"/>
                <w:b w:val="0"/>
                <w:bCs/>
                <w:color w:val="auto"/>
                <w:sz w:val="21"/>
                <w:szCs w:val="21"/>
                <w:u w:val="none"/>
                <w:vertAlign w:val="baseline"/>
                <w:lang w:val="en-US" w:eastAsia="zh-CN"/>
              </w:rPr>
              <w:t>颗粒物</w:t>
            </w:r>
          </w:p>
        </w:tc>
        <w:tc>
          <w:tcPr>
            <w:tcW w:w="18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color w:val="auto"/>
                <w:spacing w:val="0"/>
                <w:kern w:val="21"/>
                <w:sz w:val="21"/>
                <w:szCs w:val="21"/>
                <w:lang w:val="en-US" w:eastAsia="zh-CN"/>
              </w:rPr>
            </w:pPr>
            <w:r>
              <w:rPr>
                <w:rFonts w:hint="eastAsia" w:ascii="Times New Roman" w:hAnsi="Times New Roman" w:cs="Times New Roman"/>
                <w:color w:val="auto"/>
                <w:spacing w:val="0"/>
                <w:kern w:val="21"/>
                <w:sz w:val="21"/>
                <w:szCs w:val="21"/>
                <w:lang w:val="en-US" w:eastAsia="zh-CN"/>
              </w:rPr>
              <w:t>集气罩+袋式除尘器+15m排气筒排放</w:t>
            </w:r>
          </w:p>
        </w:tc>
        <w:tc>
          <w:tcPr>
            <w:tcW w:w="262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地表水环境</w:t>
            </w:r>
          </w:p>
        </w:tc>
        <w:tc>
          <w:tcPr>
            <w:tcW w:w="14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auto"/>
                <w:spacing w:val="0"/>
                <w:kern w:val="21"/>
                <w:sz w:val="21"/>
                <w:szCs w:val="21"/>
                <w:lang w:val="en-US" w:eastAsia="zh-CN"/>
              </w:rPr>
            </w:pPr>
            <w:r>
              <w:rPr>
                <w:rFonts w:hint="default" w:ascii="Times New Roman" w:hAnsi="Times New Roman" w:eastAsia="宋体" w:cs="Times New Roman"/>
                <w:color w:val="auto"/>
                <w:spacing w:val="0"/>
                <w:kern w:val="21"/>
                <w:sz w:val="21"/>
                <w:szCs w:val="21"/>
                <w:lang w:val="en-US" w:eastAsia="zh-CN"/>
              </w:rPr>
              <w:t>设备清洗水</w:t>
            </w:r>
          </w:p>
        </w:tc>
        <w:tc>
          <w:tcPr>
            <w:tcW w:w="14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auto"/>
                <w:spacing w:val="0"/>
                <w:kern w:val="21"/>
                <w:sz w:val="21"/>
                <w:szCs w:val="21"/>
                <w:lang w:val="en-US" w:eastAsia="zh-CN"/>
              </w:rPr>
            </w:pPr>
            <w:r>
              <w:rPr>
                <w:rFonts w:hint="eastAsia" w:ascii="Times New Roman" w:hAnsi="Times New Roman" w:cs="Times New Roman"/>
                <w:color w:val="auto"/>
                <w:spacing w:val="0"/>
                <w:kern w:val="21"/>
                <w:sz w:val="21"/>
                <w:szCs w:val="21"/>
                <w:lang w:val="en-US" w:eastAsia="zh-CN"/>
              </w:rPr>
              <w:t>微量元素、COD、氨氮</w:t>
            </w:r>
          </w:p>
        </w:tc>
        <w:tc>
          <w:tcPr>
            <w:tcW w:w="18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宋体" w:cs="Times New Roman"/>
                <w:color w:val="auto"/>
                <w:spacing w:val="0"/>
                <w:kern w:val="21"/>
                <w:sz w:val="21"/>
                <w:szCs w:val="21"/>
                <w:lang w:val="en-US" w:eastAsia="zh-CN"/>
              </w:rPr>
            </w:pPr>
            <w:r>
              <w:rPr>
                <w:rFonts w:hint="eastAsia" w:ascii="Times New Roman" w:hAnsi="Times New Roman" w:cs="Times New Roman"/>
                <w:color w:val="auto"/>
                <w:sz w:val="21"/>
                <w:szCs w:val="24"/>
                <w:vertAlign w:val="baseline"/>
                <w:lang w:val="en-US" w:eastAsia="zh-CN"/>
              </w:rPr>
              <w:t>收集池</w:t>
            </w:r>
          </w:p>
        </w:tc>
        <w:tc>
          <w:tcPr>
            <w:tcW w:w="26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宋体" w:cs="Times New Roman"/>
                <w:color w:val="auto"/>
                <w:spacing w:val="0"/>
                <w:kern w:val="21"/>
                <w:sz w:val="21"/>
                <w:szCs w:val="21"/>
                <w:lang w:eastAsia="zh-CN"/>
              </w:rPr>
            </w:pPr>
            <w:r>
              <w:rPr>
                <w:rFonts w:hint="eastAsia" w:ascii="Times New Roman" w:hAnsi="Times New Roman" w:cs="Times New Roman"/>
                <w:color w:val="auto"/>
                <w:spacing w:val="0"/>
                <w:kern w:val="21"/>
                <w:sz w:val="21"/>
                <w:szCs w:val="21"/>
                <w:lang w:eastAsia="zh-CN"/>
              </w:rPr>
              <w:t>回用于生产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声环境</w:t>
            </w:r>
          </w:p>
        </w:tc>
        <w:tc>
          <w:tcPr>
            <w:tcW w:w="74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本项目主要噪声来源于生产设备的噪声，声源强度在</w:t>
            </w:r>
            <w:r>
              <w:rPr>
                <w:rFonts w:hint="eastAsia" w:ascii="Times New Roman" w:hAnsi="Times New Roman" w:cs="Times New Roman"/>
                <w:color w:val="auto"/>
                <w:spacing w:val="0"/>
                <w:kern w:val="21"/>
                <w:sz w:val="21"/>
                <w:szCs w:val="21"/>
                <w:lang w:eastAsia="zh-CN"/>
              </w:rPr>
              <w:t>70~75</w:t>
            </w:r>
            <w:r>
              <w:rPr>
                <w:rFonts w:hint="default" w:ascii="Times New Roman" w:hAnsi="Times New Roman" w:eastAsia="宋体" w:cs="Times New Roman"/>
                <w:color w:val="auto"/>
                <w:spacing w:val="0"/>
                <w:kern w:val="21"/>
                <w:sz w:val="21"/>
                <w:szCs w:val="21"/>
              </w:rPr>
              <w:t>dB(A)之间，通过设备减振、厂房隔声和距离衰减，本项目厂界噪声值能够满足《工业企业厂界环境噪声排放标准》（GB12348－2008）</w:t>
            </w:r>
            <w:r>
              <w:rPr>
                <w:rFonts w:hint="eastAsia" w:ascii="Times New Roman" w:hAnsi="Times New Roman" w:cs="Times New Roman"/>
                <w:color w:val="auto"/>
                <w:spacing w:val="0"/>
                <w:kern w:val="21"/>
                <w:sz w:val="21"/>
                <w:szCs w:val="21"/>
                <w:lang w:val="en-US" w:eastAsia="zh-CN"/>
              </w:rPr>
              <w:t>3</w:t>
            </w:r>
            <w:r>
              <w:rPr>
                <w:rFonts w:hint="default" w:ascii="Times New Roman" w:hAnsi="Times New Roman" w:eastAsia="宋体" w:cs="Times New Roman"/>
                <w:color w:val="auto"/>
                <w:spacing w:val="0"/>
                <w:kern w:val="21"/>
                <w:sz w:val="21"/>
                <w:szCs w:val="21"/>
              </w:rPr>
              <w:t>类标准要求。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电磁辐射</w:t>
            </w:r>
          </w:p>
        </w:tc>
        <w:tc>
          <w:tcPr>
            <w:tcW w:w="74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lang w:val="en-US" w:eastAsia="zh-CN"/>
              </w:rPr>
            </w:pPr>
            <w:r>
              <w:rPr>
                <w:rFonts w:hint="default" w:ascii="Times New Roman" w:hAnsi="Times New Roman" w:eastAsia="宋体" w:cs="Times New Roman"/>
                <w:color w:val="auto"/>
                <w:spacing w:val="0"/>
                <w:kern w:val="21"/>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固体废物</w:t>
            </w:r>
          </w:p>
        </w:tc>
        <w:tc>
          <w:tcPr>
            <w:tcW w:w="74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pacing w:val="0"/>
                <w:kern w:val="21"/>
                <w:sz w:val="21"/>
                <w:szCs w:val="21"/>
                <w:lang w:val="en-US" w:eastAsia="zh-CN"/>
              </w:rPr>
            </w:pPr>
            <w:r>
              <w:rPr>
                <w:rFonts w:hint="default" w:ascii="Times New Roman" w:hAnsi="Times New Roman" w:eastAsia="宋体" w:cs="Times New Roman"/>
                <w:color w:val="auto"/>
                <w:spacing w:val="0"/>
                <w:kern w:val="21"/>
                <w:sz w:val="21"/>
                <w:szCs w:val="21"/>
                <w:lang w:val="en-US" w:eastAsia="zh-CN"/>
              </w:rPr>
              <w:t>本次</w:t>
            </w:r>
            <w:r>
              <w:rPr>
                <w:rFonts w:hint="eastAsia" w:ascii="Times New Roman" w:hAnsi="Times New Roman" w:cs="Times New Roman"/>
                <w:color w:val="auto"/>
                <w:spacing w:val="0"/>
                <w:kern w:val="21"/>
                <w:sz w:val="21"/>
                <w:szCs w:val="21"/>
                <w:lang w:val="en-US" w:eastAsia="zh-CN"/>
              </w:rPr>
              <w:t>改建</w:t>
            </w:r>
            <w:r>
              <w:rPr>
                <w:rFonts w:hint="default" w:ascii="Times New Roman" w:hAnsi="Times New Roman" w:eastAsia="宋体" w:cs="Times New Roman"/>
                <w:color w:val="auto"/>
                <w:spacing w:val="0"/>
                <w:kern w:val="21"/>
                <w:sz w:val="21"/>
                <w:szCs w:val="21"/>
                <w:lang w:val="en-US" w:eastAsia="zh-CN"/>
              </w:rPr>
              <w:t>项目</w:t>
            </w:r>
            <w:r>
              <w:rPr>
                <w:rFonts w:hint="eastAsia" w:ascii="Times New Roman" w:hAnsi="Times New Roman" w:cs="Times New Roman"/>
                <w:color w:val="auto"/>
                <w:spacing w:val="0"/>
                <w:kern w:val="21"/>
                <w:sz w:val="21"/>
                <w:szCs w:val="21"/>
                <w:lang w:val="en-US" w:eastAsia="zh-CN"/>
              </w:rPr>
              <w:t>产生的固体废物主要为除尘器收集粉尘、废包装袋、废包装桶。除尘器收集粉尘中投料、混合粉尘收集后回用于生产，烘干粉尘收集后作为产品外售；废包装袋收集后外售；废包装桶经收集后由厂家回收利用。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土壤及地下水污染防治措施</w:t>
            </w:r>
          </w:p>
        </w:tc>
        <w:tc>
          <w:tcPr>
            <w:tcW w:w="74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宋体" w:cs="Times New Roman"/>
                <w:color w:val="auto"/>
                <w:spacing w:val="0"/>
                <w:kern w:val="21"/>
                <w:sz w:val="21"/>
                <w:szCs w:val="21"/>
                <w:lang w:val="en-US" w:eastAsia="zh-CN"/>
              </w:rPr>
            </w:pPr>
            <w:r>
              <w:rPr>
                <w:rFonts w:hint="eastAsia" w:ascii="Times New Roman" w:hAnsi="Times New Roman" w:cs="Times New Roman"/>
                <w:color w:val="auto"/>
                <w:spacing w:val="0"/>
                <w:kern w:val="21"/>
                <w:sz w:val="21"/>
                <w:szCs w:val="21"/>
                <w:lang w:val="en-US" w:eastAsia="zh-CN"/>
              </w:rPr>
              <w:t>地面应进行防渗设计，防渗层为至少1m厚粘土层（渗透系数≤10</w:t>
            </w:r>
            <w:r>
              <w:rPr>
                <w:rFonts w:hint="eastAsia" w:ascii="Times New Roman" w:hAnsi="Times New Roman" w:cs="Times New Roman"/>
                <w:color w:val="auto"/>
                <w:spacing w:val="0"/>
                <w:kern w:val="21"/>
                <w:sz w:val="21"/>
                <w:szCs w:val="21"/>
                <w:vertAlign w:val="superscript"/>
                <w:lang w:val="en-US" w:eastAsia="zh-CN"/>
              </w:rPr>
              <w:t>-7</w:t>
            </w:r>
            <w:r>
              <w:rPr>
                <w:rFonts w:hint="eastAsia" w:ascii="Times New Roman" w:hAnsi="Times New Roman" w:cs="Times New Roman"/>
                <w:color w:val="auto"/>
                <w:spacing w:val="0"/>
                <w:kern w:val="21"/>
                <w:sz w:val="21"/>
                <w:szCs w:val="21"/>
                <w:lang w:val="en-US" w:eastAsia="zh-CN"/>
              </w:rPr>
              <w:t>cm/s），或2mm厚高密度聚乙烯，或至少2mm厚的其它人工材料（渗透系数≤10</w:t>
            </w:r>
            <w:r>
              <w:rPr>
                <w:rFonts w:hint="eastAsia" w:ascii="Times New Roman" w:hAnsi="Times New Roman" w:cs="Times New Roman"/>
                <w:color w:val="auto"/>
                <w:spacing w:val="0"/>
                <w:kern w:val="21"/>
                <w:sz w:val="21"/>
                <w:szCs w:val="21"/>
                <w:vertAlign w:val="superscript"/>
                <w:lang w:val="en-US" w:eastAsia="zh-CN"/>
              </w:rPr>
              <w:t>-10</w:t>
            </w:r>
            <w:r>
              <w:rPr>
                <w:rFonts w:hint="eastAsia" w:ascii="Times New Roman" w:hAnsi="Times New Roman" w:cs="Times New Roman"/>
                <w:color w:val="auto"/>
                <w:spacing w:val="0"/>
                <w:kern w:val="21"/>
                <w:sz w:val="21"/>
                <w:szCs w:val="21"/>
                <w:lang w:val="en-US" w:eastAsia="zh-CN"/>
              </w:rPr>
              <w:t>cm/s）。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生态保护措施</w:t>
            </w:r>
          </w:p>
        </w:tc>
        <w:tc>
          <w:tcPr>
            <w:tcW w:w="74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lang w:val="en-US" w:eastAsia="zh-CN"/>
              </w:rPr>
            </w:pPr>
            <w:r>
              <w:rPr>
                <w:rFonts w:hint="default" w:ascii="Times New Roman" w:hAnsi="Times New Roman" w:eastAsia="宋体" w:cs="Times New Roman"/>
                <w:color w:val="auto"/>
                <w:spacing w:val="0"/>
                <w:kern w:val="21"/>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环境风险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防范措施</w:t>
            </w:r>
          </w:p>
        </w:tc>
        <w:tc>
          <w:tcPr>
            <w:tcW w:w="74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pacing w:val="0"/>
                <w:kern w:val="21"/>
                <w:sz w:val="21"/>
                <w:szCs w:val="21"/>
                <w:lang w:eastAsia="zh-CN"/>
              </w:rPr>
            </w:pPr>
            <w:r>
              <w:rPr>
                <w:rFonts w:hint="default" w:ascii="Times New Roman" w:hAnsi="Times New Roman" w:eastAsia="宋体" w:cs="Times New Roman"/>
                <w:color w:val="auto"/>
                <w:spacing w:val="0"/>
                <w:kern w:val="21"/>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其他环境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管理要求</w:t>
            </w:r>
          </w:p>
        </w:tc>
        <w:tc>
          <w:tcPr>
            <w:tcW w:w="74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pacing w:val="0"/>
                <w:kern w:val="21"/>
                <w:sz w:val="21"/>
                <w:szCs w:val="21"/>
                <w:lang w:val="en-US" w:eastAsia="zh-CN"/>
              </w:rPr>
            </w:pPr>
            <w:r>
              <w:rPr>
                <w:rFonts w:hint="default" w:ascii="Times New Roman" w:hAnsi="Times New Roman" w:eastAsia="宋体" w:cs="Times New Roman"/>
                <w:color w:val="auto"/>
                <w:spacing w:val="0"/>
                <w:kern w:val="21"/>
                <w:sz w:val="21"/>
                <w:szCs w:val="21"/>
                <w:lang w:val="en-US" w:eastAsia="zh-CN"/>
              </w:rPr>
              <w:t>①建立完善的环境管理制度，设立专门环境管理机构，建立完善的环境监测制度。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pacing w:val="0"/>
                <w:kern w:val="21"/>
                <w:sz w:val="21"/>
                <w:szCs w:val="21"/>
                <w:lang w:val="en-US" w:eastAsia="zh-CN"/>
              </w:rPr>
            </w:pPr>
            <w:r>
              <w:rPr>
                <w:rFonts w:hint="default" w:ascii="Times New Roman" w:hAnsi="Times New Roman" w:eastAsia="宋体" w:cs="Times New Roman"/>
                <w:color w:val="auto"/>
                <w:spacing w:val="0"/>
                <w:kern w:val="21"/>
                <w:sz w:val="21"/>
                <w:szCs w:val="21"/>
                <w:lang w:val="en-US" w:eastAsia="zh-CN"/>
              </w:rPr>
              <w:t>②废气排气筒预留监测口并设立相应标志牌。</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pacing w:val="0"/>
                <w:kern w:val="21"/>
                <w:sz w:val="21"/>
                <w:szCs w:val="21"/>
                <w:lang w:val="en-US" w:eastAsia="zh-CN"/>
              </w:rPr>
            </w:pPr>
            <w:r>
              <w:rPr>
                <w:rFonts w:hint="default" w:ascii="Times New Roman" w:hAnsi="Times New Roman" w:eastAsia="宋体" w:cs="Times New Roman"/>
                <w:color w:val="auto"/>
                <w:spacing w:val="0"/>
                <w:kern w:val="21"/>
                <w:sz w:val="21"/>
                <w:szCs w:val="21"/>
                <w:lang w:val="en-US" w:eastAsia="zh-CN"/>
              </w:rPr>
              <w:t>③按照《固定源废气监测技术规范》（HJ/T397-2007）要求设置采样口。</w:t>
            </w:r>
          </w:p>
        </w:tc>
      </w:tr>
    </w:tbl>
    <w:p>
      <w:pPr>
        <w:jc w:val="center"/>
        <w:rPr>
          <w:rFonts w:hint="default"/>
          <w:color w:val="auto"/>
          <w:lang w:val="en-US" w:eastAsia="zh-CN"/>
        </w:rPr>
        <w:sectPr>
          <w:pgSz w:w="11906" w:h="16838"/>
          <w:pgMar w:top="1440" w:right="1800" w:bottom="1440" w:left="1800" w:header="851" w:footer="992" w:gutter="0"/>
          <w:pgNumType w:fmt="decimal"/>
          <w:cols w:space="720" w:num="1"/>
          <w:docGrid w:type="lines" w:linePitch="312" w:charSpace="0"/>
        </w:sectPr>
      </w:pPr>
    </w:p>
    <w:p>
      <w:pPr>
        <w:jc w:val="center"/>
        <w:rPr>
          <w:rFonts w:hint="default"/>
          <w:color w:val="auto"/>
          <w:lang w:val="en-US" w:eastAsia="zh-CN"/>
        </w:rPr>
      </w:pPr>
      <w:r>
        <w:rPr>
          <w:rFonts w:hint="eastAsia" w:ascii="黑体" w:hAnsi="黑体" w:eastAsia="黑体" w:cs="黑体"/>
          <w:color w:val="auto"/>
          <w:sz w:val="28"/>
          <w:szCs w:val="36"/>
          <w:lang w:val="en-US" w:eastAsia="zh-CN"/>
        </w:rPr>
        <w:t>六、结论</w:t>
      </w:r>
    </w:p>
    <w:tbl>
      <w:tblPr>
        <w:tblStyle w:val="14"/>
        <w:tblW w:w="850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926" w:hRule="atLeast"/>
          <w:jc w:val="center"/>
        </w:trPr>
        <w:tc>
          <w:tcPr>
            <w:tcW w:w="85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eastAsia="宋体" w:cs="宋体"/>
                <w:color w:val="auto"/>
                <w:spacing w:val="0"/>
                <w:kern w:val="21"/>
                <w:sz w:val="24"/>
                <w:lang w:eastAsia="zh-CN"/>
              </w:rPr>
            </w:pPr>
            <w:r>
              <w:rPr>
                <w:rFonts w:hint="eastAsia" w:ascii="宋体" w:cs="宋体"/>
                <w:color w:val="auto"/>
                <w:spacing w:val="0"/>
                <w:kern w:val="21"/>
                <w:sz w:val="24"/>
              </w:rPr>
              <w:t>综上所述，本项目选址、布局、规模符合相关产业政策、环境保护法律法规和相关法定规划要求；所在区域环境质量良好，区域环境治理措施能满足区域环境质量改善目标管理要求；采取的污染防治措施合理、有效，项目排放的各类污染物能达到国家和地方排放标准；污染物排放总量可在区域内平衡解决。故本项目在落实本报告表提出的各项环保措施要求，严格执行环保“三同时”的前提下， 从环境保护角度，本项目是合理可行的。</w:t>
            </w:r>
          </w:p>
        </w:tc>
      </w:tr>
    </w:tbl>
    <w:p>
      <w:pPr>
        <w:jc w:val="left"/>
        <w:rPr>
          <w:rFonts w:hint="eastAsia" w:eastAsia="宋体"/>
          <w:color w:val="auto"/>
          <w:lang w:eastAsia="zh-CN"/>
        </w:rPr>
        <w:sectPr>
          <w:footerReference r:id="rId4" w:type="default"/>
          <w:pgSz w:w="11906" w:h="16838"/>
          <w:pgMar w:top="1440" w:right="1800" w:bottom="1440" w:left="1800" w:header="851" w:footer="992" w:gutter="0"/>
          <w:pgNumType w:fmt="decimal"/>
          <w:cols w:space="720" w:num="1"/>
          <w:docGrid w:type="lines" w:linePitch="312" w:charSpace="0"/>
        </w:sectPr>
      </w:pPr>
      <w:bookmarkStart w:id="1" w:name="_GoBack"/>
      <w:bookmarkEnd w:id="1"/>
    </w:p>
    <w:p>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textAlignment w:val="auto"/>
        <w:outlineLvl w:val="0"/>
        <w:rPr>
          <w:rFonts w:hint="eastAsia" w:ascii="黑体" w:hAnsi="黑体" w:eastAsia="黑体"/>
          <w:snapToGrid w:val="0"/>
          <w:color w:val="auto"/>
          <w:spacing w:val="0"/>
          <w:kern w:val="21"/>
          <w:sz w:val="21"/>
          <w:szCs w:val="21"/>
          <w:lang w:eastAsia="zh-CN"/>
        </w:rPr>
      </w:pPr>
      <w:r>
        <w:rPr>
          <w:rFonts w:hint="eastAsia" w:ascii="黑体" w:hAnsi="黑体" w:eastAsia="黑体"/>
          <w:snapToGrid w:val="0"/>
          <w:color w:val="auto"/>
          <w:spacing w:val="0"/>
          <w:kern w:val="21"/>
          <w:sz w:val="32"/>
          <w:szCs w:val="32"/>
        </w:rPr>
        <w:t>附表</w:t>
      </w:r>
    </w:p>
    <w:p>
      <w:pPr>
        <w:pStyle w:val="13"/>
        <w:adjustRightInd w:val="0"/>
        <w:snapToGrid w:val="0"/>
        <w:spacing w:before="0" w:beforeAutospacing="0" w:after="0" w:afterAutospacing="0" w:line="552" w:lineRule="auto"/>
        <w:jc w:val="center"/>
        <w:outlineLvl w:val="0"/>
        <w:rPr>
          <w:rFonts w:hint="eastAsia" w:ascii="方正小标宋_GBK" w:hAnsi="黑体" w:eastAsia="方正小标宋_GBK"/>
          <w:snapToGrid w:val="0"/>
          <w:color w:val="auto"/>
          <w:spacing w:val="0"/>
          <w:kern w:val="21"/>
          <w:sz w:val="38"/>
          <w:szCs w:val="38"/>
        </w:rPr>
      </w:pPr>
      <w:r>
        <w:rPr>
          <w:rFonts w:hint="eastAsia" w:ascii="方正小标宋_GBK" w:hAnsi="黑体" w:eastAsia="方正小标宋_GBK"/>
          <w:snapToGrid w:val="0"/>
          <w:color w:val="auto"/>
          <w:spacing w:val="0"/>
          <w:kern w:val="21"/>
          <w:sz w:val="38"/>
          <w:szCs w:val="38"/>
        </w:rPr>
        <w:t>建设项目污染物排放量汇总表</w:t>
      </w:r>
    </w:p>
    <w:tbl>
      <w:tblPr>
        <w:tblStyle w:val="14"/>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2250"/>
        <w:gridCol w:w="1439"/>
        <w:gridCol w:w="1276"/>
        <w:gridCol w:w="1701"/>
        <w:gridCol w:w="1559"/>
        <w:gridCol w:w="1761"/>
        <w:gridCol w:w="1612"/>
        <w:gridCol w:w="11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17" w:type="dxa"/>
            <w:tcBorders>
              <w:tl2br w:val="single" w:color="auto" w:sz="4" w:space="0"/>
            </w:tcBorders>
            <w:noWrap w:val="0"/>
            <w:tcMar>
              <w:left w:w="28" w:type="dxa"/>
              <w:right w:w="28" w:type="dxa"/>
            </w:tcMar>
            <w:vAlign w:val="center"/>
          </w:tcPr>
          <w:p>
            <w:pPr>
              <w:pStyle w:val="24"/>
              <w:keepNext w:val="0"/>
              <w:keepLines w:val="0"/>
              <w:pageBreakBefore w:val="0"/>
              <w:widowControl w:val="0"/>
              <w:kinsoku/>
              <w:wordWrap/>
              <w:overflowPunct/>
              <w:topLinePunct w:val="0"/>
              <w:autoSpaceDE/>
              <w:autoSpaceDN/>
              <w:bidi w:val="0"/>
              <w:adjustRightInd/>
              <w:snapToGrid/>
              <w:spacing w:beforeLines="0" w:afterLines="0" w:line="360" w:lineRule="exact"/>
              <w:jc w:val="righ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项目</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分类</w:t>
            </w:r>
          </w:p>
        </w:tc>
        <w:tc>
          <w:tcPr>
            <w:tcW w:w="2250" w:type="dxa"/>
            <w:noWrap w:val="0"/>
            <w:tcMar>
              <w:left w:w="28" w:type="dxa"/>
              <w:right w:w="28" w:type="dxa"/>
            </w:tcMar>
            <w:vAlign w:val="center"/>
          </w:tcPr>
          <w:p>
            <w:pPr>
              <w:pStyle w:val="2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污染物名称</w:t>
            </w:r>
          </w:p>
        </w:tc>
        <w:tc>
          <w:tcPr>
            <w:tcW w:w="1439" w:type="dxa"/>
            <w:noWrap w:val="0"/>
            <w:tcMar>
              <w:left w:w="28" w:type="dxa"/>
              <w:right w:w="28" w:type="dxa"/>
            </w:tcMar>
            <w:vAlign w:val="center"/>
          </w:tcPr>
          <w:p>
            <w:pPr>
              <w:pStyle w:val="2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现有工程</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排放量（固体废物产生量）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1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kern w:val="21"/>
                <w:sz w:val="21"/>
                <w:szCs w:val="21"/>
              </w:rPr>
              <w:t>①</w:t>
            </w:r>
            <w:r>
              <w:rPr>
                <w:rFonts w:hint="default" w:ascii="Times New Roman" w:hAnsi="Times New Roman" w:eastAsia="宋体" w:cs="Times New Roman"/>
                <w:snapToGrid w:val="0"/>
                <w:color w:val="auto"/>
                <w:spacing w:val="0"/>
                <w:kern w:val="21"/>
                <w:sz w:val="21"/>
                <w:szCs w:val="21"/>
              </w:rPr>
              <w:fldChar w:fldCharType="end"/>
            </w:r>
          </w:p>
        </w:tc>
        <w:tc>
          <w:tcPr>
            <w:tcW w:w="1276" w:type="dxa"/>
            <w:noWrap w:val="0"/>
            <w:tcMar>
              <w:left w:w="28" w:type="dxa"/>
              <w:right w:w="28" w:type="dxa"/>
            </w:tcMar>
            <w:vAlign w:val="center"/>
          </w:tcPr>
          <w:p>
            <w:pPr>
              <w:pStyle w:val="2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现有工程</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许可排放量</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2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snapToGrid w:val="0"/>
                <w:color w:val="auto"/>
                <w:spacing w:val="0"/>
                <w:kern w:val="21"/>
                <w:sz w:val="21"/>
                <w:szCs w:val="21"/>
              </w:rPr>
              <w:t>②</w:t>
            </w:r>
            <w:r>
              <w:rPr>
                <w:rFonts w:hint="default" w:ascii="Times New Roman" w:hAnsi="Times New Roman" w:eastAsia="宋体" w:cs="Times New Roman"/>
                <w:snapToGrid w:val="0"/>
                <w:color w:val="auto"/>
                <w:spacing w:val="0"/>
                <w:kern w:val="21"/>
                <w:sz w:val="21"/>
                <w:szCs w:val="21"/>
              </w:rPr>
              <w:fldChar w:fldCharType="end"/>
            </w:r>
          </w:p>
        </w:tc>
        <w:tc>
          <w:tcPr>
            <w:tcW w:w="1701" w:type="dxa"/>
            <w:noWrap w:val="0"/>
            <w:tcMar>
              <w:left w:w="28" w:type="dxa"/>
              <w:right w:w="28" w:type="dxa"/>
            </w:tcMar>
            <w:vAlign w:val="center"/>
          </w:tcPr>
          <w:p>
            <w:pPr>
              <w:pStyle w:val="2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在建工程</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排放量（固体废物产生量）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3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kern w:val="21"/>
                <w:sz w:val="21"/>
                <w:szCs w:val="21"/>
              </w:rPr>
              <w:t>③</w:t>
            </w:r>
            <w:r>
              <w:rPr>
                <w:rFonts w:hint="default" w:ascii="Times New Roman" w:hAnsi="Times New Roman" w:eastAsia="宋体" w:cs="Times New Roman"/>
                <w:snapToGrid w:val="0"/>
                <w:color w:val="auto"/>
                <w:spacing w:val="0"/>
                <w:kern w:val="21"/>
                <w:sz w:val="21"/>
                <w:szCs w:val="21"/>
              </w:rPr>
              <w:fldChar w:fldCharType="end"/>
            </w:r>
          </w:p>
        </w:tc>
        <w:tc>
          <w:tcPr>
            <w:tcW w:w="1559" w:type="dxa"/>
            <w:noWrap w:val="0"/>
            <w:tcMar>
              <w:left w:w="28" w:type="dxa"/>
              <w:right w:w="28" w:type="dxa"/>
            </w:tcMar>
            <w:vAlign w:val="center"/>
          </w:tcPr>
          <w:p>
            <w:pPr>
              <w:pStyle w:val="2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本项目</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排放量（固体废物产生量）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4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kern w:val="21"/>
                <w:sz w:val="21"/>
                <w:szCs w:val="21"/>
              </w:rPr>
              <w:t>④</w:t>
            </w:r>
            <w:r>
              <w:rPr>
                <w:rFonts w:hint="default" w:ascii="Times New Roman" w:hAnsi="Times New Roman" w:eastAsia="宋体" w:cs="Times New Roman"/>
                <w:snapToGrid w:val="0"/>
                <w:color w:val="auto"/>
                <w:spacing w:val="0"/>
                <w:kern w:val="21"/>
                <w:sz w:val="21"/>
                <w:szCs w:val="21"/>
              </w:rPr>
              <w:fldChar w:fldCharType="end"/>
            </w:r>
          </w:p>
        </w:tc>
        <w:tc>
          <w:tcPr>
            <w:tcW w:w="1761" w:type="dxa"/>
            <w:noWrap w:val="0"/>
            <w:tcMar>
              <w:left w:w="28" w:type="dxa"/>
              <w:right w:w="28" w:type="dxa"/>
            </w:tcMar>
            <w:vAlign w:val="center"/>
          </w:tcPr>
          <w:p>
            <w:pPr>
              <w:pStyle w:val="2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以新带老削减量</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（新建项目不填）</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5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kern w:val="21"/>
                <w:sz w:val="21"/>
                <w:szCs w:val="21"/>
              </w:rPr>
              <w:t>⑤</w:t>
            </w:r>
            <w:r>
              <w:rPr>
                <w:rFonts w:hint="default" w:ascii="Times New Roman" w:hAnsi="Times New Roman" w:eastAsia="宋体" w:cs="Times New Roman"/>
                <w:snapToGrid w:val="0"/>
                <w:color w:val="auto"/>
                <w:spacing w:val="0"/>
                <w:kern w:val="21"/>
                <w:sz w:val="21"/>
                <w:szCs w:val="21"/>
              </w:rPr>
              <w:fldChar w:fldCharType="end"/>
            </w:r>
          </w:p>
        </w:tc>
        <w:tc>
          <w:tcPr>
            <w:tcW w:w="1612" w:type="dxa"/>
            <w:noWrap w:val="0"/>
            <w:tcMar>
              <w:left w:w="28" w:type="dxa"/>
              <w:right w:w="28" w:type="dxa"/>
            </w:tcMar>
            <w:vAlign w:val="center"/>
          </w:tcPr>
          <w:p>
            <w:pPr>
              <w:pStyle w:val="2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本项目建成后</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全厂排放量（固体废物产生量）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6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kern w:val="21"/>
                <w:sz w:val="21"/>
                <w:szCs w:val="21"/>
              </w:rPr>
              <w:t>⑥</w:t>
            </w:r>
            <w:r>
              <w:rPr>
                <w:rFonts w:hint="default" w:ascii="Times New Roman" w:hAnsi="Times New Roman" w:eastAsia="宋体" w:cs="Times New Roman"/>
                <w:snapToGrid w:val="0"/>
                <w:color w:val="auto"/>
                <w:spacing w:val="0"/>
                <w:kern w:val="21"/>
                <w:sz w:val="21"/>
                <w:szCs w:val="21"/>
              </w:rPr>
              <w:fldChar w:fldCharType="end"/>
            </w:r>
          </w:p>
        </w:tc>
        <w:tc>
          <w:tcPr>
            <w:tcW w:w="1173" w:type="dxa"/>
            <w:noWrap w:val="0"/>
            <w:tcMar>
              <w:left w:w="28" w:type="dxa"/>
              <w:right w:w="28" w:type="dxa"/>
            </w:tcMar>
            <w:vAlign w:val="center"/>
          </w:tcPr>
          <w:p>
            <w:pPr>
              <w:pStyle w:val="2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变化量</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7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kern w:val="21"/>
                <w:sz w:val="21"/>
                <w:szCs w:val="21"/>
              </w:rPr>
              <w:t>⑦</w:t>
            </w:r>
            <w:r>
              <w:rPr>
                <w:rFonts w:hint="default" w:ascii="Times New Roman" w:hAnsi="Times New Roman" w:eastAsia="宋体" w:cs="Times New Roman"/>
                <w:snapToGrid w:val="0"/>
                <w:color w:val="auto"/>
                <w:spacing w:val="0"/>
                <w:kern w:val="21"/>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17" w:type="dxa"/>
            <w:vMerge w:val="restart"/>
            <w:noWrap w:val="0"/>
            <w:vAlign w:val="center"/>
          </w:tcPr>
          <w:p>
            <w:pPr>
              <w:pStyle w:val="2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废气</w:t>
            </w:r>
          </w:p>
        </w:tc>
        <w:tc>
          <w:tcPr>
            <w:tcW w:w="2250"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rPr>
            </w:pPr>
            <w:r>
              <w:rPr>
                <w:rFonts w:hint="eastAsia" w:ascii="Times New Roman" w:hAnsi="Times New Roman" w:cs="Times New Roman"/>
                <w:b w:val="0"/>
                <w:bCs w:val="0"/>
                <w:color w:val="auto"/>
                <w:sz w:val="21"/>
                <w:szCs w:val="21"/>
                <w:highlight w:val="none"/>
                <w:vertAlign w:val="baseline"/>
                <w:lang w:val="en-US" w:eastAsia="zh-CN"/>
              </w:rPr>
              <w:t>颗粒物</w:t>
            </w:r>
          </w:p>
        </w:tc>
        <w:tc>
          <w:tcPr>
            <w:tcW w:w="1439"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cs="Times New Roman"/>
                <w:b w:val="0"/>
                <w:bCs w:val="0"/>
                <w:color w:val="auto"/>
                <w:sz w:val="21"/>
                <w:szCs w:val="21"/>
                <w:highlight w:val="none"/>
                <w:u w:val="none"/>
                <w:vertAlign w:val="baseline"/>
                <w:lang w:val="en-US" w:eastAsia="zh-CN"/>
              </w:rPr>
              <w:t>0.464</w:t>
            </w:r>
            <w:r>
              <w:rPr>
                <w:rFonts w:hint="eastAsia"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pStyle w:val="2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cs="Times New Roman"/>
                <w:snapToGrid w:val="0"/>
                <w:color w:val="auto"/>
                <w:spacing w:val="0"/>
                <w:kern w:val="21"/>
                <w:sz w:val="21"/>
                <w:szCs w:val="21"/>
                <w:lang w:val="en-US" w:eastAsia="zh-CN"/>
              </w:rPr>
              <w:t>/</w:t>
            </w:r>
          </w:p>
        </w:tc>
        <w:tc>
          <w:tcPr>
            <w:tcW w:w="1701" w:type="dxa"/>
            <w:noWrap w:val="0"/>
            <w:vAlign w:val="center"/>
          </w:tcPr>
          <w:p>
            <w:pPr>
              <w:pStyle w:val="2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155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0.7578t/a</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612"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rPr>
            </w:pPr>
            <w:r>
              <w:rPr>
                <w:rFonts w:hint="eastAsia" w:ascii="Times New Roman" w:hAnsi="Times New Roman" w:cs="Times New Roman"/>
                <w:b w:val="0"/>
                <w:bCs w:val="0"/>
                <w:color w:val="auto"/>
                <w:sz w:val="21"/>
                <w:szCs w:val="21"/>
                <w:highlight w:val="none"/>
                <w:u w:val="none"/>
                <w:vertAlign w:val="baseline"/>
                <w:lang w:val="en-US" w:eastAsia="zh-CN"/>
              </w:rPr>
              <w:t>1.2218t/a</w:t>
            </w:r>
          </w:p>
        </w:tc>
        <w:tc>
          <w:tcPr>
            <w:tcW w:w="11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+0.7578t/a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017" w:type="dxa"/>
            <w:vMerge w:val="continue"/>
            <w:noWrap w:val="0"/>
            <w:vAlign w:val="center"/>
          </w:tcPr>
          <w:p>
            <w:pPr>
              <w:pStyle w:val="2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2250"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SO</w:t>
            </w:r>
            <w:r>
              <w:rPr>
                <w:rFonts w:hint="eastAsia" w:ascii="Times New Roman" w:hAnsi="Times New Roman" w:cs="Times New Roman"/>
                <w:b w:val="0"/>
                <w:bCs w:val="0"/>
                <w:color w:val="auto"/>
                <w:sz w:val="21"/>
                <w:szCs w:val="21"/>
                <w:highlight w:val="none"/>
                <w:u w:val="none"/>
                <w:vertAlign w:val="subscript"/>
                <w:lang w:val="en-US" w:eastAsia="zh-CN"/>
              </w:rPr>
              <w:t>2</w:t>
            </w:r>
          </w:p>
        </w:tc>
        <w:tc>
          <w:tcPr>
            <w:tcW w:w="1439"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snapToGrid w:val="0"/>
                <w:color w:val="auto"/>
                <w:spacing w:val="0"/>
                <w:kern w:val="21"/>
                <w:sz w:val="21"/>
                <w:szCs w:val="21"/>
                <w:lang w:val="en-US" w:eastAsia="zh-CN"/>
              </w:rPr>
            </w:pPr>
            <w:r>
              <w:rPr>
                <w:rFonts w:hint="eastAsia" w:ascii="Times New Roman" w:cs="Times New Roman"/>
                <w:b w:val="0"/>
                <w:bCs w:val="0"/>
                <w:color w:val="auto"/>
                <w:sz w:val="21"/>
                <w:szCs w:val="21"/>
                <w:highlight w:val="none"/>
                <w:u w:val="none"/>
                <w:vertAlign w:val="baseline"/>
                <w:lang w:val="en-US" w:eastAsia="zh-CN"/>
              </w:rPr>
              <w:t>0.0073</w:t>
            </w:r>
            <w:r>
              <w:rPr>
                <w:rFonts w:hint="eastAsia"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snapToGrid w:val="0"/>
                <w:color w:val="auto"/>
                <w:spacing w:val="0"/>
                <w:kern w:val="21"/>
                <w:sz w:val="21"/>
                <w:szCs w:val="21"/>
                <w:lang w:val="en-US" w:eastAsia="zh-CN"/>
              </w:rPr>
              <w:t>0.0073</w:t>
            </w:r>
            <w:r>
              <w:rPr>
                <w:rFonts w:hint="eastAsia" w:ascii="Times New Roman" w:hAnsi="Times New Roman" w:cs="Times New Roman"/>
                <w:b w:val="0"/>
                <w:bCs w:val="0"/>
                <w:color w:val="auto"/>
                <w:sz w:val="21"/>
                <w:szCs w:val="21"/>
                <w:highlight w:val="none"/>
                <w:u w:val="none"/>
                <w:vertAlign w:val="baseline"/>
                <w:lang w:val="en-US" w:eastAsia="zh-CN"/>
              </w:rPr>
              <w:t>t/a</w:t>
            </w:r>
          </w:p>
        </w:tc>
        <w:tc>
          <w:tcPr>
            <w:tcW w:w="1701" w:type="dxa"/>
            <w:noWrap w:val="0"/>
            <w:vAlign w:val="center"/>
          </w:tcPr>
          <w:p>
            <w:pPr>
              <w:pStyle w:val="2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155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b w:val="0"/>
                <w:bCs w:val="0"/>
                <w:color w:val="auto"/>
                <w:sz w:val="21"/>
                <w:szCs w:val="21"/>
                <w:highlight w:val="none"/>
                <w:vertAlign w:val="baseline"/>
                <w:lang w:val="en-US" w:eastAsia="zh-CN"/>
              </w:rPr>
            </w:pPr>
          </w:p>
        </w:tc>
        <w:tc>
          <w:tcPr>
            <w:tcW w:w="1612"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snapToGrid w:val="0"/>
                <w:color w:val="auto"/>
                <w:spacing w:val="0"/>
                <w:kern w:val="21"/>
                <w:sz w:val="21"/>
                <w:szCs w:val="21"/>
                <w:lang w:val="en-US" w:eastAsia="zh-CN"/>
              </w:rPr>
            </w:pPr>
            <w:r>
              <w:rPr>
                <w:rFonts w:hint="eastAsia" w:ascii="Times New Roman" w:cs="Times New Roman"/>
                <w:b w:val="0"/>
                <w:bCs w:val="0"/>
                <w:color w:val="auto"/>
                <w:sz w:val="21"/>
                <w:szCs w:val="21"/>
                <w:highlight w:val="none"/>
                <w:u w:val="none"/>
                <w:vertAlign w:val="baseline"/>
                <w:lang w:val="en-US" w:eastAsia="zh-CN"/>
              </w:rPr>
              <w:t>0.0073</w:t>
            </w:r>
            <w:r>
              <w:rPr>
                <w:rFonts w:hint="eastAsia" w:ascii="Times New Roman" w:hAnsi="Times New Roman" w:cs="Times New Roman"/>
                <w:b w:val="0"/>
                <w:bCs w:val="0"/>
                <w:color w:val="auto"/>
                <w:sz w:val="21"/>
                <w:szCs w:val="21"/>
                <w:highlight w:val="none"/>
                <w:u w:val="none"/>
                <w:vertAlign w:val="baseline"/>
                <w:lang w:val="en-US" w:eastAsia="zh-CN"/>
              </w:rPr>
              <w:t>t/a</w:t>
            </w:r>
          </w:p>
        </w:tc>
        <w:tc>
          <w:tcPr>
            <w:tcW w:w="11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1017" w:type="dxa"/>
            <w:vMerge w:val="continue"/>
            <w:noWrap w:val="0"/>
            <w:vAlign w:val="center"/>
          </w:tcPr>
          <w:p>
            <w:pPr>
              <w:pStyle w:val="2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2250"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NOx</w:t>
            </w:r>
          </w:p>
        </w:tc>
        <w:tc>
          <w:tcPr>
            <w:tcW w:w="1439"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snapToGrid w:val="0"/>
                <w:color w:val="auto"/>
                <w:spacing w:val="0"/>
                <w:kern w:val="21"/>
                <w:sz w:val="21"/>
                <w:szCs w:val="21"/>
                <w:lang w:val="en-US" w:eastAsia="zh-CN"/>
              </w:rPr>
            </w:pPr>
            <w:r>
              <w:rPr>
                <w:rFonts w:hint="eastAsia" w:ascii="Times New Roman" w:cs="Times New Roman"/>
                <w:b w:val="0"/>
                <w:bCs w:val="0"/>
                <w:color w:val="auto"/>
                <w:sz w:val="21"/>
                <w:szCs w:val="21"/>
                <w:highlight w:val="none"/>
                <w:u w:val="none"/>
                <w:vertAlign w:val="baseline"/>
                <w:lang w:val="en-US" w:eastAsia="zh-CN"/>
              </w:rPr>
              <w:t>0.173</w:t>
            </w:r>
            <w:r>
              <w:rPr>
                <w:rFonts w:hint="eastAsia"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snapToGrid w:val="0"/>
                <w:color w:val="auto"/>
                <w:spacing w:val="0"/>
                <w:kern w:val="21"/>
                <w:sz w:val="21"/>
                <w:szCs w:val="21"/>
                <w:lang w:val="en-US" w:eastAsia="zh-CN"/>
              </w:rPr>
              <w:t>0.173</w:t>
            </w:r>
            <w:r>
              <w:rPr>
                <w:rFonts w:hint="eastAsia" w:ascii="Times New Roman" w:hAnsi="Times New Roman" w:cs="Times New Roman"/>
                <w:b w:val="0"/>
                <w:bCs w:val="0"/>
                <w:color w:val="auto"/>
                <w:sz w:val="21"/>
                <w:szCs w:val="21"/>
                <w:highlight w:val="none"/>
                <w:u w:val="none"/>
                <w:vertAlign w:val="baseline"/>
                <w:lang w:val="en-US" w:eastAsia="zh-CN"/>
              </w:rPr>
              <w:t>t/a</w:t>
            </w:r>
          </w:p>
        </w:tc>
        <w:tc>
          <w:tcPr>
            <w:tcW w:w="1701" w:type="dxa"/>
            <w:noWrap w:val="0"/>
            <w:vAlign w:val="center"/>
          </w:tcPr>
          <w:p>
            <w:pPr>
              <w:pStyle w:val="2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155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b w:val="0"/>
                <w:bCs w:val="0"/>
                <w:color w:val="auto"/>
                <w:sz w:val="21"/>
                <w:szCs w:val="21"/>
                <w:highlight w:val="none"/>
                <w:vertAlign w:val="baseline"/>
                <w:lang w:val="en-US" w:eastAsia="zh-CN"/>
              </w:rPr>
            </w:pPr>
          </w:p>
        </w:tc>
        <w:tc>
          <w:tcPr>
            <w:tcW w:w="1612"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highlight w:val="none"/>
                <w:vertAlign w:val="baseline"/>
                <w:lang w:val="en-US" w:eastAsia="zh-CN"/>
              </w:rPr>
            </w:pPr>
            <w:r>
              <w:rPr>
                <w:rFonts w:hint="eastAsia" w:ascii="Times New Roman" w:cs="Times New Roman"/>
                <w:b w:val="0"/>
                <w:bCs w:val="0"/>
                <w:color w:val="auto"/>
                <w:sz w:val="21"/>
                <w:szCs w:val="21"/>
                <w:highlight w:val="none"/>
                <w:u w:val="none"/>
                <w:vertAlign w:val="baseline"/>
                <w:lang w:val="en-US" w:eastAsia="zh-CN"/>
              </w:rPr>
              <w:t>0.173</w:t>
            </w:r>
            <w:r>
              <w:rPr>
                <w:rFonts w:hint="eastAsia" w:ascii="Times New Roman" w:hAnsi="Times New Roman" w:cs="Times New Roman"/>
                <w:b w:val="0"/>
                <w:bCs w:val="0"/>
                <w:color w:val="auto"/>
                <w:sz w:val="21"/>
                <w:szCs w:val="21"/>
                <w:highlight w:val="none"/>
                <w:u w:val="none"/>
                <w:vertAlign w:val="baseline"/>
                <w:lang w:val="en-US" w:eastAsia="zh-CN"/>
              </w:rPr>
              <w:t>t/a</w:t>
            </w:r>
          </w:p>
        </w:tc>
        <w:tc>
          <w:tcPr>
            <w:tcW w:w="11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17" w:type="dxa"/>
            <w:vMerge w:val="restart"/>
            <w:noWrap w:val="0"/>
            <w:vAlign w:val="center"/>
          </w:tcPr>
          <w:p>
            <w:pPr>
              <w:pStyle w:val="2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一般工业固体废物</w:t>
            </w:r>
          </w:p>
        </w:tc>
        <w:tc>
          <w:tcPr>
            <w:tcW w:w="2250"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除尘器收集粉尘</w:t>
            </w:r>
          </w:p>
        </w:tc>
        <w:tc>
          <w:tcPr>
            <w:tcW w:w="143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15.84t/a</w:t>
            </w:r>
          </w:p>
        </w:tc>
        <w:tc>
          <w:tcPr>
            <w:tcW w:w="1276" w:type="dxa"/>
            <w:noWrap w:val="0"/>
            <w:vAlign w:val="center"/>
          </w:tcPr>
          <w:p>
            <w:pPr>
              <w:pStyle w:val="2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cs="Times New Roman"/>
                <w:snapToGrid w:val="0"/>
                <w:color w:val="auto"/>
                <w:spacing w:val="0"/>
                <w:kern w:val="21"/>
                <w:sz w:val="21"/>
                <w:szCs w:val="21"/>
                <w:lang w:val="en-US" w:eastAsia="zh-CN"/>
              </w:rPr>
              <w:t>/</w:t>
            </w:r>
          </w:p>
        </w:tc>
        <w:tc>
          <w:tcPr>
            <w:tcW w:w="170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55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12.552t/a</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eastAsia="zh-CN"/>
              </w:rPr>
            </w:pPr>
          </w:p>
        </w:tc>
        <w:tc>
          <w:tcPr>
            <w:tcW w:w="1612"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28.392t/a</w:t>
            </w:r>
          </w:p>
        </w:tc>
        <w:tc>
          <w:tcPr>
            <w:tcW w:w="1173"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+12.552t/a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17" w:type="dxa"/>
            <w:vMerge w:val="continue"/>
            <w:noWrap w:val="0"/>
            <w:vAlign w:val="center"/>
          </w:tcPr>
          <w:p>
            <w:pPr>
              <w:pStyle w:val="2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22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color w:val="auto"/>
                <w:sz w:val="21"/>
                <w:szCs w:val="21"/>
                <w:highlight w:val="none"/>
                <w:lang w:val="en-US" w:eastAsia="zh-CN"/>
              </w:rPr>
              <w:t>废包装袋</w:t>
            </w:r>
          </w:p>
        </w:tc>
        <w:tc>
          <w:tcPr>
            <w:tcW w:w="143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4"/>
                <w:highlight w:val="no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3.5t/a</w:t>
            </w:r>
          </w:p>
        </w:tc>
        <w:tc>
          <w:tcPr>
            <w:tcW w:w="1276" w:type="dxa"/>
            <w:noWrap w:val="0"/>
            <w:vAlign w:val="center"/>
          </w:tcPr>
          <w:p>
            <w:pPr>
              <w:pStyle w:val="2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snapToGrid w:val="0"/>
                <w:color w:val="auto"/>
                <w:spacing w:val="0"/>
                <w:kern w:val="21"/>
                <w:sz w:val="21"/>
                <w:szCs w:val="21"/>
                <w:lang w:val="en-US" w:eastAsia="zh-CN"/>
              </w:rPr>
              <w:t>/</w:t>
            </w:r>
          </w:p>
        </w:tc>
        <w:tc>
          <w:tcPr>
            <w:tcW w:w="170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559" w:type="dxa"/>
            <w:noWrap w:val="0"/>
            <w:vAlign w:val="center"/>
          </w:tcPr>
          <w:p>
            <w:pPr>
              <w:pStyle w:val="31"/>
              <w:spacing w:line="360" w:lineRule="exact"/>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w:t>
            </w:r>
            <w:r>
              <w:rPr>
                <w:rFonts w:hint="eastAsia" w:ascii="Times New Roman" w:hAnsi="Times New Roman" w:cs="Times New Roman"/>
                <w:b w:val="0"/>
                <w:bCs w:val="0"/>
                <w:color w:val="auto"/>
                <w:sz w:val="21"/>
                <w:szCs w:val="21"/>
                <w:highlight w:val="none"/>
                <w:u w:val="none"/>
                <w:vertAlign w:val="baseline"/>
                <w:lang w:val="en-US" w:eastAsia="zh-CN"/>
              </w:rPr>
              <w:t>t/a</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eastAsia="zh-CN"/>
              </w:rPr>
            </w:pPr>
          </w:p>
        </w:tc>
        <w:tc>
          <w:tcPr>
            <w:tcW w:w="1612"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8.5t/a</w:t>
            </w:r>
          </w:p>
        </w:tc>
        <w:tc>
          <w:tcPr>
            <w:tcW w:w="1173" w:type="dxa"/>
            <w:noWrap w:val="0"/>
            <w:vAlign w:val="center"/>
          </w:tcPr>
          <w:p>
            <w:pPr>
              <w:pStyle w:val="31"/>
              <w:spacing w:line="360" w:lineRule="exact"/>
              <w:ind w:firstLine="0" w:firstLineChars="0"/>
              <w:jc w:val="center"/>
              <w:rPr>
                <w:rFonts w:hint="eastAsia"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color w:val="auto"/>
                <w:sz w:val="21"/>
                <w:szCs w:val="21"/>
                <w:highlight w:val="none"/>
                <w:lang w:val="en-US" w:eastAsia="zh-CN"/>
              </w:rPr>
              <w:t>+5</w:t>
            </w:r>
            <w:r>
              <w:rPr>
                <w:rFonts w:hint="eastAsia" w:ascii="Times New Roman" w:hAnsi="Times New Roman" w:cs="Times New Roman"/>
                <w:b w:val="0"/>
                <w:bCs w:val="0"/>
                <w:color w:val="auto"/>
                <w:sz w:val="21"/>
                <w:szCs w:val="21"/>
                <w:highlight w:val="none"/>
                <w:u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17" w:type="dxa"/>
            <w:vMerge w:val="continue"/>
            <w:noWrap w:val="0"/>
            <w:vAlign w:val="center"/>
          </w:tcPr>
          <w:p>
            <w:pPr>
              <w:pStyle w:val="2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22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color w:val="auto"/>
                <w:sz w:val="21"/>
                <w:szCs w:val="21"/>
                <w:highlight w:val="none"/>
                <w:lang w:val="en-US" w:eastAsia="zh-CN"/>
              </w:rPr>
              <w:t>废包装桶</w:t>
            </w:r>
          </w:p>
        </w:tc>
        <w:tc>
          <w:tcPr>
            <w:tcW w:w="143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4"/>
                <w:highlight w:val="no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w:t>
            </w:r>
          </w:p>
        </w:tc>
        <w:tc>
          <w:tcPr>
            <w:tcW w:w="1276" w:type="dxa"/>
            <w:noWrap w:val="0"/>
            <w:vAlign w:val="center"/>
          </w:tcPr>
          <w:p>
            <w:pPr>
              <w:pStyle w:val="2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snapToGrid w:val="0"/>
                <w:color w:val="auto"/>
                <w:spacing w:val="0"/>
                <w:kern w:val="21"/>
                <w:sz w:val="21"/>
                <w:szCs w:val="21"/>
                <w:lang w:val="en-US" w:eastAsia="zh-CN"/>
              </w:rPr>
              <w:t>/</w:t>
            </w:r>
          </w:p>
        </w:tc>
        <w:tc>
          <w:tcPr>
            <w:tcW w:w="170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559" w:type="dxa"/>
            <w:noWrap w:val="0"/>
            <w:vAlign w:val="center"/>
          </w:tcPr>
          <w:p>
            <w:pPr>
              <w:pStyle w:val="31"/>
              <w:spacing w:line="360" w:lineRule="exact"/>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15600桶/a</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eastAsia="zh-CN"/>
              </w:rPr>
            </w:pPr>
          </w:p>
        </w:tc>
        <w:tc>
          <w:tcPr>
            <w:tcW w:w="1612"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15600</w:t>
            </w:r>
            <w:r>
              <w:rPr>
                <w:rFonts w:hint="eastAsia" w:ascii="Times New Roman" w:hAnsi="Times New Roman" w:cs="Times New Roman"/>
                <w:color w:val="auto"/>
                <w:sz w:val="21"/>
                <w:szCs w:val="21"/>
                <w:highlight w:val="none"/>
                <w:lang w:val="en-US" w:eastAsia="zh-CN"/>
              </w:rPr>
              <w:t>桶/a</w:t>
            </w:r>
          </w:p>
        </w:tc>
        <w:tc>
          <w:tcPr>
            <w:tcW w:w="1173" w:type="dxa"/>
            <w:noWrap w:val="0"/>
            <w:vAlign w:val="center"/>
          </w:tcPr>
          <w:p>
            <w:pPr>
              <w:pStyle w:val="31"/>
              <w:spacing w:line="360" w:lineRule="exact"/>
              <w:ind w:firstLine="0" w:firstLineChars="0"/>
              <w:jc w:val="center"/>
              <w:rPr>
                <w:rFonts w:hint="eastAsia"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color w:val="auto"/>
                <w:sz w:val="21"/>
                <w:szCs w:val="21"/>
                <w:highlight w:val="none"/>
                <w:lang w:val="en-US" w:eastAsia="zh-CN"/>
              </w:rPr>
              <w:t>+15600桶/a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17" w:type="dxa"/>
            <w:vMerge w:val="continue"/>
            <w:noWrap w:val="0"/>
            <w:vAlign w:val="center"/>
          </w:tcPr>
          <w:p>
            <w:pPr>
              <w:pStyle w:val="2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22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color w:val="auto"/>
                <w:sz w:val="21"/>
                <w:szCs w:val="21"/>
                <w:highlight w:val="none"/>
                <w:lang w:val="en-US" w:eastAsia="zh-CN"/>
              </w:rPr>
              <w:t>生活垃圾</w:t>
            </w:r>
          </w:p>
        </w:tc>
        <w:tc>
          <w:tcPr>
            <w:tcW w:w="143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4"/>
                <w:highlight w:val="no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19.8t/a</w:t>
            </w:r>
          </w:p>
        </w:tc>
        <w:tc>
          <w:tcPr>
            <w:tcW w:w="1276" w:type="dxa"/>
            <w:noWrap w:val="0"/>
            <w:vAlign w:val="center"/>
          </w:tcPr>
          <w:p>
            <w:pPr>
              <w:pStyle w:val="2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snapToGrid w:val="0"/>
                <w:color w:val="auto"/>
                <w:spacing w:val="0"/>
                <w:kern w:val="21"/>
                <w:sz w:val="21"/>
                <w:szCs w:val="21"/>
                <w:lang w:val="en-US" w:eastAsia="zh-CN"/>
              </w:rPr>
              <w:t>/</w:t>
            </w:r>
          </w:p>
        </w:tc>
        <w:tc>
          <w:tcPr>
            <w:tcW w:w="170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559" w:type="dxa"/>
            <w:noWrap w:val="0"/>
            <w:vAlign w:val="center"/>
          </w:tcPr>
          <w:p>
            <w:pPr>
              <w:pStyle w:val="31"/>
              <w:spacing w:line="360" w:lineRule="exact"/>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eastAsia="zh-CN"/>
              </w:rPr>
            </w:pPr>
          </w:p>
        </w:tc>
        <w:tc>
          <w:tcPr>
            <w:tcW w:w="1612"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19.8t/a</w:t>
            </w:r>
          </w:p>
        </w:tc>
        <w:tc>
          <w:tcPr>
            <w:tcW w:w="1173" w:type="dxa"/>
            <w:noWrap w:val="0"/>
            <w:vAlign w:val="center"/>
          </w:tcPr>
          <w:p>
            <w:pPr>
              <w:pStyle w:val="31"/>
              <w:spacing w:line="360" w:lineRule="exact"/>
              <w:ind w:firstLine="0" w:firstLineChars="0"/>
              <w:jc w:val="center"/>
              <w:rPr>
                <w:rFonts w:hint="eastAsia"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color w:val="auto"/>
                <w:sz w:val="21"/>
                <w:szCs w:val="21"/>
                <w:highlight w:val="none"/>
                <w:lang w:val="en-US" w:eastAsia="zh-CN"/>
              </w:rPr>
              <w:t>0</w:t>
            </w:r>
          </w:p>
        </w:tc>
      </w:tr>
    </w:tbl>
    <w:p>
      <w:pPr>
        <w:pStyle w:val="24"/>
        <w:spacing w:before="192" w:beforeLines="80" w:after="24"/>
        <w:jc w:val="left"/>
        <w:rPr>
          <w:rFonts w:hint="default"/>
          <w:color w:val="auto"/>
          <w:lang w:val="en-US" w:eastAsia="zh-CN"/>
        </w:rPr>
      </w:pPr>
      <w:r>
        <w:rPr>
          <w:rFonts w:hAnsi="宋体"/>
          <w:snapToGrid w:val="0"/>
          <w:color w:val="auto"/>
          <w:spacing w:val="0"/>
          <w:kern w:val="21"/>
          <w:szCs w:val="21"/>
        </w:rPr>
        <w:t>注：</w:t>
      </w:r>
      <w:r>
        <w:rPr>
          <w:rFonts w:hAnsi="宋体"/>
          <w:snapToGrid w:val="0"/>
          <w:color w:val="auto"/>
          <w:spacing w:val="0"/>
          <w:kern w:val="21"/>
          <w:szCs w:val="21"/>
        </w:rPr>
        <w:fldChar w:fldCharType="begin"/>
      </w:r>
      <w:r>
        <w:rPr>
          <w:rFonts w:hAnsi="宋体"/>
          <w:snapToGrid w:val="0"/>
          <w:color w:val="auto"/>
          <w:spacing w:val="0"/>
          <w:kern w:val="21"/>
          <w:szCs w:val="21"/>
        </w:rPr>
        <w:instrText xml:space="preserve"> = 6 \* GB3 \* MERGEFORMAT </w:instrText>
      </w:r>
      <w:r>
        <w:rPr>
          <w:rFonts w:hAnsi="宋体"/>
          <w:snapToGrid w:val="0"/>
          <w:color w:val="auto"/>
          <w:spacing w:val="0"/>
          <w:kern w:val="21"/>
          <w:szCs w:val="21"/>
        </w:rPr>
        <w:fldChar w:fldCharType="separate"/>
      </w:r>
      <w:r>
        <w:rPr>
          <w:rFonts w:hint="eastAsia" w:hAnsi="宋体"/>
          <w:color w:val="auto"/>
          <w:spacing w:val="0"/>
          <w:kern w:val="21"/>
          <w:szCs w:val="21"/>
        </w:rPr>
        <w:t>⑥</w:t>
      </w:r>
      <w:r>
        <w:rPr>
          <w:rFonts w:hAnsi="宋体"/>
          <w:snapToGrid w:val="0"/>
          <w:color w:val="auto"/>
          <w:spacing w:val="0"/>
          <w:kern w:val="21"/>
          <w:szCs w:val="21"/>
        </w:rPr>
        <w:fldChar w:fldCharType="end"/>
      </w:r>
      <w:r>
        <w:rPr>
          <w:rFonts w:hAnsi="宋体"/>
          <w:snapToGrid w:val="0"/>
          <w:color w:val="auto"/>
          <w:spacing w:val="0"/>
          <w:kern w:val="21"/>
          <w:szCs w:val="21"/>
        </w:rPr>
        <w:t>=</w:t>
      </w:r>
      <w:r>
        <w:rPr>
          <w:rFonts w:hAnsi="宋体"/>
          <w:snapToGrid w:val="0"/>
          <w:color w:val="auto"/>
          <w:spacing w:val="0"/>
          <w:kern w:val="21"/>
          <w:szCs w:val="21"/>
        </w:rPr>
        <w:fldChar w:fldCharType="begin"/>
      </w:r>
      <w:r>
        <w:rPr>
          <w:rFonts w:hAnsi="宋体"/>
          <w:snapToGrid w:val="0"/>
          <w:color w:val="auto"/>
          <w:spacing w:val="0"/>
          <w:kern w:val="21"/>
          <w:szCs w:val="21"/>
        </w:rPr>
        <w:instrText xml:space="preserve"> = 1 \* GB3 \* MERGEFORMAT </w:instrText>
      </w:r>
      <w:r>
        <w:rPr>
          <w:rFonts w:hAnsi="宋体"/>
          <w:snapToGrid w:val="0"/>
          <w:color w:val="auto"/>
          <w:spacing w:val="0"/>
          <w:kern w:val="21"/>
          <w:szCs w:val="21"/>
        </w:rPr>
        <w:fldChar w:fldCharType="separate"/>
      </w:r>
      <w:r>
        <w:rPr>
          <w:rFonts w:hint="eastAsia" w:hAnsi="宋体"/>
          <w:color w:val="auto"/>
          <w:spacing w:val="0"/>
          <w:kern w:val="21"/>
          <w:szCs w:val="21"/>
        </w:rPr>
        <w:t>①</w:t>
      </w:r>
      <w:r>
        <w:rPr>
          <w:rFonts w:hAnsi="宋体"/>
          <w:snapToGrid w:val="0"/>
          <w:color w:val="auto"/>
          <w:spacing w:val="0"/>
          <w:kern w:val="21"/>
          <w:szCs w:val="21"/>
        </w:rPr>
        <w:fldChar w:fldCharType="end"/>
      </w:r>
      <w:r>
        <w:rPr>
          <w:rFonts w:hAnsi="宋体"/>
          <w:snapToGrid w:val="0"/>
          <w:color w:val="auto"/>
          <w:spacing w:val="0"/>
          <w:kern w:val="21"/>
          <w:szCs w:val="21"/>
        </w:rPr>
        <w:t>+</w:t>
      </w:r>
      <w:r>
        <w:rPr>
          <w:rFonts w:hAnsi="宋体"/>
          <w:snapToGrid w:val="0"/>
          <w:color w:val="auto"/>
          <w:spacing w:val="0"/>
          <w:kern w:val="21"/>
          <w:szCs w:val="21"/>
        </w:rPr>
        <w:fldChar w:fldCharType="begin"/>
      </w:r>
      <w:r>
        <w:rPr>
          <w:rFonts w:hAnsi="宋体"/>
          <w:snapToGrid w:val="0"/>
          <w:color w:val="auto"/>
          <w:spacing w:val="0"/>
          <w:kern w:val="21"/>
          <w:szCs w:val="21"/>
        </w:rPr>
        <w:instrText xml:space="preserve"> = 3 \* GB3 \* MERGEFORMAT </w:instrText>
      </w:r>
      <w:r>
        <w:rPr>
          <w:rFonts w:hAnsi="宋体"/>
          <w:snapToGrid w:val="0"/>
          <w:color w:val="auto"/>
          <w:spacing w:val="0"/>
          <w:kern w:val="21"/>
          <w:szCs w:val="21"/>
        </w:rPr>
        <w:fldChar w:fldCharType="separate"/>
      </w:r>
      <w:r>
        <w:rPr>
          <w:rFonts w:hint="eastAsia" w:hAnsi="宋体"/>
          <w:color w:val="auto"/>
          <w:spacing w:val="0"/>
          <w:kern w:val="21"/>
          <w:szCs w:val="21"/>
        </w:rPr>
        <w:t>③</w:t>
      </w:r>
      <w:r>
        <w:rPr>
          <w:rFonts w:hAnsi="宋体"/>
          <w:snapToGrid w:val="0"/>
          <w:color w:val="auto"/>
          <w:spacing w:val="0"/>
          <w:kern w:val="21"/>
          <w:szCs w:val="21"/>
        </w:rPr>
        <w:fldChar w:fldCharType="end"/>
      </w:r>
      <w:r>
        <w:rPr>
          <w:rFonts w:hAnsi="宋体"/>
          <w:snapToGrid w:val="0"/>
          <w:color w:val="auto"/>
          <w:spacing w:val="0"/>
          <w:kern w:val="21"/>
          <w:szCs w:val="21"/>
        </w:rPr>
        <w:t>+</w:t>
      </w:r>
      <w:r>
        <w:rPr>
          <w:rFonts w:hAnsi="宋体"/>
          <w:snapToGrid w:val="0"/>
          <w:color w:val="auto"/>
          <w:spacing w:val="0"/>
          <w:kern w:val="21"/>
          <w:szCs w:val="21"/>
        </w:rPr>
        <w:fldChar w:fldCharType="begin"/>
      </w:r>
      <w:r>
        <w:rPr>
          <w:rFonts w:hAnsi="宋体"/>
          <w:snapToGrid w:val="0"/>
          <w:color w:val="auto"/>
          <w:spacing w:val="0"/>
          <w:kern w:val="21"/>
          <w:szCs w:val="21"/>
        </w:rPr>
        <w:instrText xml:space="preserve"> = 4 \* GB3 \* MERGEFORMAT </w:instrText>
      </w:r>
      <w:r>
        <w:rPr>
          <w:rFonts w:hAnsi="宋体"/>
          <w:snapToGrid w:val="0"/>
          <w:color w:val="auto"/>
          <w:spacing w:val="0"/>
          <w:kern w:val="21"/>
          <w:szCs w:val="21"/>
        </w:rPr>
        <w:fldChar w:fldCharType="separate"/>
      </w:r>
      <w:r>
        <w:rPr>
          <w:rFonts w:hint="eastAsia" w:hAnsi="宋体"/>
          <w:color w:val="auto"/>
          <w:spacing w:val="0"/>
          <w:kern w:val="21"/>
          <w:szCs w:val="21"/>
        </w:rPr>
        <w:t>④</w:t>
      </w:r>
      <w:r>
        <w:rPr>
          <w:rFonts w:hAnsi="宋体"/>
          <w:snapToGrid w:val="0"/>
          <w:color w:val="auto"/>
          <w:spacing w:val="0"/>
          <w:kern w:val="21"/>
          <w:szCs w:val="21"/>
        </w:rPr>
        <w:fldChar w:fldCharType="end"/>
      </w:r>
      <w:r>
        <w:rPr>
          <w:rFonts w:hAnsi="宋体"/>
          <w:snapToGrid w:val="0"/>
          <w:color w:val="auto"/>
          <w:spacing w:val="0"/>
          <w:kern w:val="21"/>
          <w:szCs w:val="21"/>
        </w:rPr>
        <w:t>-</w:t>
      </w:r>
      <w:r>
        <w:rPr>
          <w:rFonts w:hAnsi="宋体"/>
          <w:snapToGrid w:val="0"/>
          <w:color w:val="auto"/>
          <w:spacing w:val="0"/>
          <w:kern w:val="21"/>
          <w:szCs w:val="21"/>
        </w:rPr>
        <w:fldChar w:fldCharType="begin"/>
      </w:r>
      <w:r>
        <w:rPr>
          <w:rFonts w:hAnsi="宋体"/>
          <w:snapToGrid w:val="0"/>
          <w:color w:val="auto"/>
          <w:spacing w:val="0"/>
          <w:kern w:val="21"/>
          <w:szCs w:val="21"/>
        </w:rPr>
        <w:instrText xml:space="preserve"> = 5 \* GB3 \* MERGEFORMAT </w:instrText>
      </w:r>
      <w:r>
        <w:rPr>
          <w:rFonts w:hAnsi="宋体"/>
          <w:snapToGrid w:val="0"/>
          <w:color w:val="auto"/>
          <w:spacing w:val="0"/>
          <w:kern w:val="21"/>
          <w:szCs w:val="21"/>
        </w:rPr>
        <w:fldChar w:fldCharType="separate"/>
      </w:r>
      <w:r>
        <w:rPr>
          <w:rFonts w:hint="eastAsia" w:hAnsi="宋体"/>
          <w:color w:val="auto"/>
          <w:spacing w:val="0"/>
          <w:kern w:val="21"/>
          <w:szCs w:val="21"/>
        </w:rPr>
        <w:t>⑤</w:t>
      </w:r>
      <w:r>
        <w:rPr>
          <w:rFonts w:hAnsi="宋体"/>
          <w:snapToGrid w:val="0"/>
          <w:color w:val="auto"/>
          <w:spacing w:val="0"/>
          <w:kern w:val="21"/>
          <w:szCs w:val="21"/>
        </w:rPr>
        <w:fldChar w:fldCharType="end"/>
      </w:r>
      <w:r>
        <w:rPr>
          <w:rFonts w:hAnsi="宋体"/>
          <w:snapToGrid w:val="0"/>
          <w:color w:val="auto"/>
          <w:spacing w:val="0"/>
          <w:kern w:val="21"/>
          <w:szCs w:val="21"/>
        </w:rPr>
        <w:t>；</w:t>
      </w:r>
      <w:r>
        <w:rPr>
          <w:rFonts w:hAnsi="宋体"/>
          <w:snapToGrid w:val="0"/>
          <w:color w:val="auto"/>
          <w:spacing w:val="0"/>
          <w:kern w:val="21"/>
          <w:szCs w:val="21"/>
        </w:rPr>
        <w:fldChar w:fldCharType="begin"/>
      </w:r>
      <w:r>
        <w:rPr>
          <w:rFonts w:hAnsi="宋体"/>
          <w:snapToGrid w:val="0"/>
          <w:color w:val="auto"/>
          <w:spacing w:val="0"/>
          <w:kern w:val="21"/>
          <w:szCs w:val="21"/>
        </w:rPr>
        <w:instrText xml:space="preserve"> = 7 \* GB3 \* MERGEFORMAT </w:instrText>
      </w:r>
      <w:r>
        <w:rPr>
          <w:rFonts w:hAnsi="宋体"/>
          <w:snapToGrid w:val="0"/>
          <w:color w:val="auto"/>
          <w:spacing w:val="0"/>
          <w:kern w:val="21"/>
          <w:szCs w:val="21"/>
        </w:rPr>
        <w:fldChar w:fldCharType="separate"/>
      </w:r>
      <w:r>
        <w:rPr>
          <w:rFonts w:hint="eastAsia" w:hAnsi="宋体"/>
          <w:color w:val="auto"/>
          <w:spacing w:val="0"/>
          <w:kern w:val="21"/>
          <w:szCs w:val="21"/>
        </w:rPr>
        <w:t>⑦</w:t>
      </w:r>
      <w:r>
        <w:rPr>
          <w:rFonts w:hAnsi="宋体"/>
          <w:snapToGrid w:val="0"/>
          <w:color w:val="auto"/>
          <w:spacing w:val="0"/>
          <w:kern w:val="21"/>
          <w:szCs w:val="21"/>
        </w:rPr>
        <w:fldChar w:fldCharType="end"/>
      </w:r>
      <w:r>
        <w:rPr>
          <w:rFonts w:hAnsi="宋体"/>
          <w:snapToGrid w:val="0"/>
          <w:color w:val="auto"/>
          <w:spacing w:val="0"/>
          <w:kern w:val="21"/>
          <w:szCs w:val="21"/>
        </w:rPr>
        <w:t>=</w:t>
      </w:r>
      <w:r>
        <w:rPr>
          <w:rFonts w:hAnsi="宋体"/>
          <w:snapToGrid w:val="0"/>
          <w:color w:val="auto"/>
          <w:spacing w:val="0"/>
          <w:kern w:val="21"/>
          <w:szCs w:val="21"/>
        </w:rPr>
        <w:fldChar w:fldCharType="begin"/>
      </w:r>
      <w:r>
        <w:rPr>
          <w:rFonts w:hAnsi="宋体"/>
          <w:snapToGrid w:val="0"/>
          <w:color w:val="auto"/>
          <w:spacing w:val="0"/>
          <w:kern w:val="21"/>
          <w:szCs w:val="21"/>
        </w:rPr>
        <w:instrText xml:space="preserve"> = 6 \* GB3 \* MERGEFORMAT </w:instrText>
      </w:r>
      <w:r>
        <w:rPr>
          <w:rFonts w:hAnsi="宋体"/>
          <w:snapToGrid w:val="0"/>
          <w:color w:val="auto"/>
          <w:spacing w:val="0"/>
          <w:kern w:val="21"/>
          <w:szCs w:val="21"/>
        </w:rPr>
        <w:fldChar w:fldCharType="separate"/>
      </w:r>
      <w:r>
        <w:rPr>
          <w:rFonts w:hint="eastAsia" w:hAnsi="宋体"/>
          <w:color w:val="auto"/>
          <w:spacing w:val="0"/>
          <w:kern w:val="21"/>
          <w:szCs w:val="21"/>
        </w:rPr>
        <w:t>⑥</w:t>
      </w:r>
      <w:r>
        <w:rPr>
          <w:rFonts w:hAnsi="宋体"/>
          <w:snapToGrid w:val="0"/>
          <w:color w:val="auto"/>
          <w:spacing w:val="0"/>
          <w:kern w:val="21"/>
          <w:szCs w:val="21"/>
        </w:rPr>
        <w:fldChar w:fldCharType="end"/>
      </w:r>
      <w:r>
        <w:rPr>
          <w:rFonts w:hAnsi="宋体"/>
          <w:snapToGrid w:val="0"/>
          <w:color w:val="auto"/>
          <w:spacing w:val="0"/>
          <w:kern w:val="21"/>
          <w:szCs w:val="21"/>
        </w:rPr>
        <w:t>-</w:t>
      </w:r>
      <w:r>
        <w:rPr>
          <w:rFonts w:hAnsi="宋体"/>
          <w:snapToGrid w:val="0"/>
          <w:color w:val="auto"/>
          <w:spacing w:val="0"/>
          <w:kern w:val="21"/>
          <w:szCs w:val="21"/>
        </w:rPr>
        <w:fldChar w:fldCharType="begin"/>
      </w:r>
      <w:r>
        <w:rPr>
          <w:rFonts w:hAnsi="宋体"/>
          <w:snapToGrid w:val="0"/>
          <w:color w:val="auto"/>
          <w:spacing w:val="0"/>
          <w:kern w:val="21"/>
          <w:szCs w:val="21"/>
        </w:rPr>
        <w:instrText xml:space="preserve"> = 1 \* GB3 \* MERGEFORMAT </w:instrText>
      </w:r>
      <w:r>
        <w:rPr>
          <w:rFonts w:hAnsi="宋体"/>
          <w:snapToGrid w:val="0"/>
          <w:color w:val="auto"/>
          <w:spacing w:val="0"/>
          <w:kern w:val="21"/>
          <w:szCs w:val="21"/>
        </w:rPr>
        <w:fldChar w:fldCharType="separate"/>
      </w:r>
      <w:r>
        <w:rPr>
          <w:rFonts w:hint="eastAsia" w:hAnsi="宋体"/>
          <w:color w:val="auto"/>
          <w:spacing w:val="0"/>
          <w:kern w:val="21"/>
          <w:szCs w:val="21"/>
        </w:rPr>
        <w:t>①</w:t>
      </w:r>
      <w:r>
        <w:rPr>
          <w:rFonts w:hAnsi="宋体"/>
          <w:snapToGrid w:val="0"/>
          <w:color w:val="auto"/>
          <w:spacing w:val="0"/>
          <w:kern w:val="21"/>
          <w:szCs w:val="21"/>
        </w:rPr>
        <w:fldChar w:fldCharType="end"/>
      </w:r>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全真楷書">
    <w:altName w:val="楷体_GB2312"/>
    <w:panose1 w:val="00000000000000000000"/>
    <w:charset w:val="88"/>
    <w:family w:val="modern"/>
    <w:pitch w:val="default"/>
    <w:sig w:usb0="00000000" w:usb1="00000000" w:usb2="00000010" w:usb3="00000000" w:csb0="00100000" w:csb1="00000000"/>
  </w:font>
  <w:font w:name="Wingdings 2">
    <w:panose1 w:val="05020102010507070707"/>
    <w:charset w:val="00"/>
    <w:family w:val="auto"/>
    <w:pitch w:val="default"/>
    <w:sig w:usb0="00000000" w:usb1="00000000" w:usb2="00000000" w:usb3="00000000" w:csb0="8000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1ZDmFa8BAABM&#10;AwAADgAAAAAAAAABACAAAAAeAQAAZHJzL2Uyb0RvYy54bWxQSwUGAAAAAAYABgBZAQAAPw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20948A"/>
    <w:multiLevelType w:val="multilevel"/>
    <w:tmpl w:val="C820948A"/>
    <w:lvl w:ilvl="0" w:tentative="0">
      <w:start w:val="1"/>
      <w:numFmt w:val="decimal"/>
      <w:lvlText w:val="第%1章  "/>
      <w:lvlJc w:val="left"/>
      <w:pPr>
        <w:ind w:left="420" w:hanging="420"/>
      </w:pPr>
      <w:rPr>
        <w:rFonts w:hint="default" w:ascii="Times New Roman" w:hAnsi="Times New Roman" w:eastAsia="黑体" w:cs="Times New Roman"/>
        <w:i w:val="0"/>
        <w:iCs w:val="0"/>
        <w:caps w:val="0"/>
        <w:smallCaps w:val="0"/>
        <w:strike w:val="0"/>
        <w:dstrike w:val="0"/>
        <w:outline w:val="0"/>
        <w:shadow w:val="0"/>
        <w:emboss w:val="0"/>
        <w:imprint w:val="0"/>
        <w:vanish w:val="0"/>
        <w:color w:val="000000"/>
        <w:spacing w:val="0"/>
        <w:position w:val="0"/>
        <w:u w:val="none"/>
        <w:vertAlign w:val="baseline"/>
      </w:rPr>
    </w:lvl>
    <w:lvl w:ilvl="1" w:tentative="0">
      <w:start w:val="1"/>
      <w:numFmt w:val="decimal"/>
      <w:isLgl/>
      <w:suff w:val="nothing"/>
      <w:lvlText w:val="%1.%2"/>
      <w:lvlJc w:val="left"/>
      <w:pPr>
        <w:ind w:left="180" w:firstLine="0"/>
      </w:pPr>
    </w:lvl>
    <w:lvl w:ilvl="2" w:tentative="0">
      <w:start w:val="1"/>
      <w:numFmt w:val="decimal"/>
      <w:isLgl/>
      <w:suff w:val="nothing"/>
      <w:lvlText w:val="%1.%2.%3"/>
      <w:lvlJc w:val="left"/>
      <w:pPr>
        <w:ind w:left="0" w:firstLine="0"/>
      </w:pPr>
      <w:rPr>
        <w:rFonts w:hint="eastAsia" w:ascii="Times New Roman" w:hAnsi="Times New Roman" w:cs="Times New Roman"/>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4"/>
      <w:isLgl/>
      <w:suff w:val="nothing"/>
      <w:lvlText w:val="%1.%2.%3.%4"/>
      <w:lvlJc w:val="left"/>
      <w:pPr>
        <w:ind w:left="2552" w:firstLine="0"/>
      </w:p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ZjA2NzMxY2U3YTQ3MDI0MjMxNmEyY2VlOTM2OWMifQ=="/>
  </w:docVars>
  <w:rsids>
    <w:rsidRoot w:val="00172A27"/>
    <w:rsid w:val="00E63FB1"/>
    <w:rsid w:val="012A6E8A"/>
    <w:rsid w:val="017C2BBF"/>
    <w:rsid w:val="047F4A5F"/>
    <w:rsid w:val="06635526"/>
    <w:rsid w:val="086C0833"/>
    <w:rsid w:val="08CF0CE3"/>
    <w:rsid w:val="095B375B"/>
    <w:rsid w:val="097B34EB"/>
    <w:rsid w:val="0B4959D5"/>
    <w:rsid w:val="0B8574D2"/>
    <w:rsid w:val="0CFB1E2B"/>
    <w:rsid w:val="0DCF3338"/>
    <w:rsid w:val="0E114C33"/>
    <w:rsid w:val="0F3C4D66"/>
    <w:rsid w:val="119B2444"/>
    <w:rsid w:val="11C077E9"/>
    <w:rsid w:val="148A1802"/>
    <w:rsid w:val="163E198F"/>
    <w:rsid w:val="180955CD"/>
    <w:rsid w:val="193145E7"/>
    <w:rsid w:val="195E4AA8"/>
    <w:rsid w:val="19AC27C1"/>
    <w:rsid w:val="1AB74ED3"/>
    <w:rsid w:val="1CED26C2"/>
    <w:rsid w:val="1CF26136"/>
    <w:rsid w:val="1D422F76"/>
    <w:rsid w:val="1F2914CD"/>
    <w:rsid w:val="201E7D74"/>
    <w:rsid w:val="22C456E8"/>
    <w:rsid w:val="259A07D9"/>
    <w:rsid w:val="26185916"/>
    <w:rsid w:val="26EF7151"/>
    <w:rsid w:val="290343AE"/>
    <w:rsid w:val="299D6642"/>
    <w:rsid w:val="2AC30FDA"/>
    <w:rsid w:val="2D3431B5"/>
    <w:rsid w:val="2F647DDB"/>
    <w:rsid w:val="2F9304DC"/>
    <w:rsid w:val="2FA05EC6"/>
    <w:rsid w:val="30320FF0"/>
    <w:rsid w:val="30B73555"/>
    <w:rsid w:val="31FE5B24"/>
    <w:rsid w:val="32540FE5"/>
    <w:rsid w:val="32E87316"/>
    <w:rsid w:val="35A83BD2"/>
    <w:rsid w:val="36200124"/>
    <w:rsid w:val="36902583"/>
    <w:rsid w:val="36E46FDD"/>
    <w:rsid w:val="38774379"/>
    <w:rsid w:val="38EE7264"/>
    <w:rsid w:val="3BCE4F85"/>
    <w:rsid w:val="3D2911AB"/>
    <w:rsid w:val="3DCC4C9C"/>
    <w:rsid w:val="3DF93B18"/>
    <w:rsid w:val="3E7D4E79"/>
    <w:rsid w:val="4012265B"/>
    <w:rsid w:val="41432DC5"/>
    <w:rsid w:val="44732257"/>
    <w:rsid w:val="479474DB"/>
    <w:rsid w:val="48B3725E"/>
    <w:rsid w:val="49B02628"/>
    <w:rsid w:val="4AA05467"/>
    <w:rsid w:val="4DDD0FCC"/>
    <w:rsid w:val="4EDC26A9"/>
    <w:rsid w:val="4EE41A95"/>
    <w:rsid w:val="4FB45A4F"/>
    <w:rsid w:val="51952BD1"/>
    <w:rsid w:val="53614193"/>
    <w:rsid w:val="536C5C52"/>
    <w:rsid w:val="541F302B"/>
    <w:rsid w:val="558E06E1"/>
    <w:rsid w:val="55D03CD2"/>
    <w:rsid w:val="56CC59D0"/>
    <w:rsid w:val="58250379"/>
    <w:rsid w:val="58784F05"/>
    <w:rsid w:val="5951678A"/>
    <w:rsid w:val="5A55028F"/>
    <w:rsid w:val="5BA115BA"/>
    <w:rsid w:val="5DCD5725"/>
    <w:rsid w:val="5DDF07E0"/>
    <w:rsid w:val="5F5757CF"/>
    <w:rsid w:val="5F7C75B8"/>
    <w:rsid w:val="6191375C"/>
    <w:rsid w:val="66090BBC"/>
    <w:rsid w:val="69337392"/>
    <w:rsid w:val="69DB7CEC"/>
    <w:rsid w:val="6A160008"/>
    <w:rsid w:val="6C965FDD"/>
    <w:rsid w:val="6D2B1BD1"/>
    <w:rsid w:val="6E031240"/>
    <w:rsid w:val="6E363E4B"/>
    <w:rsid w:val="6F86241B"/>
    <w:rsid w:val="72EB0A43"/>
    <w:rsid w:val="73F768CD"/>
    <w:rsid w:val="74FF49FB"/>
    <w:rsid w:val="771A2D08"/>
    <w:rsid w:val="7A117820"/>
    <w:rsid w:val="7C8363AC"/>
    <w:rsid w:val="7F48620D"/>
    <w:rsid w:val="7FE717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line="576" w:lineRule="auto"/>
      <w:outlineLvl w:val="0"/>
    </w:pPr>
    <w:rPr>
      <w:kern w:val="44"/>
      <w:sz w:val="30"/>
    </w:rPr>
  </w:style>
  <w:style w:type="paragraph" w:styleId="4">
    <w:name w:val="heading 4"/>
    <w:basedOn w:val="1"/>
    <w:next w:val="5"/>
    <w:semiHidden/>
    <w:unhideWhenUsed/>
    <w:qFormat/>
    <w:uiPriority w:val="0"/>
    <w:pPr>
      <w:keepNext/>
      <w:keepLines/>
      <w:numPr>
        <w:ilvl w:val="3"/>
        <w:numId w:val="1"/>
      </w:numPr>
      <w:ind w:left="0" w:firstLineChars="0"/>
      <w:outlineLvl w:val="3"/>
    </w:pPr>
    <w:rPr>
      <w:rFonts w:ascii="Times New Roman" w:hAnsi="Times New Roman" w:eastAsia="楷体"/>
      <w:bCs/>
      <w:sz w:val="24"/>
      <w:szCs w:val="28"/>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style>
  <w:style w:type="paragraph" w:styleId="5">
    <w:name w:val="Normal Indent"/>
    <w:basedOn w:val="1"/>
    <w:next w:val="1"/>
    <w:qFormat/>
    <w:uiPriority w:val="0"/>
    <w:pPr>
      <w:spacing w:before="120" w:line="500" w:lineRule="exact"/>
      <w:ind w:firstLine="420"/>
    </w:pPr>
    <w:rPr>
      <w:sz w:val="24"/>
    </w:rPr>
  </w:style>
  <w:style w:type="paragraph" w:styleId="6">
    <w:name w:val="annotation text"/>
    <w:basedOn w:val="1"/>
    <w:qFormat/>
    <w:uiPriority w:val="0"/>
    <w:pPr>
      <w:jc w:val="left"/>
    </w:pPr>
  </w:style>
  <w:style w:type="paragraph" w:styleId="7">
    <w:name w:val="Body Text"/>
    <w:basedOn w:val="1"/>
    <w:qFormat/>
    <w:uiPriority w:val="0"/>
    <w:pPr>
      <w:jc w:val="left"/>
    </w:pPr>
    <w:rPr>
      <w:sz w:val="32"/>
    </w:rPr>
  </w:style>
  <w:style w:type="paragraph" w:styleId="8">
    <w:name w:val="Body Text Indent"/>
    <w:basedOn w:val="1"/>
    <w:qFormat/>
    <w:uiPriority w:val="0"/>
    <w:pPr>
      <w:spacing w:after="120"/>
      <w:ind w:left="420" w:leftChars="200"/>
    </w:pPr>
  </w:style>
  <w:style w:type="paragraph" w:styleId="9">
    <w:name w:val="Block Text"/>
    <w:basedOn w:val="1"/>
    <w:next w:val="1"/>
    <w:qFormat/>
    <w:uiPriority w:val="0"/>
    <w:pPr>
      <w:snapToGrid w:val="0"/>
      <w:spacing w:line="408" w:lineRule="auto"/>
      <w:ind w:left="-113" w:right="-510" w:firstLine="510"/>
    </w:pPr>
    <w:rPr>
      <w:sz w:val="24"/>
      <w:szCs w:val="20"/>
    </w:rPr>
  </w:style>
  <w:style w:type="paragraph" w:styleId="10">
    <w:name w:val="Body Text Indent 2"/>
    <w:basedOn w:val="1"/>
    <w:qFormat/>
    <w:uiPriority w:val="0"/>
    <w:pPr>
      <w:spacing w:line="360" w:lineRule="auto"/>
      <w:ind w:firstLine="456" w:firstLineChars="200"/>
      <w:jc w:val="left"/>
    </w:pPr>
    <w:rPr>
      <w:sz w:val="24"/>
      <w:szCs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4"/>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Default1"/>
    <w:qFormat/>
    <w:uiPriority w:val="0"/>
    <w:pPr>
      <w:widowControl w:val="0"/>
      <w:autoSpaceDE w:val="0"/>
      <w:autoSpaceDN w:val="0"/>
      <w:adjustRightInd w:val="0"/>
    </w:pPr>
    <w:rPr>
      <w:rFonts w:ascii="全真楷書" w:hAnsi="Times New Roman" w:eastAsia="宋体" w:cs="全真楷書"/>
      <w:color w:val="000000"/>
      <w:sz w:val="24"/>
      <w:szCs w:val="24"/>
      <w:lang w:val="en-US" w:eastAsia="zh-CN" w:bidi="ar-SA"/>
    </w:rPr>
  </w:style>
  <w:style w:type="paragraph" w:customStyle="1" w:styleId="18">
    <w:name w:val="表格头"/>
    <w:basedOn w:val="1"/>
    <w:qFormat/>
    <w:uiPriority w:val="0"/>
    <w:pPr>
      <w:snapToGrid w:val="0"/>
      <w:ind w:firstLine="480" w:firstLineChars="200"/>
      <w:jc w:val="center"/>
    </w:pPr>
    <w:rPr>
      <w:rFonts w:ascii="黑体" w:eastAsia="黑体"/>
      <w:color w:val="000000"/>
      <w:sz w:val="24"/>
      <w:szCs w:val="20"/>
    </w:rPr>
  </w:style>
  <w:style w:type="character" w:customStyle="1" w:styleId="19">
    <w:name w:val="font01"/>
    <w:basedOn w:val="16"/>
    <w:qFormat/>
    <w:uiPriority w:val="0"/>
    <w:rPr>
      <w:rFonts w:hint="eastAsia" w:ascii="宋体" w:hAnsi="宋体" w:eastAsia="宋体" w:cs="宋体"/>
      <w:color w:val="000000"/>
      <w:sz w:val="24"/>
      <w:szCs w:val="24"/>
      <w:u w:val="none"/>
    </w:rPr>
  </w:style>
  <w:style w:type="paragraph" w:customStyle="1" w:styleId="20">
    <w:name w:val="表格文字"/>
    <w:basedOn w:val="1"/>
    <w:qFormat/>
    <w:uiPriority w:val="0"/>
    <w:pPr>
      <w:adjustRightInd w:val="0"/>
      <w:jc w:val="center"/>
    </w:pPr>
    <w:rPr>
      <w:kern w:val="0"/>
      <w:szCs w:val="21"/>
    </w:rPr>
  </w:style>
  <w:style w:type="paragraph" w:customStyle="1" w:styleId="21">
    <w:name w:val="正文AAA"/>
    <w:basedOn w:val="1"/>
    <w:qFormat/>
    <w:uiPriority w:val="0"/>
    <w:pPr>
      <w:spacing w:line="500" w:lineRule="exact"/>
      <w:ind w:firstLine="480" w:firstLineChars="200"/>
    </w:pPr>
    <w:rPr>
      <w:rFonts w:ascii="宋体" w:hAnsi="宋体"/>
      <w:sz w:val="24"/>
    </w:rPr>
  </w:style>
  <w:style w:type="paragraph" w:customStyle="1" w:styleId="22">
    <w:name w:val="表头"/>
    <w:basedOn w:val="1"/>
    <w:qFormat/>
    <w:uiPriority w:val="0"/>
    <w:pPr>
      <w:spacing w:line="480" w:lineRule="auto"/>
      <w:ind w:left="425"/>
      <w:jc w:val="center"/>
    </w:pPr>
    <w:rPr>
      <w:rFonts w:ascii="黑体" w:hAnsi="黑体" w:eastAsia="黑体"/>
      <w:lang w:val="zh-CN" w:eastAsia="zh-CN"/>
    </w:rPr>
  </w:style>
  <w:style w:type="paragraph" w:customStyle="1" w:styleId="23">
    <w:name w:val="Body Text First Indent 2"/>
    <w:basedOn w:val="1"/>
    <w:next w:val="1"/>
    <w:qFormat/>
    <w:uiPriority w:val="0"/>
    <w:pPr>
      <w:tabs>
        <w:tab w:val="left" w:pos="4500"/>
        <w:tab w:val="left" w:pos="4680"/>
      </w:tabs>
      <w:snapToGrid w:val="0"/>
      <w:spacing w:line="360" w:lineRule="auto"/>
      <w:ind w:firstLine="360" w:firstLineChars="150"/>
    </w:pPr>
    <w:rPr>
      <w:szCs w:val="20"/>
    </w:rPr>
  </w:style>
  <w:style w:type="paragraph" w:customStyle="1" w:styleId="24">
    <w:name w:val="表格"/>
    <w:basedOn w:val="1"/>
    <w:next w:val="1"/>
    <w:qFormat/>
    <w:uiPriority w:val="0"/>
    <w:pPr>
      <w:adjustRightInd w:val="0"/>
      <w:snapToGrid w:val="0"/>
      <w:spacing w:beforeLines="10" w:afterLines="10" w:line="259" w:lineRule="auto"/>
      <w:jc w:val="center"/>
    </w:pPr>
    <w:rPr>
      <w:rFonts w:ascii="宋体"/>
      <w:kern w:val="0"/>
      <w:szCs w:val="20"/>
    </w:rPr>
  </w:style>
  <w:style w:type="character" w:customStyle="1" w:styleId="25">
    <w:name w:val="标题2"/>
    <w:basedOn w:val="16"/>
    <w:qFormat/>
    <w:uiPriority w:val="0"/>
  </w:style>
  <w:style w:type="paragraph" w:customStyle="1" w:styleId="26">
    <w:name w:val="B标题(2级)"/>
    <w:basedOn w:val="1"/>
    <w:qFormat/>
    <w:uiPriority w:val="0"/>
  </w:style>
  <w:style w:type="paragraph" w:styleId="27">
    <w:name w:val="List Paragraph"/>
    <w:basedOn w:val="1"/>
    <w:qFormat/>
    <w:uiPriority w:val="34"/>
    <w:pPr>
      <w:ind w:firstLine="420" w:firstLineChars="200"/>
    </w:pPr>
  </w:style>
  <w:style w:type="paragraph" w:customStyle="1" w:styleId="28">
    <w:name w:val="报告正文"/>
    <w:basedOn w:val="1"/>
    <w:qFormat/>
    <w:uiPriority w:val="0"/>
    <w:pPr>
      <w:adjustRightInd w:val="0"/>
      <w:snapToGrid w:val="0"/>
      <w:spacing w:line="360" w:lineRule="auto"/>
      <w:ind w:firstLine="200" w:firstLineChars="200"/>
    </w:pPr>
    <w:rPr>
      <w:rFonts w:ascii="宋体" w:hAnsi="Times New Roman"/>
      <w:sz w:val="24"/>
      <w:szCs w:val="20"/>
    </w:rPr>
  </w:style>
  <w:style w:type="paragraph" w:customStyle="1" w:styleId="29">
    <w:name w:val="正"/>
    <w:basedOn w:val="1"/>
    <w:qFormat/>
    <w:uiPriority w:val="0"/>
    <w:pPr>
      <w:adjustRightInd w:val="0"/>
      <w:spacing w:line="360" w:lineRule="auto"/>
      <w:ind w:left="23" w:leftChars="11" w:firstLine="480" w:firstLineChars="200"/>
    </w:pPr>
    <w:rPr>
      <w:rFonts w:ascii="Times New Roman" w:hAnsi="Times New Roman"/>
      <w:kern w:val="2"/>
      <w:sz w:val="24"/>
      <w:szCs w:val="24"/>
    </w:rPr>
  </w:style>
  <w:style w:type="paragraph" w:customStyle="1" w:styleId="30">
    <w:name w:val="格式正文，26磅"/>
    <w:basedOn w:val="1"/>
    <w:qFormat/>
    <w:uiPriority w:val="0"/>
    <w:pPr>
      <w:topLinePunct/>
      <w:spacing w:line="520" w:lineRule="exact"/>
      <w:ind w:firstLine="200" w:firstLineChars="200"/>
    </w:pPr>
    <w:rPr>
      <w:rFonts w:ascii="宋体" w:hAnsi="宋体"/>
    </w:rPr>
  </w:style>
  <w:style w:type="paragraph" w:customStyle="1" w:styleId="31">
    <w:name w:val="样式 首行缩进:  2 字符"/>
    <w:basedOn w:val="1"/>
    <w:qFormat/>
    <w:uiPriority w:val="0"/>
    <w:rPr>
      <w:rFonts w:cs="宋体"/>
      <w:szCs w:val="20"/>
    </w:rPr>
  </w:style>
  <w:style w:type="paragraph" w:customStyle="1" w:styleId="32">
    <w:name w:val="Default"/>
    <w:qFormat/>
    <w:uiPriority w:val="0"/>
    <w:pPr>
      <w:widowControl w:val="0"/>
      <w:autoSpaceDE w:val="0"/>
      <w:autoSpaceDN w:val="0"/>
      <w:adjustRightInd w:val="0"/>
      <w:spacing w:line="460" w:lineRule="exact"/>
      <w:jc w:val="center"/>
    </w:pPr>
    <w:rPr>
      <w:rFonts w:ascii="黑体" w:hAnsi="Calibri" w:eastAsia="黑体" w:cs="黑体"/>
      <w:color w:val="000000"/>
      <w:sz w:val="24"/>
      <w:szCs w:val="24"/>
      <w:lang w:val="en-US" w:eastAsia="zh-CN" w:bidi="ar-SA"/>
    </w:rPr>
  </w:style>
  <w:style w:type="paragraph" w:customStyle="1" w:styleId="33">
    <w:name w:val="表内 定"/>
    <w:basedOn w:val="1"/>
    <w:qFormat/>
    <w:uiPriority w:val="0"/>
    <w:rPr>
      <w:rFonts w:cs="Times New Roman"/>
      <w:color w:val="00000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9.wmf"/><Relationship Id="rId23" Type="http://schemas.openxmlformats.org/officeDocument/2006/relationships/oleObject" Target="embeddings/oleObject10.bin"/><Relationship Id="rId22" Type="http://schemas.openxmlformats.org/officeDocument/2006/relationships/image" Target="media/image8.wmf"/><Relationship Id="rId21" Type="http://schemas.openxmlformats.org/officeDocument/2006/relationships/oleObject" Target="embeddings/oleObject9.bin"/><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oleObject" Target="embeddings/oleObject6.bin"/><Relationship Id="rId17" Type="http://schemas.openxmlformats.org/officeDocument/2006/relationships/oleObject" Target="embeddings/oleObject5.bin"/><Relationship Id="rId16" Type="http://schemas.openxmlformats.org/officeDocument/2006/relationships/image" Target="media/image7.wmf"/><Relationship Id="rId15" Type="http://schemas.openxmlformats.org/officeDocument/2006/relationships/oleObject" Target="embeddings/oleObject4.bin"/><Relationship Id="rId14" Type="http://schemas.openxmlformats.org/officeDocument/2006/relationships/image" Target="media/image6.wmf"/><Relationship Id="rId13" Type="http://schemas.openxmlformats.org/officeDocument/2006/relationships/oleObject" Target="embeddings/oleObject3.bin"/><Relationship Id="rId12" Type="http://schemas.openxmlformats.org/officeDocument/2006/relationships/image" Target="media/image5.wmf"/><Relationship Id="rId11" Type="http://schemas.openxmlformats.org/officeDocument/2006/relationships/oleObject" Target="embeddings/oleObject2.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1033"/>
    <customShpInfo spid="_x0000_s1032"/>
  </customShpExts>
  <extobjs>
    <extobj name="ECB019B1-382A-4266-B25C-5B523AA43C14-1">
      <extobjdata type="ECB019B1-382A-4266-B25C-5B523AA43C14" data="ewoJIkZpbGVJZCIgOiAiMTA4MTIzMzQ4NTM3IiwKCSJHcm91cElkIiA6ICIyMTA2MjYzOTEiLAoJIkltYWdlIiA6ICJpVkJPUncwS0dnb0FBQUFOU1VoRVVnQUFBdTRBQUFEeUNBWUFBQUFTbGtBREFBQUFDWEJJV1hNQUFBc1RBQUFMRXdFQW1wd1lBQUFnQUVsRVFWUjRuT3pkZDN4a1ZkMC84Tys1VSsvMGxzbWtUVGJaYkNaTE5zbm1Ma1hBQnhZVkZFRkZ5bU1ERmNFSDBVZjlZY0dHaXFnODlvS1Z4MTRlVVhGQmFZSjFBUUZYMlN4c1lUZWJzcHMrYVZPUzZlV2UzeCtaV1dablo5STJ5YVI4M3E5WFhzazk1OXc3WjJidXpYenZtZTg5bHdn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WUFQOUg1WUI0Zm1GKzg0N0FBQUFBRWxGVGtTdVFtQ0MiLAoJIlRoZW1lIiA6ICIiLAoJIlR5cGUiIDogImZsb3ciLAoJIlZlcnNpb24iIDogIiIKfQo="/>
    </extobj>
    <extobj name="ECB019B1-382A-4266-B25C-5B523AA43C14-2">
      <extobjdata type="ECB019B1-382A-4266-B25C-5B523AA43C14" data="ewoJIkZpbGVJZCIgOiAiMTcyNjEyNTY2MTYxIiwKCSJHcm91cElkIiA6ICIyMTA2MjYzOTEiLAoJIkltYWdlIiA6ICJpVkJPUncwS0dnb0FBQUFOU1VoRVVnQUFBemdBQUFLT0NBWUFBQUJxYUx4ZUFBQUFDWEJJV1hNQUFBc1RBQUFMRXdFQW1wd1lBQUFnQUVsRVFWUjRuT3pkZVh4T1ovNy84ZmVkaFVpSVhTM1Z4ZWpRYVN1a1FpbXRVUDBwV2x0MWFpeGpqTFdXS2pYVmFvZXhWSlZPaTVhaVdyUlVVVHFscXBiUVJSY3FvWlhhdDVJTnNVUVd5YjFjdnovU25HOXV1Uk1Ka1hCN1BSOFBqMGZ1NjF6bk9wOXo1MjZhZDY1enJpTUJ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29675</Words>
  <Characters>32432</Characters>
  <Lines>0</Lines>
  <Paragraphs>0</Paragraphs>
  <TotalTime>0</TotalTime>
  <ScaleCrop>false</ScaleCrop>
  <LinksUpToDate>false</LinksUpToDate>
  <CharactersWithSpaces>32588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2021-03-22T02:17:00Z</dcterms:created>
  <dc:creator>Administrator</dc:creator>
  <cp:lastModifiedBy>xuhua</cp:lastModifiedBy>
  <dcterms:modified xsi:type="dcterms:W3CDTF">2022-08-18T02:43:01Z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y fmtid="{D5CDD505-2E9C-101B-9397-08002B2CF9AE}" pid="3" name="ICV">
    <vt:lpwstr>32DF995A61E941C887CD6F9BDECABC1B</vt:lpwstr>
  </property>
</Properties>
</file>