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Cs/>
                <w:sz w:val="28"/>
                <w:szCs w:val="28"/>
              </w:rPr>
              <w:t>审批意见：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永环审〔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62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1876" w:leftChars="0" w:hanging="1876" w:hangingChars="519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36"/>
                <w:szCs w:val="36"/>
              </w:rPr>
              <w:t>关于《</w:t>
            </w:r>
            <w:r>
              <w:rPr>
                <w:rFonts w:hint="eastAsia" w:ascii="Times New Roman" w:hAnsi="仿宋_GB2312" w:eastAsia="仿宋_GB2312" w:cs="Times New Roman"/>
                <w:b/>
                <w:bCs/>
                <w:sz w:val="36"/>
                <w:szCs w:val="36"/>
                <w:lang w:eastAsia="zh-CN"/>
              </w:rPr>
              <w:t>永城市豫腾调味品酿造厂年产调味品</w:t>
            </w:r>
            <w:r>
              <w:rPr>
                <w:rFonts w:hint="eastAsia" w:ascii="Times New Roman" w:hAnsi="仿宋_GB2312" w:eastAsia="仿宋_GB2312" w:cs="Times New Roman"/>
                <w:b/>
                <w:bCs/>
                <w:sz w:val="36"/>
                <w:szCs w:val="36"/>
                <w:lang w:val="en-US" w:eastAsia="zh-CN"/>
              </w:rPr>
              <w:t>2000吨项目</w:t>
            </w:r>
            <w:r>
              <w:rPr>
                <w:rFonts w:ascii="Times New Roman" w:hAnsi="仿宋_GB2312" w:eastAsia="仿宋_GB2312" w:cs="Times New Roman"/>
                <w:b/>
                <w:bCs/>
                <w:sz w:val="36"/>
                <w:szCs w:val="36"/>
              </w:rPr>
              <w:t>环境影响报告表》的批复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永城市豫腾调味品酿造厂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广州环发环保工程有限公司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Times New Roman" w:hAnsi="仿宋_GB2312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永城市豫腾调味品酿造厂年产调味品</w:t>
            </w:r>
            <w:r>
              <w:rPr>
                <w:rFonts w:hint="eastAsia" w:ascii="Times New Roman" w:hAns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2000吨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项目环境影响报告表（报批版）》（以下简称《报告表》）已收悉。项目位于永城市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大王集镇王集村，租用原大王集中心小学闲置院子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，项目占地面积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6667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平方米，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其中包括生产车间、仓库、配套用房等。项目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万元，其中环保投资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万元。该审批事项已在永城市政府网站公示期满，公示期无异议。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经研究，批复如下：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560" w:firstLineChars="20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atLeast"/>
              <w:ind w:firstLine="560" w:firstLineChars="20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三、你公司应全面落实《报告表》提出的各项环保对策措施，确保各项污染物达标排放。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（二）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依据《报告表》和本批复文件，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30"/>
                <w:szCs w:val="30"/>
              </w:rPr>
              <w:t>严格落实施工场地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“</w:t>
            </w:r>
            <w:r>
              <w:rPr>
                <w:rFonts w:ascii="Times New Roman" w:hAnsi="仿宋" w:eastAsia="仿宋" w:cs="Times New Roman"/>
                <w:sz w:val="30"/>
                <w:szCs w:val="30"/>
              </w:rPr>
              <w:t>六个百分之百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”</w:t>
            </w:r>
            <w:r>
              <w:rPr>
                <w:rFonts w:ascii="Times New Roman" w:hAnsi="仿宋" w:eastAsia="仿宋" w:cs="Times New Roman"/>
                <w:sz w:val="30"/>
                <w:szCs w:val="30"/>
              </w:rPr>
              <w:t>，并对项目建设过程中产生的废水、废气、固体废物、噪声等污染源采取相应的防治措施。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560"/>
              <w:textAlignment w:val="auto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（三）外排污染物应满足以下要求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440" w:lineRule="atLeas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生活废水经污水处理设施处理后应满足《农田灌溉水质标准》（GB5084-2005）旱作标准，用于周边农田灌溉。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原材料粉碎过程中产生的粉尘通过加强车间通风后，须满足《大气污染物综合排放标准》（GB16297-1996）表2中颗粒物无组织的排放监控浓度限值标准要求；该项目使用的锅炉为为燃气锅炉，锅炉废气污染物排放须满足《锅炉大气污染物综合排放标准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GB13271-2014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对新建锅炉大气污染物排放限值（燃气锅炉），烟囱高度不低于8米；该项目生产过程中发酵渣存放产生的恶臭，在车间安装排风扇，加大排风量处理，同时采取及时清运方式，减少发酵渣在厂区存放时间以减少恶臭气体浓度，须满足《恶臭污染物排放标准》（GB14554-93）表1恶臭污染物厂界标准中的二级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-1" w:leftChars="-95" w:right="0" w:rightChars="0" w:hanging="198" w:hangingChars="71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：本项目高噪声设备采取减震、隔音等综合降噪措施后，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厂界噪声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满足《工业企业厂界环境噪声排放标准》（GB12348-2008）中的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类标准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（夜间不生产）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项目生产过程中产生的发酵残渣外卖给饲料加工厂；污水处理站产生的污泥经脱水处理满足垃圾填埋场进厂要求后，运往垃圾填埋场进行填埋；生活垃圾统一收集交由环卫部门统一处理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5、该项目总量控制指标为：COD</w:t>
            </w:r>
            <w:r>
              <w:rPr>
                <w:rFonts w:hint="default" w:ascii="Arial" w:hAnsi="Arial" w:eastAsia="华文仿宋" w:cs="Arial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  <w:t>0.019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t/a、/NH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subscript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-N</w:t>
            </w:r>
            <w:r>
              <w:rPr>
                <w:rFonts w:hint="default" w:ascii="Arial" w:hAnsi="Arial" w:eastAsia="华文仿宋" w:cs="Arial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0.002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t/a、SO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Arial" w:hAnsi="Arial" w:eastAsia="华文仿宋" w:cs="Arial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Arial" w:hAnsi="Arial" w:eastAsia="华文仿宋" w:cs="Arial"/>
                <w:sz w:val="28"/>
                <w:szCs w:val="28"/>
                <w:lang w:val="en-US" w:eastAsia="zh-CN"/>
              </w:rPr>
              <w:t>0.00198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t/a、NO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subscript"/>
                <w:lang w:val="en-US" w:eastAsia="zh-CN"/>
              </w:rPr>
              <w:t>X</w:t>
            </w:r>
            <w:r>
              <w:rPr>
                <w:rFonts w:hint="default" w:ascii="Arial" w:hAnsi="Arial" w:eastAsia="华文仿宋" w:cs="Arial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0.0171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280" w:firstLineChars="10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（四）如果今后国家或省颁布严于本批复指标的新标准，届时你公司按新标准执行。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四、企业应严格执行环保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三同时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制度并接受环保部门日常监督和管理。不得擅自改变地点、生产工艺及建设规模。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五、本批复有效期为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年，如该项目逾期方开工建设，其环境影响报告表应报我局重新审核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仿宋" w:eastAsia="仿宋" w:cs="Times New Roman"/>
                <w:sz w:val="28"/>
                <w:szCs w:val="28"/>
              </w:rPr>
              <w:t>经办人：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审核人：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审批人：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6720" w:firstLineChars="240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06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81375"/>
    <w:rsid w:val="44781375"/>
    <w:rsid w:val="6BB90C17"/>
    <w:rsid w:val="6D535020"/>
    <w:rsid w:val="735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33459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2018-05-21T02:19:00Z</dcterms:created>
  <dc:creator>王芳</dc:creator>
  <cp:lastModifiedBy>鱼丸粗面</cp:lastModifiedBy>
  <dcterms:modified xsi:type="dcterms:W3CDTF">2018-05-25T01:47:11Z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