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永环审〔2018〕46号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</w:rPr>
              <w:t>关于《商丘裕东发电有限责任公司地下水源替代工程项目环境影响报告表》的批复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z w:val="28"/>
                <w:szCs w:val="28"/>
              </w:rPr>
              <w:t>商丘裕东发电有限责任公司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color w:val="auto"/>
                <w:sz w:val="28"/>
                <w:szCs w:val="28"/>
              </w:rPr>
              <w:t>你公司报送的由河南咏蓝环境科技有限公司编制完成的《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商丘裕东发电有限责任公司地下水源替代工程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目环境影响报告表（报批版）》（以下简称《报告表》）已收悉。项目位于永城市侯岭乡郭张庄村裕东电厂。项目总投资2280万元，其中环保投资67万元。本期工程共分为两部分：开控水务公司院内新建输送泵站1座机相关配电房间。另一部分为开控水务至商丘裕东发电有限责任公司两条直敷设管道，敷设距离约5.5Km及商丘裕东发电有限责任公司院内相关配水措施（管网输送部分）。本期工程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三、你公司应全面落实《报告表》提出的各项环保对策措施，确保各项污染物达标排放。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（二） 依据《报告表》和本批复文件，对项目建设过程中产生的废水、废气、固体废物、噪声等污染，以及因施工对自然、生态环境造成的破坏，采取相应的防治措施。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（三）外排污染物应满足以下要求 ： </w:t>
            </w:r>
          </w:p>
          <w:p>
            <w:pPr>
              <w:adjustRightInd w:val="0"/>
              <w:snapToGrid w:val="0"/>
              <w:spacing w:line="288" w:lineRule="auto"/>
              <w:ind w:left="-15" w:leftChars="-7" w:firstLine="714" w:firstLineChars="255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1、废气：施工期采取围障拦挡、定时洒水抑尘、加强施工监管等；运输车辆，应有覆盖、密闭等措施，避免撒漏、扬尘污染。</w:t>
            </w:r>
          </w:p>
          <w:p>
            <w:pPr>
              <w:adjustRightInd w:val="0"/>
              <w:snapToGrid w:val="0"/>
              <w:spacing w:line="288" w:lineRule="auto"/>
              <w:ind w:left="19" w:leftChars="9" w:firstLine="677" w:firstLineChars="242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2、固废：施工期产生的建筑垃圾及废弃土石方，全部清运至当地主管部门指定的建筑垃圾填埋场进行处置，施工人员生活垃圾由环卫部门统一收集后集中处理。</w:t>
            </w:r>
          </w:p>
          <w:p>
            <w:pPr>
              <w:adjustRightInd w:val="0"/>
              <w:snapToGrid w:val="0"/>
              <w:spacing w:line="288" w:lineRule="auto"/>
              <w:ind w:left="19" w:leftChars="9" w:firstLine="537" w:firstLineChars="192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3、废水：管道试压产生的废水，水质为无污染的清水，收集后重复用于管道试压，不外排。</w:t>
            </w:r>
          </w:p>
          <w:p>
            <w:pPr>
              <w:adjustRightInd w:val="0"/>
              <w:snapToGrid w:val="0"/>
              <w:spacing w:line="288" w:lineRule="auto"/>
              <w:ind w:left="19" w:leftChars="9" w:firstLine="537" w:firstLineChars="192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、噪声:要求建设单位认真落实各项环保措施，切实加强施工管理，规范施工秩序，提倡文明施工、尽量避免午、夜间施工，减轻施工噪声的影响。运营期泵站采用加装柔性接头、配置消音器、安装双层塑钢隔音门窗等措施以减轻水泵噪声，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采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取以上措施后换热站噪声须满足《工业企业厂界环境噪声排放标准》（GB12348-2008）中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类标准。</w:t>
            </w:r>
          </w:p>
          <w:p>
            <w:pPr>
              <w:adjustRightInd w:val="0"/>
              <w:snapToGrid w:val="0"/>
              <w:spacing w:line="288" w:lineRule="auto"/>
              <w:ind w:left="19" w:leftChars="9" w:firstLine="537" w:firstLineChars="192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5、管道施工对道路交通的影响可通过修建临时道路，在道路两端需设置减速行驶标志牌及行驶导向牌，设专人指挥交通，疏导车流等措施减少对交通的影响。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四、企业应严格执行环保“三同时”制度，并接受环保部门日常监督和管理。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2018年04月03日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393CDA"/>
    <w:rsid w:val="000B7C7F"/>
    <w:rsid w:val="00B92E6D"/>
    <w:rsid w:val="02BF4879"/>
    <w:rsid w:val="05C06C2B"/>
    <w:rsid w:val="0B7C0A5A"/>
    <w:rsid w:val="59252225"/>
    <w:rsid w:val="5EDA5620"/>
    <w:rsid w:val="73144045"/>
    <w:rsid w:val="764E6CFF"/>
    <w:rsid w:val="7F3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2018-04-02T07:59:00Z</dcterms:created>
  <dc:creator>王芳</dc:creator>
  <cp:lastModifiedBy>鱼丸粗面</cp:lastModifiedBy>
  <dcterms:modified xsi:type="dcterms:W3CDTF">2018-04-20T05:28:16Z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