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904" w:type="dxa"/>
        <w:tblInd w:w="24" w:type="dxa"/>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Layout w:type="fixed"/>
        <w:tblCellMar>
          <w:top w:w="0" w:type="dxa"/>
          <w:left w:w="108" w:type="dxa"/>
          <w:bottom w:w="0" w:type="dxa"/>
          <w:right w:w="108" w:type="dxa"/>
        </w:tblCellMar>
      </w:tblPr>
      <w:tblGrid>
        <w:gridCol w:w="890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Layout w:type="fixed"/>
          <w:tblCellMar>
            <w:top w:w="0" w:type="dxa"/>
            <w:left w:w="108" w:type="dxa"/>
            <w:bottom w:w="0" w:type="dxa"/>
            <w:right w:w="108" w:type="dxa"/>
          </w:tblCellMar>
        </w:tblPrEx>
        <w:trPr>
          <w:trHeight w:val="13363" w:hRule="atLeast"/>
        </w:trPr>
        <w:tc>
          <w:tcPr>
            <w:tcW w:w="8904" w:type="dxa"/>
          </w:tcPr>
          <w:p>
            <w:pPr>
              <w:adjustRightInd w:val="0"/>
              <w:snapToGrid w:val="0"/>
              <w:spacing w:line="288" w:lineRule="auto"/>
              <w:rPr>
                <w:rFonts w:ascii="仿宋_GB2312" w:hAnsi="仿宋_GB2312" w:eastAsia="仿宋_GB2312" w:cs="仿宋_GB2312"/>
                <w:sz w:val="28"/>
                <w:szCs w:val="28"/>
              </w:rPr>
            </w:pPr>
            <w:r>
              <w:rPr>
                <w:rFonts w:hint="eastAsia" w:ascii="仿宋_GB2312" w:hAnsi="仿宋_GB2312" w:eastAsia="仿宋_GB2312" w:cs="仿宋_GB2312"/>
                <w:bCs/>
                <w:sz w:val="28"/>
                <w:szCs w:val="28"/>
              </w:rPr>
              <w:t>审批意见：</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永环审〔2018〕</w:t>
            </w:r>
            <w:r>
              <w:rPr>
                <w:rFonts w:hint="eastAsia" w:ascii="仿宋_GB2312" w:hAnsi="仿宋_GB2312" w:eastAsia="仿宋_GB2312" w:cs="仿宋_GB2312"/>
                <w:sz w:val="28"/>
                <w:szCs w:val="28"/>
                <w:lang w:val="en-US" w:eastAsia="zh-CN"/>
              </w:rPr>
              <w:t>45</w:t>
            </w:r>
            <w:r>
              <w:rPr>
                <w:rFonts w:hint="eastAsia" w:ascii="仿宋_GB2312" w:hAnsi="仿宋_GB2312" w:eastAsia="仿宋_GB2312" w:cs="仿宋_GB2312"/>
                <w:sz w:val="28"/>
                <w:szCs w:val="28"/>
              </w:rPr>
              <w:t xml:space="preserve"> 号</w:t>
            </w:r>
          </w:p>
          <w:p>
            <w:pPr>
              <w:adjustRightInd w:val="0"/>
              <w:snapToGrid w:val="0"/>
              <w:spacing w:line="288" w:lineRule="auto"/>
              <w:jc w:val="center"/>
              <w:rPr>
                <w:rFonts w:ascii="仿宋_GB2312" w:hAnsi="仿宋_GB2312" w:eastAsia="仿宋_GB2312" w:cs="仿宋_GB2312"/>
                <w:bCs/>
                <w:sz w:val="44"/>
                <w:szCs w:val="44"/>
              </w:rPr>
            </w:pPr>
            <w:r>
              <w:rPr>
                <w:rFonts w:hint="eastAsia" w:ascii="仿宋_GB2312" w:hAnsi="仿宋_GB2312" w:eastAsia="仿宋_GB2312" w:cs="仿宋_GB2312"/>
                <w:bCs/>
                <w:sz w:val="44"/>
                <w:szCs w:val="44"/>
              </w:rPr>
              <w:t>关于《永城市</w:t>
            </w:r>
            <w:r>
              <w:rPr>
                <w:rFonts w:hint="eastAsia" w:ascii="仿宋_GB2312" w:hAnsi="仿宋_GB2312" w:eastAsia="仿宋_GB2312" w:cs="仿宋_GB2312"/>
                <w:bCs/>
                <w:sz w:val="44"/>
                <w:szCs w:val="44"/>
                <w:lang w:eastAsia="zh-CN"/>
              </w:rPr>
              <w:t>金山加油站</w:t>
            </w:r>
            <w:r>
              <w:rPr>
                <w:rFonts w:hint="eastAsia" w:ascii="仿宋_GB2312" w:hAnsi="仿宋_GB2312" w:eastAsia="仿宋_GB2312" w:cs="仿宋_GB2312"/>
                <w:bCs/>
                <w:sz w:val="44"/>
                <w:szCs w:val="44"/>
              </w:rPr>
              <w:t>项目环境影响报告表》的批复</w:t>
            </w:r>
          </w:p>
          <w:p>
            <w:pPr>
              <w:adjustRightInd w:val="0"/>
              <w:snapToGrid w:val="0"/>
              <w:spacing w:line="288" w:lineRule="auto"/>
              <w:rPr>
                <w:rFonts w:ascii="仿宋" w:hAnsi="仿宋" w:eastAsia="仿宋" w:cs="仿宋_GB2312"/>
                <w:sz w:val="28"/>
                <w:szCs w:val="28"/>
              </w:rPr>
            </w:pPr>
            <w:r>
              <w:rPr>
                <w:rFonts w:hint="eastAsia" w:ascii="仿宋" w:hAnsi="仿宋" w:eastAsia="仿宋" w:cs="仿宋_GB2312"/>
                <w:sz w:val="28"/>
                <w:szCs w:val="28"/>
              </w:rPr>
              <w:t>永城市</w:t>
            </w:r>
            <w:r>
              <w:rPr>
                <w:rFonts w:hint="eastAsia" w:ascii="仿宋" w:hAnsi="仿宋" w:eastAsia="仿宋" w:cs="仿宋_GB2312"/>
                <w:bCs/>
                <w:sz w:val="28"/>
                <w:szCs w:val="28"/>
                <w:lang w:eastAsia="zh-CN"/>
              </w:rPr>
              <w:t>金山</w:t>
            </w:r>
            <w:r>
              <w:rPr>
                <w:rFonts w:hint="eastAsia" w:ascii="仿宋" w:hAnsi="仿宋" w:eastAsia="仿宋" w:cs="仿宋_GB2312"/>
                <w:bCs/>
                <w:sz w:val="28"/>
                <w:szCs w:val="28"/>
              </w:rPr>
              <w:t>加油站</w:t>
            </w:r>
            <w:r>
              <w:rPr>
                <w:rFonts w:hint="eastAsia" w:ascii="仿宋" w:hAnsi="仿宋" w:eastAsia="仿宋" w:cs="仿宋_GB2312"/>
                <w:sz w:val="28"/>
                <w:szCs w:val="28"/>
              </w:rPr>
              <w:t>:</w:t>
            </w:r>
            <w:r>
              <w:rPr>
                <w:rFonts w:hint="eastAsia" w:ascii="仿宋" w:hAnsi="仿宋" w:eastAsia="仿宋" w:cs="仿宋_GB2312"/>
                <w:sz w:val="28"/>
                <w:szCs w:val="28"/>
              </w:rPr>
              <w:tab/>
            </w:r>
          </w:p>
          <w:p>
            <w:pPr>
              <w:adjustRightInd w:val="0"/>
              <w:snapToGrid w:val="0"/>
              <w:spacing w:line="288" w:lineRule="auto"/>
              <w:ind w:firstLine="560" w:firstLineChars="200"/>
              <w:rPr>
                <w:rFonts w:ascii="仿宋" w:hAnsi="仿宋" w:eastAsia="仿宋" w:cs="华文仿宋"/>
                <w:sz w:val="28"/>
                <w:szCs w:val="28"/>
              </w:rPr>
            </w:pPr>
            <w:r>
              <w:rPr>
                <w:rFonts w:hint="eastAsia" w:ascii="仿宋" w:hAnsi="仿宋" w:eastAsia="仿宋" w:cs="华文仿宋"/>
                <w:sz w:val="28"/>
                <w:szCs w:val="28"/>
              </w:rPr>
              <w:t>你公司报送的由</w:t>
            </w:r>
            <w:r>
              <w:rPr>
                <w:rFonts w:hint="eastAsia" w:ascii="华文仿宋" w:hAnsi="华文仿宋" w:eastAsia="华文仿宋" w:cs="华文仿宋"/>
                <w:sz w:val="28"/>
                <w:szCs w:val="28"/>
                <w:lang w:eastAsia="zh-CN"/>
              </w:rPr>
              <w:t>临沧尚德环境技术</w:t>
            </w:r>
            <w:r>
              <w:rPr>
                <w:rFonts w:hint="eastAsia" w:ascii="仿宋" w:hAnsi="仿宋" w:eastAsia="仿宋" w:cs="华文仿宋"/>
                <w:sz w:val="28"/>
                <w:szCs w:val="28"/>
              </w:rPr>
              <w:t>有限公司编制完成的《永城市</w:t>
            </w:r>
            <w:r>
              <w:rPr>
                <w:rFonts w:hint="eastAsia" w:ascii="仿宋" w:hAnsi="仿宋" w:eastAsia="仿宋" w:cs="仿宋_GB2312"/>
                <w:bCs/>
                <w:sz w:val="28"/>
                <w:szCs w:val="28"/>
                <w:lang w:eastAsia="zh-CN"/>
              </w:rPr>
              <w:t>金山</w:t>
            </w:r>
            <w:r>
              <w:rPr>
                <w:rFonts w:hint="eastAsia" w:ascii="仿宋" w:hAnsi="仿宋" w:eastAsia="仿宋" w:cs="仿宋_GB2312"/>
                <w:bCs/>
                <w:sz w:val="28"/>
                <w:szCs w:val="28"/>
              </w:rPr>
              <w:t>加油站</w:t>
            </w:r>
            <w:r>
              <w:rPr>
                <w:rFonts w:hint="eastAsia" w:ascii="仿宋" w:hAnsi="仿宋" w:eastAsia="仿宋" w:cs="华文仿宋"/>
                <w:sz w:val="28"/>
                <w:szCs w:val="28"/>
              </w:rPr>
              <w:t>项目环境影响报告表（报批版）》（以下简称《报告表》）已收悉。项目位于永城市</w:t>
            </w:r>
            <w:r>
              <w:rPr>
                <w:rFonts w:hint="eastAsia" w:ascii="仿宋" w:hAnsi="仿宋" w:eastAsia="仿宋" w:cs="华文仿宋"/>
                <w:sz w:val="28"/>
                <w:szCs w:val="28"/>
                <w:lang w:eastAsia="zh-CN"/>
              </w:rPr>
              <w:t>永涡路路口西</w:t>
            </w:r>
            <w:r>
              <w:rPr>
                <w:rFonts w:hint="eastAsia" w:ascii="仿宋" w:hAnsi="仿宋" w:eastAsia="仿宋" w:cs="华文仿宋"/>
                <w:sz w:val="28"/>
                <w:szCs w:val="28"/>
                <w:lang w:val="en-US" w:eastAsia="zh-CN"/>
              </w:rPr>
              <w:t>800米路北</w:t>
            </w:r>
            <w:r>
              <w:rPr>
                <w:rFonts w:hint="eastAsia" w:ascii="仿宋" w:hAnsi="仿宋" w:eastAsia="仿宋" w:cs="华文仿宋"/>
                <w:sz w:val="28"/>
                <w:szCs w:val="28"/>
              </w:rPr>
              <w:t>。占地面积</w:t>
            </w:r>
            <w:r>
              <w:rPr>
                <w:rFonts w:hint="eastAsia" w:ascii="仿宋" w:hAnsi="仿宋" w:eastAsia="仿宋" w:cs="华文仿宋"/>
                <w:sz w:val="28"/>
                <w:szCs w:val="28"/>
                <w:lang w:val="en-US" w:eastAsia="zh-CN"/>
              </w:rPr>
              <w:t>600</w:t>
            </w:r>
            <w:r>
              <w:rPr>
                <w:rFonts w:hint="eastAsia" w:ascii="仿宋" w:hAnsi="仿宋" w:eastAsia="仿宋" w:cs="华文仿宋"/>
                <w:sz w:val="28"/>
                <w:szCs w:val="28"/>
              </w:rPr>
              <w:t>平方米，其中包括站房、加油棚、加油岛、油罐区等。本项目总投资</w:t>
            </w:r>
            <w:r>
              <w:rPr>
                <w:rFonts w:hint="eastAsia" w:ascii="仿宋" w:hAnsi="仿宋" w:eastAsia="仿宋" w:cs="华文仿宋"/>
                <w:sz w:val="28"/>
                <w:szCs w:val="28"/>
                <w:lang w:val="en-US" w:eastAsia="zh-CN"/>
              </w:rPr>
              <w:t>110</w:t>
            </w:r>
            <w:r>
              <w:rPr>
                <w:rFonts w:hint="eastAsia" w:ascii="仿宋" w:hAnsi="仿宋" w:eastAsia="仿宋" w:cs="华文仿宋"/>
                <w:sz w:val="28"/>
                <w:szCs w:val="28"/>
              </w:rPr>
              <w:t>万元，其中环保投资</w:t>
            </w:r>
            <w:r>
              <w:rPr>
                <w:rFonts w:hint="eastAsia" w:ascii="仿宋" w:hAnsi="仿宋" w:eastAsia="仿宋" w:cs="华文仿宋"/>
                <w:sz w:val="28"/>
                <w:szCs w:val="28"/>
                <w:lang w:val="en-US" w:eastAsia="zh-CN"/>
              </w:rPr>
              <w:t>13.5</w:t>
            </w:r>
            <w:r>
              <w:rPr>
                <w:rFonts w:hint="eastAsia" w:ascii="仿宋" w:hAnsi="仿宋" w:eastAsia="仿宋" w:cs="华文仿宋"/>
                <w:sz w:val="28"/>
                <w:szCs w:val="28"/>
              </w:rPr>
              <w:t>万。</w:t>
            </w:r>
            <w:r>
              <w:rPr>
                <w:rFonts w:hint="eastAsia" w:ascii="仿宋" w:hAnsi="仿宋" w:eastAsia="仿宋" w:cs="华文仿宋"/>
                <w:sz w:val="28"/>
                <w:szCs w:val="28"/>
                <w:lang w:eastAsia="zh-CN"/>
              </w:rPr>
              <w:t>项目共设</w:t>
            </w:r>
            <w:r>
              <w:rPr>
                <w:rFonts w:hint="eastAsia" w:ascii="仿宋" w:hAnsi="仿宋" w:eastAsia="仿宋" w:cs="华文仿宋"/>
                <w:sz w:val="28"/>
                <w:szCs w:val="28"/>
                <w:lang w:val="en-US" w:eastAsia="zh-CN"/>
              </w:rPr>
              <w:t>4个</w:t>
            </w:r>
            <w:r>
              <w:rPr>
                <w:rFonts w:hint="eastAsia" w:ascii="仿宋" w:hAnsi="仿宋" w:eastAsia="仿宋" w:cs="华文仿宋"/>
                <w:sz w:val="28"/>
                <w:szCs w:val="28"/>
                <w:lang w:eastAsia="zh-CN"/>
              </w:rPr>
              <w:t>油罐，</w:t>
            </w:r>
            <w:r>
              <w:rPr>
                <w:rFonts w:hint="eastAsia" w:ascii="仿宋" w:hAnsi="仿宋" w:eastAsia="仿宋" w:cs="华文仿宋"/>
                <w:sz w:val="28"/>
                <w:szCs w:val="28"/>
              </w:rPr>
              <w:t>钢质</w:t>
            </w:r>
            <w:r>
              <w:rPr>
                <w:rFonts w:hint="eastAsia" w:ascii="仿宋" w:hAnsi="仿宋" w:eastAsia="仿宋" w:cs="华文仿宋"/>
                <w:sz w:val="28"/>
                <w:szCs w:val="28"/>
                <w:lang w:val="en-US" w:eastAsia="zh-CN"/>
              </w:rPr>
              <w:t>15m</w:t>
            </w:r>
            <w:r>
              <w:rPr>
                <w:rFonts w:hint="eastAsia" w:ascii="仿宋" w:hAnsi="仿宋" w:eastAsia="仿宋" w:cs="华文仿宋"/>
                <w:sz w:val="28"/>
                <w:szCs w:val="28"/>
                <w:vertAlign w:val="superscript"/>
                <w:lang w:val="en-US" w:eastAsia="zh-CN"/>
              </w:rPr>
              <w:t>3</w:t>
            </w:r>
            <w:r>
              <w:rPr>
                <w:rFonts w:hint="eastAsia" w:ascii="仿宋" w:hAnsi="仿宋" w:eastAsia="仿宋" w:cs="华文仿宋"/>
                <w:sz w:val="28"/>
                <w:szCs w:val="28"/>
              </w:rPr>
              <w:t>地埋式双层油罐</w:t>
            </w:r>
            <w:r>
              <w:rPr>
                <w:rFonts w:hint="eastAsia" w:ascii="仿宋" w:hAnsi="仿宋" w:eastAsia="仿宋" w:cs="华文仿宋"/>
                <w:sz w:val="28"/>
                <w:szCs w:val="28"/>
                <w:lang w:val="en-US" w:eastAsia="zh-CN"/>
              </w:rPr>
              <w:t>2个，</w:t>
            </w:r>
            <w:r>
              <w:rPr>
                <w:rFonts w:hint="eastAsia" w:ascii="仿宋" w:hAnsi="仿宋" w:eastAsia="仿宋" w:cs="华文仿宋"/>
                <w:sz w:val="28"/>
                <w:szCs w:val="28"/>
              </w:rPr>
              <w:t>钢质</w:t>
            </w:r>
            <w:r>
              <w:rPr>
                <w:rFonts w:hint="eastAsia" w:ascii="仿宋" w:hAnsi="仿宋" w:eastAsia="仿宋" w:cs="华文仿宋"/>
                <w:sz w:val="28"/>
                <w:szCs w:val="28"/>
                <w:lang w:val="en-US" w:eastAsia="zh-CN"/>
              </w:rPr>
              <w:t>30m</w:t>
            </w:r>
            <w:r>
              <w:rPr>
                <w:rFonts w:hint="eastAsia" w:ascii="仿宋" w:hAnsi="仿宋" w:eastAsia="仿宋" w:cs="华文仿宋"/>
                <w:sz w:val="28"/>
                <w:szCs w:val="28"/>
                <w:vertAlign w:val="superscript"/>
                <w:lang w:val="en-US" w:eastAsia="zh-CN"/>
              </w:rPr>
              <w:t>3</w:t>
            </w:r>
            <w:r>
              <w:rPr>
                <w:rFonts w:hint="eastAsia" w:ascii="仿宋" w:hAnsi="仿宋" w:eastAsia="仿宋" w:cs="华文仿宋"/>
                <w:sz w:val="28"/>
                <w:szCs w:val="28"/>
              </w:rPr>
              <w:t>地埋式双层</w:t>
            </w:r>
            <w:r>
              <w:rPr>
                <w:rFonts w:hint="eastAsia" w:ascii="仿宋" w:hAnsi="仿宋" w:eastAsia="仿宋" w:cs="华文仿宋"/>
                <w:sz w:val="28"/>
                <w:szCs w:val="28"/>
                <w:lang w:eastAsia="zh-CN"/>
              </w:rPr>
              <w:t>汽</w:t>
            </w:r>
            <w:r>
              <w:rPr>
                <w:rFonts w:hint="eastAsia" w:ascii="仿宋" w:hAnsi="仿宋" w:eastAsia="仿宋" w:cs="华文仿宋"/>
                <w:sz w:val="28"/>
                <w:szCs w:val="28"/>
              </w:rPr>
              <w:t>油罐</w:t>
            </w:r>
            <w:r>
              <w:rPr>
                <w:rFonts w:hint="eastAsia" w:ascii="仿宋" w:hAnsi="仿宋" w:eastAsia="仿宋" w:cs="华文仿宋"/>
                <w:sz w:val="28"/>
                <w:szCs w:val="28"/>
                <w:lang w:val="en-US" w:eastAsia="zh-CN"/>
              </w:rPr>
              <w:t>2</w:t>
            </w:r>
            <w:r>
              <w:rPr>
                <w:rFonts w:hint="eastAsia" w:ascii="仿宋" w:hAnsi="仿宋" w:eastAsia="仿宋" w:cs="华文仿宋"/>
                <w:sz w:val="28"/>
                <w:szCs w:val="28"/>
              </w:rPr>
              <w:t>个，</w:t>
            </w:r>
            <w:r>
              <w:rPr>
                <w:rFonts w:hint="eastAsia" w:ascii="仿宋" w:hAnsi="仿宋" w:eastAsia="仿宋" w:cs="华文仿宋"/>
                <w:sz w:val="28"/>
                <w:szCs w:val="28"/>
                <w:lang w:val="en-US" w:eastAsia="zh-CN"/>
              </w:rPr>
              <w:t>50m</w:t>
            </w:r>
            <w:r>
              <w:rPr>
                <w:rFonts w:hint="eastAsia" w:ascii="仿宋" w:hAnsi="仿宋" w:eastAsia="仿宋" w:cs="华文仿宋"/>
                <w:sz w:val="28"/>
                <w:szCs w:val="28"/>
                <w:vertAlign w:val="superscript"/>
                <w:lang w:val="en-US" w:eastAsia="zh-CN"/>
              </w:rPr>
              <w:t>3</w:t>
            </w:r>
            <w:r>
              <w:rPr>
                <w:rFonts w:hint="eastAsia" w:ascii="仿宋" w:hAnsi="仿宋" w:eastAsia="仿宋" w:cs="华文仿宋"/>
                <w:sz w:val="28"/>
                <w:szCs w:val="28"/>
              </w:rPr>
              <w:t>地埋式双层</w:t>
            </w:r>
            <w:r>
              <w:rPr>
                <w:rFonts w:hint="eastAsia" w:ascii="仿宋" w:hAnsi="仿宋" w:eastAsia="仿宋" w:cs="华文仿宋"/>
                <w:sz w:val="28"/>
                <w:szCs w:val="28"/>
                <w:lang w:eastAsia="zh-CN"/>
              </w:rPr>
              <w:t>柴</w:t>
            </w:r>
            <w:r>
              <w:rPr>
                <w:rFonts w:hint="eastAsia" w:ascii="仿宋" w:hAnsi="仿宋" w:eastAsia="仿宋" w:cs="华文仿宋"/>
                <w:sz w:val="28"/>
                <w:szCs w:val="28"/>
              </w:rPr>
              <w:t>油罐</w:t>
            </w:r>
            <w:r>
              <w:rPr>
                <w:rFonts w:hint="eastAsia" w:ascii="仿宋" w:hAnsi="仿宋" w:eastAsia="仿宋" w:cs="华文仿宋"/>
                <w:sz w:val="28"/>
                <w:szCs w:val="28"/>
                <w:lang w:val="en-US" w:eastAsia="zh-CN"/>
              </w:rPr>
              <w:t>2</w:t>
            </w:r>
            <w:r>
              <w:rPr>
                <w:rFonts w:hint="eastAsia" w:ascii="仿宋" w:hAnsi="仿宋" w:eastAsia="仿宋" w:cs="华文仿宋"/>
                <w:sz w:val="28"/>
                <w:szCs w:val="28"/>
              </w:rPr>
              <w:t>个</w:t>
            </w:r>
            <w:r>
              <w:rPr>
                <w:rFonts w:hint="eastAsia" w:ascii="仿宋" w:hAnsi="仿宋" w:eastAsia="仿宋" w:cs="华文仿宋"/>
                <w:sz w:val="28"/>
                <w:szCs w:val="28"/>
                <w:lang w:eastAsia="zh-CN"/>
              </w:rPr>
              <w:t>，</w:t>
            </w:r>
            <w:r>
              <w:rPr>
                <w:rFonts w:hint="eastAsia" w:ascii="仿宋" w:hAnsi="仿宋" w:eastAsia="仿宋" w:cs="华文仿宋"/>
                <w:sz w:val="28"/>
                <w:szCs w:val="28"/>
              </w:rPr>
              <w:t>项目设置</w:t>
            </w:r>
            <w:r>
              <w:rPr>
                <w:rFonts w:hint="eastAsia" w:ascii="仿宋" w:hAnsi="仿宋" w:eastAsia="仿宋" w:cs="华文仿宋"/>
                <w:sz w:val="28"/>
                <w:szCs w:val="28"/>
                <w:lang w:eastAsia="zh-CN"/>
              </w:rPr>
              <w:t>双枪</w:t>
            </w:r>
            <w:r>
              <w:rPr>
                <w:rFonts w:hint="eastAsia" w:ascii="仿宋" w:hAnsi="仿宋" w:eastAsia="仿宋" w:cs="华文仿宋"/>
                <w:sz w:val="28"/>
                <w:szCs w:val="28"/>
              </w:rPr>
              <w:t>加油机</w:t>
            </w:r>
            <w:r>
              <w:rPr>
                <w:rFonts w:hint="eastAsia" w:ascii="仿宋" w:hAnsi="仿宋" w:eastAsia="仿宋" w:cs="华文仿宋"/>
                <w:sz w:val="28"/>
                <w:szCs w:val="28"/>
                <w:lang w:val="en-US" w:eastAsia="zh-CN"/>
              </w:rPr>
              <w:t>4</w:t>
            </w:r>
            <w:r>
              <w:rPr>
                <w:rFonts w:hint="eastAsia" w:ascii="仿宋" w:hAnsi="仿宋" w:eastAsia="仿宋" w:cs="华文仿宋"/>
                <w:sz w:val="28"/>
                <w:szCs w:val="28"/>
              </w:rPr>
              <w:t xml:space="preserve">台。该审批事项已在永城市政府网站公示期满，公示期无异议。 经研究，批复如下： </w:t>
            </w:r>
          </w:p>
          <w:p>
            <w:pPr>
              <w:adjustRightInd w:val="0"/>
              <w:snapToGrid w:val="0"/>
              <w:spacing w:line="288" w:lineRule="auto"/>
              <w:ind w:firstLine="560" w:firstLineChars="200"/>
              <w:rPr>
                <w:rFonts w:ascii="仿宋" w:hAnsi="仿宋" w:eastAsia="仿宋" w:cs="华文仿宋"/>
                <w:sz w:val="28"/>
                <w:szCs w:val="28"/>
              </w:rPr>
            </w:pPr>
            <w:r>
              <w:rPr>
                <w:rFonts w:hint="eastAsia" w:ascii="仿宋" w:hAnsi="仿宋" w:eastAsia="仿宋" w:cs="华文仿宋"/>
                <w:sz w:val="28"/>
                <w:szCs w:val="28"/>
              </w:rPr>
              <w:t xml:space="preserve">一、该《报告表》内容符合国家有关法律法规要求和建设项目环境管理规定，评价结论可信。我局批准该《报告表》，原则同意你公司按照《报告表》中所列项目的性质、规模、地点、采用的施工方式和环境保护对策措施进行建设。  </w:t>
            </w:r>
          </w:p>
          <w:p>
            <w:pPr>
              <w:ind w:firstLine="560" w:firstLineChars="200"/>
              <w:rPr>
                <w:rFonts w:ascii="仿宋" w:hAnsi="仿宋" w:eastAsia="仿宋" w:cs="华文仿宋"/>
                <w:sz w:val="28"/>
                <w:szCs w:val="28"/>
              </w:rPr>
            </w:pPr>
            <w:r>
              <w:rPr>
                <w:rFonts w:hint="eastAsia" w:ascii="仿宋" w:hAnsi="仿宋" w:eastAsia="仿宋" w:cs="华文仿宋"/>
                <w:sz w:val="28"/>
                <w:szCs w:val="28"/>
              </w:rPr>
              <w:t>二、你公司应向社会公众主动公开业经批准的《报告表》，并接受相关方的咨询。</w:t>
            </w:r>
          </w:p>
          <w:p>
            <w:pPr>
              <w:adjustRightInd w:val="0"/>
              <w:snapToGrid w:val="0"/>
              <w:spacing w:line="288" w:lineRule="auto"/>
              <w:rPr>
                <w:rFonts w:ascii="仿宋" w:hAnsi="仿宋" w:eastAsia="仿宋" w:cs="仿宋_GB2312"/>
                <w:sz w:val="28"/>
                <w:szCs w:val="28"/>
              </w:rPr>
            </w:pPr>
            <w:r>
              <w:rPr>
                <w:rFonts w:hint="eastAsia" w:ascii="仿宋" w:hAnsi="仿宋" w:eastAsia="仿宋" w:cs="仿宋_GB2312"/>
                <w:sz w:val="28"/>
                <w:szCs w:val="28"/>
              </w:rPr>
              <w:t xml:space="preserve">    三、你公司应全面落实《报告表》提出的各项环保对策措施，确保各项污染物达标排放。    </w:t>
            </w:r>
          </w:p>
          <w:p>
            <w:pPr>
              <w:adjustRightInd w:val="0"/>
              <w:snapToGrid w:val="0"/>
              <w:spacing w:line="288" w:lineRule="auto"/>
              <w:rPr>
                <w:rFonts w:ascii="仿宋" w:hAnsi="仿宋" w:eastAsia="仿宋" w:cs="仿宋_GB2312"/>
                <w:sz w:val="28"/>
                <w:szCs w:val="28"/>
              </w:rPr>
            </w:pPr>
            <w:r>
              <w:rPr>
                <w:rFonts w:hint="eastAsia" w:ascii="仿宋" w:hAnsi="仿宋" w:eastAsia="仿宋" w:cs="仿宋_GB2312"/>
                <w:sz w:val="28"/>
                <w:szCs w:val="28"/>
              </w:rPr>
              <w:t xml:space="preserve">    （一）向设计单位提供《报告表》和本批复文件，确保项目设计按照环境保护设计规范要求，落实防治环境污染以及环保设施投资概算。</w:t>
            </w:r>
          </w:p>
          <w:p>
            <w:pPr>
              <w:adjustRightInd w:val="0"/>
              <w:snapToGrid w:val="0"/>
              <w:spacing w:line="288" w:lineRule="auto"/>
              <w:rPr>
                <w:rFonts w:ascii="仿宋" w:hAnsi="仿宋" w:eastAsia="仿宋" w:cs="仿宋_GB2312"/>
                <w:sz w:val="28"/>
                <w:szCs w:val="28"/>
              </w:rPr>
            </w:pPr>
            <w:r>
              <w:rPr>
                <w:rFonts w:hint="eastAsia" w:ascii="仿宋" w:hAnsi="仿宋" w:eastAsia="仿宋" w:cs="仿宋_GB2312"/>
                <w:sz w:val="28"/>
                <w:szCs w:val="28"/>
              </w:rPr>
              <w:t xml:space="preserve">    （二）外排污染物应满足以下要求 ： </w:t>
            </w:r>
          </w:p>
          <w:p>
            <w:pPr>
              <w:numPr>
                <w:ilvl w:val="0"/>
                <w:numId w:val="1"/>
              </w:numPr>
              <w:adjustRightInd w:val="0"/>
              <w:snapToGrid w:val="0"/>
              <w:spacing w:line="288" w:lineRule="auto"/>
              <w:ind w:firstLine="560" w:firstLineChars="200"/>
              <w:rPr>
                <w:rFonts w:ascii="仿宋" w:hAnsi="仿宋" w:eastAsia="仿宋" w:cs="仿宋_GB2312"/>
                <w:sz w:val="28"/>
                <w:szCs w:val="28"/>
              </w:rPr>
            </w:pPr>
            <w:r>
              <w:rPr>
                <w:rFonts w:hint="eastAsia" w:ascii="仿宋" w:hAnsi="仿宋" w:eastAsia="仿宋" w:cs="仿宋_GB2312"/>
                <w:sz w:val="28"/>
                <w:szCs w:val="28"/>
              </w:rPr>
              <w:t>废水：</w:t>
            </w:r>
            <w:r>
              <w:rPr>
                <w:rFonts w:hint="eastAsia" w:ascii="仿宋" w:hAnsi="仿宋" w:eastAsia="仿宋" w:cs="仿宋_GB2312"/>
                <w:sz w:val="28"/>
                <w:szCs w:val="28"/>
                <w:lang w:eastAsia="zh-CN"/>
              </w:rPr>
              <w:t>本项目</w:t>
            </w:r>
            <w:r>
              <w:rPr>
                <w:rFonts w:hint="eastAsia" w:ascii="仿宋" w:hAnsi="仿宋" w:eastAsia="仿宋" w:cs="仿宋_GB2312"/>
                <w:sz w:val="28"/>
                <w:szCs w:val="28"/>
              </w:rPr>
              <w:t>生活污水</w:t>
            </w:r>
            <w:r>
              <w:rPr>
                <w:rFonts w:hint="eastAsia" w:ascii="仿宋" w:hAnsi="仿宋" w:eastAsia="仿宋" w:cs="仿宋_GB2312"/>
                <w:sz w:val="28"/>
                <w:szCs w:val="28"/>
                <w:lang w:eastAsia="zh-CN"/>
              </w:rPr>
              <w:t>经污水处理设施处理，场地冲洗废水经隔油池处理后</w:t>
            </w:r>
            <w:r>
              <w:rPr>
                <w:rFonts w:hint="eastAsia" w:ascii="仿宋" w:hAnsi="仿宋" w:eastAsia="仿宋" w:cs="仿宋_GB2312"/>
                <w:sz w:val="28"/>
                <w:szCs w:val="28"/>
              </w:rPr>
              <w:t>，</w:t>
            </w:r>
            <w:r>
              <w:rPr>
                <w:rFonts w:hint="eastAsia" w:ascii="仿宋" w:hAnsi="仿宋" w:eastAsia="仿宋" w:cs="仿宋_GB2312"/>
                <w:sz w:val="28"/>
                <w:szCs w:val="28"/>
                <w:lang w:eastAsia="zh-CN"/>
              </w:rPr>
              <w:t>全部回用于周边农田灌溉。</w:t>
            </w:r>
          </w:p>
          <w:p>
            <w:pPr>
              <w:numPr>
                <w:ilvl w:val="0"/>
                <w:numId w:val="0"/>
              </w:numPr>
              <w:adjustRightInd w:val="0"/>
              <w:snapToGrid w:val="0"/>
              <w:spacing w:line="288" w:lineRule="auto"/>
              <w:ind w:firstLine="560" w:firstLineChars="200"/>
              <w:rPr>
                <w:rFonts w:ascii="仿宋" w:hAnsi="仿宋" w:eastAsia="仿宋" w:cs="仿宋_GB2312"/>
                <w:sz w:val="28"/>
                <w:szCs w:val="28"/>
              </w:rPr>
            </w:pPr>
            <w:r>
              <w:rPr>
                <w:rFonts w:hint="eastAsia" w:ascii="仿宋" w:hAnsi="仿宋" w:eastAsia="仿宋" w:cs="仿宋_GB2312"/>
                <w:sz w:val="28"/>
                <w:szCs w:val="28"/>
                <w:lang w:val="en-US" w:eastAsia="zh-CN"/>
              </w:rPr>
              <w:t>2、</w:t>
            </w:r>
            <w:r>
              <w:rPr>
                <w:rFonts w:hint="eastAsia" w:ascii="仿宋" w:hAnsi="仿宋" w:eastAsia="仿宋" w:cs="仿宋_GB2312"/>
                <w:sz w:val="28"/>
                <w:szCs w:val="28"/>
              </w:rPr>
              <w:t>废气：本项目的废气主要来源于储罐、加油机，主要污染为为非甲烷总烃，本项目为地埋式储油罐、通过设置油气回收装置满足《加油站大气污染物排放标准》要求及《大气污染物综合排放标准》表2二级排放标准（非甲烷总烃</w:t>
            </w:r>
            <w:r>
              <w:rPr>
                <w:rFonts w:ascii="仿宋" w:hAnsi="仿宋" w:eastAsia="仿宋" w:cs="Arial"/>
                <w:sz w:val="28"/>
                <w:szCs w:val="28"/>
              </w:rPr>
              <w:t>≤</w:t>
            </w:r>
            <w:r>
              <w:rPr>
                <w:rFonts w:hint="eastAsia" w:ascii="仿宋" w:hAnsi="仿宋" w:eastAsia="仿宋" w:cs="仿宋_GB2312"/>
                <w:sz w:val="28"/>
                <w:szCs w:val="28"/>
              </w:rPr>
              <w:t>4.0mg/m</w:t>
            </w:r>
            <w:r>
              <w:rPr>
                <w:rFonts w:hint="eastAsia" w:ascii="仿宋" w:hAnsi="仿宋" w:eastAsia="仿宋" w:cs="仿宋_GB2312"/>
                <w:sz w:val="28"/>
                <w:szCs w:val="28"/>
                <w:vertAlign w:val="superscript"/>
              </w:rPr>
              <w:t>3</w:t>
            </w:r>
            <w:r>
              <w:rPr>
                <w:rFonts w:hint="eastAsia" w:ascii="仿宋" w:hAnsi="仿宋" w:eastAsia="仿宋" w:cs="仿宋_GB2312"/>
                <w:sz w:val="28"/>
                <w:szCs w:val="28"/>
              </w:rPr>
              <w:t>）；每年委托有资质的单位对油气回收系统及排放浓度进行一次检测并报环保部门备案。</w:t>
            </w:r>
          </w:p>
          <w:p>
            <w:pPr>
              <w:adjustRightInd w:val="0"/>
              <w:snapToGrid w:val="0"/>
              <w:spacing w:line="288" w:lineRule="auto"/>
              <w:rPr>
                <w:rFonts w:ascii="仿宋" w:hAnsi="仿宋" w:eastAsia="仿宋" w:cs="仿宋_GB2312"/>
                <w:sz w:val="28"/>
                <w:szCs w:val="28"/>
              </w:rPr>
            </w:pPr>
            <w:r>
              <w:rPr>
                <w:rFonts w:hint="eastAsia" w:ascii="仿宋" w:hAnsi="仿宋" w:eastAsia="仿宋" w:cs="仿宋_GB2312"/>
                <w:sz w:val="28"/>
                <w:szCs w:val="28"/>
              </w:rPr>
              <w:t xml:space="preserve">    3、噪声：本项目主要噪声来自油罐车、加油车辆进站时的汽车噪声和潜油泵噪声，厂界须满足《工业企业厂界环境噪声排放标准》（GB12348-2008）2/4类标准限值要求。</w:t>
            </w:r>
          </w:p>
          <w:p>
            <w:pPr>
              <w:adjustRightInd w:val="0"/>
              <w:snapToGrid w:val="0"/>
              <w:spacing w:line="288" w:lineRule="auto"/>
              <w:ind w:firstLine="560"/>
              <w:rPr>
                <w:rFonts w:ascii="仿宋" w:hAnsi="仿宋" w:eastAsia="仿宋" w:cs="仿宋_GB2312"/>
                <w:sz w:val="28"/>
                <w:szCs w:val="28"/>
              </w:rPr>
            </w:pPr>
            <w:r>
              <w:rPr>
                <w:rFonts w:hint="eastAsia" w:ascii="仿宋" w:hAnsi="仿宋" w:eastAsia="仿宋" w:cs="仿宋_GB2312"/>
                <w:sz w:val="28"/>
                <w:szCs w:val="28"/>
              </w:rPr>
              <w:t>4、固废方面：主要固废为油罐的油泥，有专门的清理队伍进行清理，清理出的油泥送有资质的单位进行处理，须满足《危险废物贮存污染控制标准》（GB18597-2001）及2013年修改单。生活垃圾统一收集交于环卫部门集中处理。</w:t>
            </w:r>
            <w:bookmarkStart w:id="0" w:name="_GoBack"/>
            <w:bookmarkEnd w:id="0"/>
          </w:p>
          <w:p>
            <w:pPr>
              <w:adjustRightInd w:val="0"/>
              <w:snapToGrid w:val="0"/>
              <w:spacing w:line="288" w:lineRule="auto"/>
              <w:ind w:firstLine="560"/>
              <w:rPr>
                <w:rFonts w:ascii="仿宋" w:hAnsi="仿宋" w:eastAsia="仿宋" w:cs="仿宋_GB2312"/>
                <w:sz w:val="28"/>
                <w:szCs w:val="28"/>
              </w:rPr>
            </w:pPr>
            <w:r>
              <w:rPr>
                <w:rFonts w:hint="eastAsia" w:ascii="仿宋" w:hAnsi="仿宋" w:eastAsia="仿宋" w:cs="仿宋_GB2312"/>
                <w:sz w:val="28"/>
                <w:szCs w:val="28"/>
              </w:rPr>
              <w:t xml:space="preserve">5、企业应加强科学管理，制定严格的防火、防爆制度，同时做好各类风险防范措施，严防各类事故的发生。项目未取得消防许可证及安评手续之前不得投入运营。 </w:t>
            </w:r>
          </w:p>
          <w:p>
            <w:pPr>
              <w:adjustRightInd w:val="0"/>
              <w:snapToGrid w:val="0"/>
              <w:spacing w:line="288" w:lineRule="auto"/>
              <w:rPr>
                <w:rFonts w:ascii="仿宋" w:hAnsi="仿宋" w:eastAsia="仿宋" w:cs="仿宋_GB2312"/>
                <w:sz w:val="28"/>
                <w:szCs w:val="28"/>
              </w:rPr>
            </w:pPr>
            <w:r>
              <w:rPr>
                <w:rFonts w:hint="eastAsia" w:ascii="仿宋" w:hAnsi="仿宋" w:eastAsia="仿宋" w:cs="仿宋_GB2312"/>
                <w:sz w:val="28"/>
                <w:szCs w:val="28"/>
              </w:rPr>
              <w:t xml:space="preserve">   （四）如果今后国家或省颁布严于本批复指标的新标准，届时你公司按新标准执行。</w:t>
            </w:r>
          </w:p>
          <w:p>
            <w:pPr>
              <w:adjustRightInd w:val="0"/>
              <w:snapToGrid w:val="0"/>
              <w:spacing w:line="288" w:lineRule="auto"/>
              <w:rPr>
                <w:rFonts w:ascii="仿宋" w:hAnsi="仿宋" w:eastAsia="仿宋" w:cs="仿宋_GB2312"/>
                <w:sz w:val="28"/>
                <w:szCs w:val="28"/>
              </w:rPr>
            </w:pPr>
            <w:r>
              <w:rPr>
                <w:rFonts w:hint="eastAsia" w:ascii="仿宋" w:hAnsi="仿宋" w:eastAsia="仿宋" w:cs="仿宋_GB2312"/>
                <w:sz w:val="28"/>
                <w:szCs w:val="28"/>
              </w:rPr>
              <w:t xml:space="preserve">    四、企业应严格执行环保“三同时”制度，并接受环保部门日常监督和管理。     </w:t>
            </w:r>
          </w:p>
          <w:p>
            <w:pPr>
              <w:adjustRightInd w:val="0"/>
              <w:snapToGrid w:val="0"/>
              <w:spacing w:line="288" w:lineRule="auto"/>
              <w:rPr>
                <w:rFonts w:hint="eastAsia" w:ascii="仿宋" w:hAnsi="仿宋" w:eastAsia="仿宋" w:cs="仿宋_GB2312"/>
                <w:sz w:val="28"/>
                <w:szCs w:val="28"/>
              </w:rPr>
            </w:pPr>
            <w:r>
              <w:rPr>
                <w:rFonts w:hint="eastAsia" w:ascii="仿宋" w:hAnsi="仿宋" w:eastAsia="仿宋" w:cs="仿宋_GB2312"/>
                <w:sz w:val="28"/>
                <w:szCs w:val="28"/>
              </w:rPr>
              <w:t xml:space="preserve"> </w:t>
            </w:r>
          </w:p>
          <w:p>
            <w:pPr>
              <w:adjustRightInd w:val="0"/>
              <w:snapToGrid w:val="0"/>
              <w:spacing w:line="288" w:lineRule="auto"/>
              <w:rPr>
                <w:rFonts w:ascii="仿宋" w:hAnsi="仿宋" w:eastAsia="仿宋" w:cs="仿宋_GB2312"/>
                <w:sz w:val="28"/>
                <w:szCs w:val="28"/>
              </w:rPr>
            </w:pPr>
            <w:r>
              <w:rPr>
                <w:rFonts w:hint="eastAsia" w:ascii="仿宋" w:hAnsi="仿宋" w:eastAsia="仿宋" w:cs="仿宋_GB2312"/>
                <w:sz w:val="28"/>
                <w:szCs w:val="28"/>
                <w:lang w:eastAsia="zh-CN"/>
              </w:rPr>
              <w:t>经办人：</w:t>
            </w:r>
            <w:r>
              <w:rPr>
                <w:rFonts w:hint="eastAsia" w:ascii="仿宋" w:hAnsi="仿宋" w:eastAsia="仿宋" w:cs="仿宋_GB2312"/>
                <w:sz w:val="28"/>
                <w:szCs w:val="28"/>
              </w:rPr>
              <w:t xml:space="preserve">            审核人：            审批人：                                         </w:t>
            </w:r>
          </w:p>
          <w:p>
            <w:pPr>
              <w:adjustRightInd w:val="0"/>
              <w:snapToGrid w:val="0"/>
              <w:spacing w:line="288" w:lineRule="auto"/>
              <w:rPr>
                <w:rFonts w:ascii="仿宋" w:hAnsi="仿宋" w:eastAsia="仿宋" w:cs="仿宋_GB2312"/>
                <w:sz w:val="28"/>
                <w:szCs w:val="28"/>
              </w:rPr>
            </w:pPr>
          </w:p>
          <w:p>
            <w:pPr>
              <w:adjustRightInd w:val="0"/>
              <w:snapToGrid w:val="0"/>
              <w:spacing w:line="288" w:lineRule="auto"/>
              <w:rPr>
                <w:rFonts w:ascii="仿宋" w:hAnsi="仿宋" w:eastAsia="仿宋" w:cs="仿宋_GB2312"/>
                <w:sz w:val="28"/>
                <w:szCs w:val="28"/>
              </w:rPr>
            </w:pPr>
          </w:p>
          <w:p>
            <w:pPr>
              <w:adjustRightInd w:val="0"/>
              <w:snapToGrid w:val="0"/>
              <w:spacing w:line="288" w:lineRule="auto"/>
              <w:ind w:firstLine="6440" w:firstLineChars="2300"/>
              <w:rPr>
                <w:rFonts w:ascii="仿宋" w:hAnsi="仿宋" w:eastAsia="仿宋" w:cs="仿宋_GB2312"/>
                <w:sz w:val="28"/>
                <w:szCs w:val="28"/>
              </w:rPr>
            </w:pPr>
            <w:r>
              <w:rPr>
                <w:rFonts w:hint="eastAsia" w:ascii="仿宋" w:hAnsi="仿宋" w:eastAsia="仿宋" w:cs="仿宋_GB2312"/>
                <w:sz w:val="28"/>
                <w:szCs w:val="28"/>
              </w:rPr>
              <w:t>（公章）</w:t>
            </w:r>
          </w:p>
          <w:p>
            <w:pPr>
              <w:adjustRightInd w:val="0"/>
              <w:snapToGrid w:val="0"/>
              <w:spacing w:line="288" w:lineRule="auto"/>
              <w:rPr>
                <w:szCs w:val="28"/>
              </w:rPr>
            </w:pPr>
            <w:r>
              <w:rPr>
                <w:rFonts w:hint="eastAsia" w:ascii="仿宋" w:hAnsi="仿宋" w:eastAsia="仿宋" w:cs="仿宋_GB2312"/>
                <w:sz w:val="28"/>
                <w:szCs w:val="28"/>
              </w:rPr>
              <w:t xml:space="preserve">                                          2018年 </w:t>
            </w:r>
            <w:r>
              <w:rPr>
                <w:rFonts w:hint="eastAsia" w:ascii="仿宋" w:hAnsi="仿宋" w:eastAsia="仿宋" w:cs="仿宋_GB2312"/>
                <w:sz w:val="28"/>
                <w:szCs w:val="28"/>
                <w:lang w:val="en-US" w:eastAsia="zh-CN"/>
              </w:rPr>
              <w:t>03</w:t>
            </w:r>
            <w:r>
              <w:rPr>
                <w:rFonts w:hint="eastAsia" w:ascii="仿宋" w:hAnsi="仿宋" w:eastAsia="仿宋" w:cs="仿宋_GB2312"/>
                <w:sz w:val="28"/>
                <w:szCs w:val="28"/>
              </w:rPr>
              <w:t xml:space="preserve"> 月 </w:t>
            </w:r>
            <w:r>
              <w:rPr>
                <w:rFonts w:hint="eastAsia" w:ascii="仿宋" w:hAnsi="仿宋" w:eastAsia="仿宋" w:cs="仿宋_GB2312"/>
                <w:sz w:val="28"/>
                <w:szCs w:val="28"/>
                <w:lang w:val="en-US" w:eastAsia="zh-CN"/>
              </w:rPr>
              <w:t>19</w:t>
            </w:r>
            <w:r>
              <w:rPr>
                <w:rFonts w:hint="eastAsia" w:ascii="仿宋" w:hAnsi="仿宋" w:eastAsia="仿宋" w:cs="仿宋_GB2312"/>
                <w:sz w:val="28"/>
                <w:szCs w:val="28"/>
              </w:rPr>
              <w:t xml:space="preserve"> 日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7CFE5"/>
    <w:multiLevelType w:val="singleLevel"/>
    <w:tmpl w:val="5A17CFE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992CA3"/>
    <w:rsid w:val="2E992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2018-03-20T06:43:00Z</dcterms:created>
  <dc:creator>王芳</dc:creator>
  <cp:lastModifiedBy>王芳</cp:lastModifiedBy>
  <cp:lastPrinted>2018-03-20T07:02:03Z</cp:lastPrinted>
  <dcterms:modified xsi:type="dcterms:W3CDTF">2018-03-20T07:48:10Z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