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15">
  <w:body>
    <w:p>
      <w:pPr>
        <w:pStyle w:val="Normal"/>
        <w:widowControl/>
        <w:shd w:color="auto" w:fill="FFFFFF" w:val="clear"/>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p>
      <w:pPr>
        <w:pStyle w:val="Normal"/>
        <w:widowControl/>
        <w:shd w:color="auto" w:fill="FFFFFF" w:val="clear"/>
        <w:jc w:val="center"/>
        <w:rPr>
          <w:rFonts w:ascii="宋体" w:cs="宋体" w:eastAsia="宋体" w:hAnsi="宋体"/>
          <w:color w:val="333333"/>
          <w:kern w:val="0"/>
          <w:sz w:val="24"/>
          <w:szCs w:val="24"/>
        </w:rPr>
      </w:pPr>
      <w:r>
        <w:rPr>
          <w:rFonts w:ascii="宋体" w:cs="宋体" w:eastAsia="宋体" w:hAnsi="宋体"/>
          <w:b/>
          <w:bCs/>
          <w:color w:val="333333"/>
          <w:kern w:val="0"/>
          <w:sz w:val="36"/>
          <w:szCs w:val="36"/>
        </w:rPr>
        <w:t>永城市发展和改革委员会2023年政府信息公开工作年度报告</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一、总体情况</w:t>
      </w:r>
    </w:p>
    <w:p>
      <w:pPr>
        <w:pStyle w:val="Normal"/>
        <w:widowControl/>
        <w:shd w:color="auto" w:fill="FFFFFF" w:val="clear"/>
        <w:ind w:firstLine="480"/>
        <w:rPr>
          <w:rFonts w:ascii="宋体" w:cs="宋体" w:eastAsia="宋体" w:hAnsi="宋体"/>
          <w:color w:val="333333"/>
          <w:kern w:val="0"/>
          <w:sz w:val="24"/>
          <w:szCs w:val="24"/>
        </w:rPr>
      </w:pPr>
      <w:r>
        <w:t>2023年，市发展改革委深入贯彻落实政务公开工作要点，不断提高政策公开质量，夯实公开工作基础，强化工作指导监督，提升我委政务公开工作质效。现公布市发展改革委2023年政府信息公开工作年度报告，所列数据统计期限为2023年1月1日至12月31日。</w:t>
      </w:r>
    </w:p>
    <w:p>
      <w:pPr>
        <w:pStyle w:val="Normal"/>
        <w:widowControl/>
        <w:shd w:color="auto" w:fill="FFFFFF" w:val="clear"/>
        <w:ind w:firstLine="480"/>
        <w:rPr>
          <w:rFonts w:ascii="宋体" w:cs="宋体" w:eastAsia="宋体" w:hAnsi="宋体"/>
          <w:color w:val="333333"/>
          <w:kern w:val="0"/>
          <w:sz w:val="24"/>
          <w:szCs w:val="24"/>
        </w:rPr>
      </w:pPr>
      <w:r>
        <w:t>（一）主动公开方面</w:t>
      </w:r>
    </w:p>
    <w:p>
      <w:pPr>
        <w:pStyle w:val="Normal"/>
        <w:widowControl/>
        <w:shd w:color="auto" w:fill="FFFFFF" w:val="clear"/>
        <w:ind w:firstLine="480"/>
        <w:rPr>
          <w:rFonts w:ascii="宋体" w:cs="宋体" w:eastAsia="宋体" w:hAnsi="宋体"/>
          <w:color w:val="333333"/>
          <w:kern w:val="0"/>
          <w:sz w:val="24"/>
          <w:szCs w:val="24"/>
        </w:rPr>
      </w:pPr>
      <w:r>
        <w:t>一是及时安排部署政务公开工作任务。对政务公开工作要点任务进行分解表，向委各股室印发要点任务和责任分工。二是加大重点领域信息公开力度。围绕全年工作重点及时发布公开信息：所有备案、核准、审批项目通过河南省投资项目在线审批监管平台网上申报系统，统一对外公开，全年我委共受理并公开项目1560次，其中行政许可类28项；价格信息通过永城网信息公开平台对外公开，全年共公示价格调整信息22项；信用领域信息通过信用中国（河南永城）网站对外公开公示，公开信用动641条、政策法规及标准规范140条，公示法人行政许可1667条、法人行政处罚597条。</w:t>
      </w:r>
    </w:p>
    <w:p>
      <w:pPr>
        <w:pStyle w:val="Normal"/>
        <w:widowControl/>
        <w:shd w:color="auto" w:fill="FFFFFF" w:val="clear"/>
        <w:ind w:firstLine="480"/>
        <w:rPr>
          <w:rFonts w:ascii="宋体" w:cs="宋体" w:eastAsia="宋体" w:hAnsi="宋体"/>
          <w:color w:val="333333"/>
          <w:kern w:val="0"/>
          <w:sz w:val="24"/>
          <w:szCs w:val="24"/>
        </w:rPr>
      </w:pPr>
      <w:r>
        <w:t>（二）依申请公开方面</w:t>
      </w:r>
    </w:p>
    <w:p>
      <w:pPr>
        <w:pStyle w:val="Normal"/>
        <w:widowControl/>
        <w:shd w:color="auto" w:fill="FFFFFF" w:val="clear"/>
        <w:ind w:firstLine="480"/>
        <w:rPr>
          <w:rFonts w:ascii="宋体" w:cs="宋体" w:eastAsia="宋体" w:hAnsi="宋体"/>
          <w:color w:val="333333"/>
          <w:kern w:val="0"/>
          <w:sz w:val="24"/>
          <w:szCs w:val="24"/>
        </w:rPr>
      </w:pPr>
      <w:r>
        <w:t>一是完善信息公开申请的咨询电话、传真号码、通讯地址、电子邮箱、办公时间等信息，不断丰富受理方式，为群众获取政府信息提供便利。二是进一步规范政府信息公开申请办理工作。督促我委干部职工认真学习《条例》，不断规范依申请公开办理工作流程，全面规范答复文书格式，准确适用依申请公开各项规定，依法有据、严谨规范、慎重稳妥办理好每一件政府信息公开申请，全面提升公开申请办理工作质量，依法保障公众合理信息需求。2023年依申请公开方面全年共受理依申请公开信息5件，其中书信申请1件，所有申请全部在规定日期内进行了答复；行政复议和行政诉讼1件。</w:t>
      </w:r>
    </w:p>
    <w:p>
      <w:pPr>
        <w:pStyle w:val="Normal"/>
        <w:widowControl/>
        <w:shd w:color="auto" w:fill="FFFFFF" w:val="clear"/>
        <w:ind w:firstLine="480"/>
        <w:rPr>
          <w:rFonts w:ascii="宋体" w:cs="宋体" w:eastAsia="宋体" w:hAnsi="宋体"/>
          <w:color w:val="333333"/>
          <w:kern w:val="0"/>
          <w:sz w:val="24"/>
          <w:szCs w:val="24"/>
        </w:rPr>
      </w:pPr>
      <w:r>
        <w:t>（三）政府信息管理方面</w:t>
      </w:r>
    </w:p>
    <w:p>
      <w:pPr>
        <w:pStyle w:val="Normal"/>
        <w:widowControl/>
        <w:shd w:color="auto" w:fill="FFFFFF" w:val="clear"/>
        <w:ind w:firstLine="480"/>
        <w:rPr>
          <w:rFonts w:ascii="宋体" w:cs="宋体" w:eastAsia="宋体" w:hAnsi="宋体"/>
          <w:color w:val="333333"/>
          <w:kern w:val="0"/>
          <w:sz w:val="24"/>
          <w:szCs w:val="24"/>
        </w:rPr>
      </w:pPr>
      <w:r>
        <w:t>根据我市政府信息公开工作要求，及时成立了信息公开工作领导小组，由委党组书记、主任任组长，委班子成员为副组长，各股室负责人为成员。明确由办公室负责信息公开的实时开展、指导、协调工作，牵头编制政府信息公开指南、目录和年度报告</w:t>
      </w:r>
    </w:p>
    <w:p>
      <w:pPr>
        <w:pStyle w:val="Normal"/>
        <w:widowControl/>
        <w:shd w:color="auto" w:fill="FFFFFF" w:val="clear"/>
        <w:ind w:firstLine="480"/>
        <w:rPr>
          <w:rFonts w:ascii="宋体" w:cs="宋体" w:eastAsia="宋体" w:hAnsi="宋体"/>
          <w:color w:val="333333"/>
          <w:kern w:val="0"/>
          <w:sz w:val="24"/>
          <w:szCs w:val="24"/>
        </w:rPr>
      </w:pPr>
      <w:r>
        <w:t>（四）政府信息公开平台建设方面</w:t>
      </w:r>
    </w:p>
    <w:p>
      <w:pPr>
        <w:pStyle w:val="Normal"/>
        <w:widowControl/>
        <w:shd w:color="auto" w:fill="FFFFFF" w:val="clear"/>
        <w:ind w:firstLine="480"/>
        <w:rPr>
          <w:rFonts w:ascii="宋体" w:cs="宋体" w:eastAsia="宋体" w:hAnsi="宋体"/>
          <w:color w:val="333333"/>
          <w:kern w:val="0"/>
          <w:sz w:val="24"/>
          <w:szCs w:val="24"/>
        </w:rPr>
      </w:pPr>
      <w:r>
        <w:t>系统推动社会信用体系建设。印发《关于全面建立信用承诺制度的通知》等方案，多次召开社会信用体系建设加压推进会，完善信用制度体系。与省、商丘市信用信息平台有效联通，与本市40余家单位实现数据对接，全力提升信用信息归集共享水平，全年共归集信用信息564万条。</w:t>
      </w:r>
    </w:p>
    <w:p>
      <w:pPr>
        <w:pStyle w:val="Normal"/>
        <w:widowControl/>
        <w:shd w:color="auto" w:fill="FFFFFF" w:val="clear"/>
        <w:ind w:firstLine="480"/>
        <w:rPr>
          <w:rFonts w:ascii="宋体" w:cs="宋体" w:eastAsia="宋体" w:hAnsi="宋体"/>
          <w:color w:val="333333"/>
          <w:kern w:val="0"/>
          <w:sz w:val="24"/>
          <w:szCs w:val="24"/>
        </w:rPr>
      </w:pPr>
      <w:r>
        <w:t>（五）监督保障方面</w:t>
      </w:r>
    </w:p>
    <w:p>
      <w:pPr>
        <w:pStyle w:val="Normal"/>
        <w:widowControl/>
        <w:shd w:color="auto" w:fill="FFFFFF" w:val="clear"/>
        <w:ind w:firstLine="480"/>
        <w:rPr>
          <w:rFonts w:ascii="宋体" w:cs="宋体" w:eastAsia="宋体" w:hAnsi="宋体"/>
          <w:color w:val="333333"/>
          <w:kern w:val="0"/>
          <w:sz w:val="24"/>
          <w:szCs w:val="24"/>
        </w:rPr>
      </w:pPr>
      <w:r>
        <w:t>委机关各股室负责各自业务范围内相应公开信息的收集、报送工作；办公室负责对信息公开工作的保密审查和监督并做好政府信息的网上发布、更新工作，提供信息公开工作年度报告中有关统计数据。</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pageBreakBefore w:val="on"/>
        <w:widowControl/>
        <w:shd w:color="auto" w:fill="FFFFFF" w:val="clear"/>
        <w:ind w:firstLine="480"/>
        <w:rPr>
          <w:rFonts w:ascii="宋体" w:cs="宋体" w:eastAsia="宋体" w:hAnsi="宋体"/>
          <w:color w:val="333333"/>
          <w:kern w:val="0"/>
          <w:sz w:val="24"/>
          <w:szCs w:val="24"/>
        </w:rPr>
      </w:pPr>
      <w:r>
        <w:rPr>
          <w:rFonts w:ascii="宋体" w:cs="宋体" w:hAnsi="宋体"/>
          <w:b/>
          <w:bCs/>
          <w:color w:val="333333"/>
          <w:kern w:val="0"/>
          <w:sz w:val="24"/>
          <w:szCs w:val="24"/>
        </w:rPr>
        <w:t>二、主动公开政府信息情况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0"/>
        <w:jc w:val="center"/>
        <w:tblInd w:type="dxa" w:w="0"/>
        <w:tblLayout w:type="fixed"/>
        <w:tblCellMar>
          <w:top w:type="dxa" w:w="0"/>
          <w:left w:type="dxa" w:w="57"/>
          <w:bottom w:type="dxa" w:w="0"/>
          <w:right w:type="dxa" w:w="57"/>
        </w:tblCellMar>
        <w:tblLook w:firstColumn="1" w:firstRow="1" w:lastColumn="0" w:lastRow="0" w:noHBand="0" w:noVBand="1" w:val="04a0"/>
      </w:tblPr>
      <w:tblGrid>
        <w:gridCol w:w="2435"/>
        <w:gridCol w:w="2435"/>
        <w:gridCol w:w="2435"/>
        <w:gridCol w:w="2434"/>
      </w:tblGrid>
      <w:tr>
        <w:trPr>
          <w:trHeight w:hRule="atLeast" w:val="340"/>
        </w:trPr>
        <w:tc>
          <w:tcPr>
            <w:tcW w:type="dxa" w:w="9739"/>
            <w:gridSpan w:val="4"/>
            <w:tcBorders>
              <w:top w:color="000000" w:space="0" w:sz="8" w:val="single"/>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第二十条第（一）项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w:t>
            </w:r>
            <w:r>
              <w:rPr>
                <w:rFonts w:ascii="宋体" w:cs="Calibri" w:hAnsi="宋体"/>
                <w:kern w:val="0"/>
                <w:sz w:val="20"/>
                <w:szCs w:val="20"/>
              </w:rPr>
              <w:t>制</w:t>
            </w:r>
            <w:r>
              <w:rPr>
                <w:rFonts w:ascii="宋体" w:cs="宋体" w:hAnsi="宋体"/>
                <w:kern w:val="0"/>
                <w:sz w:val="20"/>
                <w:szCs w:val="20"/>
              </w:rPr>
              <w:t>发件</w:t>
            </w:r>
            <w:r>
              <w:rPr>
                <w:rFonts w:ascii="宋体" w:cs="Calibri" w:hAnsi="宋体"/>
                <w:kern w:val="0"/>
                <w:sz w:val="20"/>
                <w:szCs w:val="20"/>
              </w:rPr>
              <w:t>数</w:t>
            </w:r>
          </w:p>
        </w:tc>
        <w:tc>
          <w:tcPr>
            <w:tcW w:type="dxa" w:w="2435"/>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本年废止件数</w:t>
            </w:r>
          </w:p>
        </w:tc>
        <w:tc>
          <w:tcPr>
            <w:tcW w:type="dxa" w:w="2434"/>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现行有效件</w:t>
            </w:r>
            <w:r>
              <w:rPr>
                <w:rFonts w:ascii="宋体" w:cs="Calibri" w:hAnsi="宋体"/>
                <w:kern w:val="0"/>
                <w:sz w:val="20"/>
                <w:szCs w:val="20"/>
              </w:rPr>
              <w:t>数</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规章</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行政规范性文件</w:t>
            </w:r>
          </w:p>
        </w:tc>
        <w:tc>
          <w:tcPr>
            <w:tcW w:type="dxa" w:w="2435"/>
            <w:tcBorders>
              <w:bottom w:color="000000" w:space="0" w:sz="8" w:val="single"/>
              <w:right w:color="000000" w:space="0" w:sz="8" w:val="single"/>
            </w:tcBorders>
            <w:vAlign w:val="center"/>
          </w:tcPr>
          <w:p>
            <w:r>
              <w:t>0</w:t>
            </w:r>
          </w:p>
        </w:tc>
        <w:tc>
          <w:tcPr>
            <w:tcW w:type="dxa" w:w="2435"/>
            <w:tcBorders>
              <w:bottom w:color="000000" w:space="0" w:sz="8" w:val="single"/>
              <w:right w:color="000000" w:space="0" w:sz="8" w:val="single"/>
            </w:tcBorders>
            <w:vAlign w:val="center"/>
          </w:tcPr>
          <w:p>
            <w:r>
              <w:t>0</w:t>
            </w:r>
          </w:p>
        </w:tc>
        <w:tc>
          <w:tcPr>
            <w:tcW w:type="dxa" w:w="2434"/>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第二十条第（五）项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行政许可</w:t>
            </w:r>
          </w:p>
        </w:tc>
        <w:tc>
          <w:tcPr>
            <w:tcW w:type="dxa" w:w="7304"/>
            <w:gridSpan w:val="3"/>
            <w:tcBorders>
              <w:bottom w:color="000000" w:space="0" w:sz="8" w:val="single"/>
              <w:right w:color="000000" w:space="0" w:sz="8" w:val="single"/>
            </w:tcBorders>
            <w:vAlign w:val="center"/>
          </w:tcPr>
          <w:p>
            <w:r>
              <w:t>28</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第二十条第（六）项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top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本年处理决定数量</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行政处罚</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行政强制</w:t>
            </w:r>
          </w:p>
        </w:tc>
        <w:tc>
          <w:tcPr>
            <w:tcW w:type="dxa" w:w="7304"/>
            <w:gridSpan w:val="3"/>
            <w:tcBorders>
              <w:bottom w:color="000000" w:space="0" w:sz="8" w:val="single"/>
              <w:right w:color="000000" w:space="0" w:sz="8" w:val="single"/>
            </w:tcBorders>
            <w:vAlign w:val="center"/>
          </w:tcPr>
          <w:p>
            <w:r>
              <w:t>0</w:t>
            </w:r>
          </w:p>
        </w:tc>
      </w:tr>
      <w:tr>
        <w:trPr>
          <w:trHeight w:hRule="atLeast" w:val="340"/>
        </w:trPr>
        <w:tc>
          <w:tcPr>
            <w:tcW w:type="dxa" w:w="9739"/>
            <w:gridSpan w:val="4"/>
            <w:tcBorders>
              <w:left w:color="000000" w:space="0" w:sz="8" w:val="single"/>
              <w:bottom w:color="000000" w:space="0" w:sz="8" w:val="single"/>
              <w:right w:color="000000" w:space="0" w:sz="8" w:val="single"/>
            </w:tcBorders>
            <w:shd w:color="auto" w:fill="C6D9F1" w:val="clear"/>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第二十条第（八）项</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信息内容</w:t>
            </w:r>
          </w:p>
        </w:tc>
        <w:tc>
          <w:tcPr>
            <w:tcW w:type="dxa" w:w="7304"/>
            <w:gridSpan w:val="3"/>
            <w:tcBorders>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本年收费金额（单位：万元）</w:t>
            </w:r>
          </w:p>
        </w:tc>
      </w:tr>
      <w:tr>
        <w:trPr>
          <w:trHeight w:hRule="atLeast" w:val="340"/>
        </w:trPr>
        <w:tc>
          <w:tcPr>
            <w:tcW w:type="dxa" w:w="2435"/>
            <w:tcBorders>
              <w:left w:color="000000" w:space="0" w:sz="8" w:val="single"/>
              <w:bottom w:color="000000" w:space="0" w:sz="8" w:val="single"/>
              <w:right w:color="000000" w:space="0" w:sz="8" w:val="single"/>
            </w:tcBorders>
            <w:vAlign w:val="center"/>
          </w:tcPr>
          <w:p>
            <w:pPr>
              <w:pStyle w:val="Normal"/>
              <w:widowControl/>
              <w:jc w:val="left"/>
              <w:rPr>
                <w:rFonts w:ascii="宋体" w:cs="宋体" w:eastAsia="宋体" w:hAnsi="宋体"/>
                <w:kern w:val="0"/>
                <w:sz w:val="24"/>
                <w:szCs w:val="24"/>
              </w:rPr>
            </w:pPr>
            <w:r>
              <w:rPr>
                <w:rFonts w:ascii="宋体" w:cs="宋体" w:hAnsi="宋体"/>
                <w:color w:val="000000"/>
                <w:kern w:val="0"/>
                <w:sz w:val="20"/>
                <w:szCs w:val="20"/>
              </w:rPr>
              <w:t>行政事业性收费</w:t>
            </w:r>
          </w:p>
        </w:tc>
        <w:tc>
          <w:tcPr>
            <w:tcW w:type="dxa" w:w="7304"/>
            <w:gridSpan w:val="3"/>
            <w:tcBorders>
              <w:bottom w:color="000000" w:space="0" w:sz="8" w:val="single"/>
              <w:right w:color="000000" w:space="0" w:sz="8" w:val="single"/>
            </w:tcBorders>
            <w:vAlign w:val="cente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三、收到和处理政府信息公开申请情况</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769"/>
        <w:gridCol w:w="942"/>
        <w:gridCol w:w="3220"/>
        <w:gridCol w:w="688"/>
        <w:gridCol w:w="688"/>
        <w:gridCol w:w="689"/>
        <w:gridCol w:w="688"/>
        <w:gridCol w:w="687"/>
        <w:gridCol w:w="688"/>
        <w:gridCol w:w="688"/>
      </w:tblGrid>
      <w:tr>
        <w:trPr/>
        <w:tc>
          <w:tcPr>
            <w:tcW w:type="dxa" w:w="4931"/>
            <w:gridSpan w:val="3"/>
            <w:vMerge w:val="restart"/>
            <w:tcBorders>
              <w:top w:color="000000" w:space="0" w:sz="8" w:val="single"/>
              <w:left w:color="000000" w:space="0" w:sz="8" w:val="single"/>
              <w:bottom w:color="000000" w:space="0" w:sz="8" w:val="inset"/>
              <w:right w:color="000000" w:space="0" w:sz="8" w:val="single"/>
            </w:tcBorders>
            <w:vAlign w:val="center"/>
          </w:tcPr>
          <w:p>
            <w:pPr>
              <w:pStyle w:val="Normal"/>
              <w:widowControl/>
              <w:jc w:val="left"/>
              <w:rPr>
                <w:rFonts w:ascii="宋体" w:cs="宋体" w:eastAsia="宋体" w:hAnsi="宋体"/>
                <w:kern w:val="0"/>
                <w:sz w:val="24"/>
                <w:szCs w:val="24"/>
              </w:rPr>
            </w:pPr>
            <w:r>
              <w:rPr>
                <w:rFonts w:ascii="楷体" w:cs="宋体" w:eastAsia="楷体" w:hAnsi="楷体"/>
                <w:kern w:val="0"/>
                <w:sz w:val="20"/>
                <w:szCs w:val="20"/>
              </w:rPr>
              <w:t>（本列数据的勾稽关系为：第一项加第二项之和，等于第三项加第四项之和）</w:t>
            </w:r>
          </w:p>
        </w:tc>
        <w:tc>
          <w:tcPr>
            <w:tcW w:type="dxa" w:w="4816"/>
            <w:gridSpan w:val="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申请人情况</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restart"/>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自然人</w:t>
            </w:r>
          </w:p>
        </w:tc>
        <w:tc>
          <w:tcPr>
            <w:tcW w:type="dxa" w:w="3440"/>
            <w:gridSpan w:val="5"/>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法人或其他组织</w:t>
            </w:r>
          </w:p>
        </w:tc>
        <w:tc>
          <w:tcPr>
            <w:tcW w:type="dxa" w:w="688"/>
            <w:vMerge w:val="restart"/>
            <w:tcBorders>
              <w:top w:color="000000" w:space="0" w:sz="8" w:val="single"/>
              <w:bottom w:color="000000" w:space="0" w:sz="8" w:val="inset"/>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r>
      <w:tr>
        <w:trPr/>
        <w:tc>
          <w:tcPr>
            <w:tcW w:type="dxa" w:w="4931"/>
            <w:gridSpan w:val="3"/>
            <w:vMerge w:val="continue"/>
            <w:tcBorders>
              <w:top w:color="000000" w:space="0" w:sz="8" w:val="single"/>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vMerge w:val="continue"/>
            <w:tcBorders>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88"/>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商业</w:t>
            </w:r>
          </w:p>
          <w:p>
            <w:pPr>
              <w:pStyle w:val="Normal"/>
              <w:widowControl/>
              <w:jc w:val="center"/>
              <w:rPr>
                <w:rFonts w:ascii="宋体" w:cs="宋体" w:eastAsia="宋体" w:hAnsi="宋体"/>
                <w:kern w:val="0"/>
                <w:sz w:val="24"/>
                <w:szCs w:val="24"/>
              </w:rPr>
            </w:pPr>
            <w:r>
              <w:rPr>
                <w:rFonts w:ascii="宋体" w:cs="宋体" w:hAnsi="宋体"/>
                <w:kern w:val="0"/>
                <w:sz w:val="20"/>
                <w:szCs w:val="20"/>
              </w:rPr>
              <w:t>企业</w:t>
            </w:r>
          </w:p>
        </w:tc>
        <w:tc>
          <w:tcPr>
            <w:tcW w:type="dxa" w:w="689"/>
            <w:tcBorders>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科研</w:t>
            </w:r>
          </w:p>
          <w:p>
            <w:pPr>
              <w:pStyle w:val="Normal"/>
              <w:widowControl/>
              <w:jc w:val="center"/>
              <w:rPr>
                <w:rFonts w:ascii="宋体" w:cs="宋体" w:eastAsia="宋体" w:hAnsi="宋体"/>
                <w:kern w:val="0"/>
                <w:sz w:val="24"/>
                <w:szCs w:val="24"/>
              </w:rPr>
            </w:pPr>
            <w:r>
              <w:rPr>
                <w:rFonts w:ascii="宋体" w:cs="宋体" w:hAnsi="宋体"/>
                <w:kern w:val="0"/>
                <w:sz w:val="20"/>
                <w:szCs w:val="20"/>
              </w:rPr>
              <w:t>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社会公益组织</w:t>
            </w:r>
          </w:p>
        </w:tc>
        <w:tc>
          <w:tcPr>
            <w:tcW w:type="dxa" w:w="687"/>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法律服务机构</w:t>
            </w:r>
          </w:p>
        </w:tc>
        <w:tc>
          <w:tcPr>
            <w:tcW w:type="dxa" w:w="688"/>
            <w:tcBorders>
              <w:top w:color="000000" w:space="0" w:sz="8" w:val="single"/>
              <w:bottom w:color="000000" w:space="0" w:sz="8" w:val="single"/>
              <w:right w:color="000000" w:space="0" w:sz="8" w:val="single"/>
            </w:tcBorders>
            <w:tcMar>
              <w:left w:type="dxa" w:w="57"/>
              <w:right w:type="dxa" w:w="57"/>
            </w:tcMar>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p>
        </w:tc>
        <w:tc>
          <w:tcPr>
            <w:tcW w:type="dxa" w:w="688"/>
            <w:vMerge w:val="continue"/>
            <w:tcBorders>
              <w:top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一、本年新收政府信息公开申请数量</w:t>
            </w:r>
          </w:p>
        </w:tc>
        <w:tc>
          <w:tcPr>
            <w:tcW w:type="dxa" w:w="688"/>
            <w:tcBorders>
              <w:bottom w:color="000000" w:space="0" w:sz="8" w:val="single"/>
              <w:right w:color="000000" w:space="0" w:sz="8" w:val="single"/>
            </w:tcBorders>
            <w:tcMar>
              <w:left w:type="dxa" w:w="57"/>
              <w:right w:type="dxa" w:w="57"/>
            </w:tcMar>
            <w:vAlign w:val="center"/>
          </w:tcPr>
          <w:p>
            <w:r>
              <w:t>4</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4</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二、上年结转政府信息公开申请数量</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restart"/>
            <w:tcBorders>
              <w:left w:color="000000" w:space="0" w:sz="8" w:val="single"/>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三、本年度办理结果</w:t>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（一）予以公开</w:t>
            </w:r>
          </w:p>
        </w:tc>
        <w:tc>
          <w:tcPr>
            <w:tcW w:type="dxa" w:w="688"/>
            <w:tcBorders>
              <w:bottom w:color="000000" w:space="0" w:sz="8" w:val="single"/>
              <w:right w:color="000000" w:space="0" w:sz="8" w:val="single"/>
            </w:tcBorders>
            <w:tcMar>
              <w:left w:type="dxa" w:w="57"/>
              <w:right w:type="dxa" w:w="57"/>
            </w:tcMar>
            <w:vAlign w:val="center"/>
          </w:tcPr>
          <w:p>
            <w:r>
              <w:t>2</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2</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（二）部分公开</w:t>
            </w:r>
            <w:r>
              <w:rPr>
                <w:rFonts w:ascii="楷体" w:cs="宋体" w:eastAsia="楷体" w:hAnsi="楷体"/>
                <w:kern w:val="0"/>
                <w:sz w:val="20"/>
                <w:szCs w:val="20"/>
              </w:rPr>
              <w:t>（区分处理的，只计这一情形，不计其他情形）</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（三）不予公开</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属于国家秘密</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top w:color="000000" w:space="0" w:sz="8" w:val="single"/>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其他法律行政法规禁止公开</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危及“三安全一稳定”</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保护第三方合法权益</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属于三类内部事务信息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6.</w:t>
            </w:r>
            <w:r>
              <w:rPr>
                <w:rFonts w:ascii="宋体" w:cs="宋体" w:hAnsi="宋体"/>
                <w:kern w:val="0"/>
                <w:sz w:val="20"/>
                <w:szCs w:val="20"/>
              </w:rPr>
              <w:t>属于四类过程性信息</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7.</w:t>
            </w:r>
            <w:r>
              <w:rPr>
                <w:rFonts w:ascii="宋体" w:cs="宋体" w:hAnsi="宋体"/>
                <w:kern w:val="0"/>
                <w:sz w:val="20"/>
                <w:szCs w:val="20"/>
              </w:rPr>
              <w:t>属于行政执法案卷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8.</w:t>
            </w:r>
            <w:r>
              <w:rPr>
                <w:rFonts w:ascii="宋体" w:cs="宋体" w:hAnsi="宋体"/>
                <w:kern w:val="0"/>
                <w:sz w:val="20"/>
                <w:szCs w:val="20"/>
              </w:rPr>
              <w:t>属于行政查询事项</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（四）无法提供</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本机关不掌握相关政府信息</w:t>
            </w:r>
          </w:p>
        </w:tc>
        <w:tc>
          <w:tcPr>
            <w:tcW w:type="dxa" w:w="688"/>
            <w:tcBorders>
              <w:bottom w:color="000000" w:space="0" w:sz="8" w:val="single"/>
              <w:right w:color="000000" w:space="0" w:sz="8" w:val="single"/>
            </w:tcBorders>
            <w:tcMar>
              <w:left w:type="dxa" w:w="57"/>
              <w:right w:type="dxa" w:w="57"/>
            </w:tcMar>
          </w:tcPr>
          <w:p>
            <w:r>
              <w:t>2</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2</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没有现成信息需要另行制作</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补正后申请内容仍不明确</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（五）不予处理</w:t>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信访举报投诉类申请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要求提供公开出版物</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4.</w:t>
            </w:r>
            <w:r>
              <w:rPr>
                <w:rFonts w:ascii="宋体" w:cs="宋体" w:hAnsi="宋体"/>
                <w:kern w:val="0"/>
                <w:sz w:val="20"/>
                <w:szCs w:val="20"/>
              </w:rPr>
              <w:t>无正当理由大量反复申请</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9"/>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7"/>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c>
          <w:tcPr>
            <w:tcW w:type="dxa" w:w="688"/>
            <w:tcBorders>
              <w:bottom w:color="000000" w:space="0" w:sz="8" w:val="single"/>
              <w:right w:color="000000" w:space="0" w:sz="8" w:val="single"/>
            </w:tcBorders>
            <w:tcMar>
              <w:left w:type="dxa" w:w="57"/>
              <w:right w:type="dxa" w:w="57"/>
            </w:tcMar>
          </w:tcPr>
          <w:p>
            <w:r>
              <w:t>0</w:t>
            </w:r>
          </w:p>
        </w:tc>
      </w:tr>
      <w:tr>
        <w:trPr>
          <w:trHeight w:hRule="atLeast" w:val="779"/>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inset"/>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5.</w:t>
            </w:r>
            <w:r>
              <w:rPr>
                <w:rFonts w:ascii="宋体" w:cs="宋体" w:hAnsi="宋体"/>
                <w:kern w:val="0"/>
                <w:sz w:val="20"/>
                <w:szCs w:val="20"/>
              </w:rPr>
              <w:t>要求行政机关确认或重新出具已获取信息</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9"/>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7"/>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c>
          <w:tcPr>
            <w:tcW w:type="dxa" w:w="688"/>
            <w:tcBorders>
              <w:bottom w:color="000000" w:space="0" w:sz="8" w:val="inset"/>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restart"/>
            <w:tcBorders>
              <w:top w:color="000000" w:space="0" w:sz="8" w:val="inset"/>
              <w:bottom w:color="000000" w:space="0" w:sz="8" w:val="inset"/>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（六）其他处理</w:t>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1.</w:t>
            </w:r>
            <w:r>
              <w:rPr>
                <w:rFonts w:ascii="宋体" w:cs="宋体" w:hAnsi="宋体"/>
                <w:kern w:val="0"/>
                <w:sz w:val="20"/>
                <w:szCs w:val="20"/>
              </w:rPr>
              <w:t>申请人无正当理由逾期不补正、行政机关不再处理其政府信息公开申请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rPr>
                <w:rFonts w:ascii="宋体" w:cs="宋体" w:eastAsia="宋体" w:hAnsi="宋体"/>
                <w:kern w:val="0"/>
                <w:sz w:val="24"/>
                <w:szCs w:val="24"/>
              </w:rPr>
            </w:pPr>
            <w:r>
              <w:rPr>
                <w:rFonts w:ascii="宋体" w:cs="宋体" w:eastAsia="宋体" w:hAnsi="宋体"/>
                <w:kern w:val="0"/>
                <w:sz w:val="20"/>
                <w:szCs w:val="20"/>
              </w:rPr>
              <w:t>2.</w:t>
            </w:r>
            <w:r>
              <w:rPr>
                <w:rFonts w:ascii="宋体" w:cs="宋体" w:hAnsi="宋体"/>
                <w:kern w:val="0"/>
                <w:sz w:val="20"/>
                <w:szCs w:val="20"/>
              </w:rPr>
              <w:t>申请人逾期未按收费通知要求缴纳费用、行政机关不再处理其政府信息公开申请</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942"/>
            <w:vMerge w:val="continue"/>
            <w:tcBorders>
              <w:top w:color="000000" w:space="0" w:sz="8" w:val="inset"/>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3220"/>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0"/>
                <w:szCs w:val="20"/>
              </w:rPr>
              <w:t>3.</w:t>
            </w:r>
            <w:r>
              <w:rPr>
                <w:rFonts w:ascii="宋体" w:cs="宋体" w:hAnsi="宋体"/>
                <w:kern w:val="0"/>
                <w:sz w:val="20"/>
                <w:szCs w:val="20"/>
              </w:rPr>
              <w:t>其他</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r>
        <w:trPr/>
        <w:tc>
          <w:tcPr>
            <w:tcW w:type="dxa" w:w="769"/>
            <w:vMerge w:val="continue"/>
            <w:tcBorders>
              <w:left w:color="000000" w:space="0" w:sz="8" w:val="single"/>
              <w:bottom w:color="000000" w:space="0" w:sz="8" w:val="inset"/>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4162"/>
            <w:gridSpan w:val="2"/>
            <w:tcBorders>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（七）总计</w:t>
            </w:r>
          </w:p>
        </w:tc>
        <w:tc>
          <w:tcPr>
            <w:tcW w:type="dxa" w:w="688"/>
            <w:tcBorders>
              <w:bottom w:color="000000" w:space="0" w:sz="8" w:val="single"/>
              <w:right w:color="000000" w:space="0" w:sz="8" w:val="single"/>
            </w:tcBorders>
            <w:tcMar>
              <w:left w:type="dxa" w:w="57"/>
              <w:right w:type="dxa" w:w="57"/>
            </w:tcMar>
            <w:vAlign w:val="center"/>
          </w:tcPr>
          <w:p>
            <w:r>
              <w:t>4</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4</w:t>
            </w:r>
          </w:p>
        </w:tc>
      </w:tr>
      <w:tr>
        <w:trPr/>
        <w:tc>
          <w:tcPr>
            <w:tcW w:type="dxa" w:w="4931"/>
            <w:gridSpan w:val="3"/>
            <w:tcBorders>
              <w:left w:color="000000" w:space="0" w:sz="8" w:val="single"/>
              <w:bottom w:color="000000" w:space="0" w:sz="8" w:val="single"/>
              <w:right w:color="000000" w:space="0" w:sz="8" w:val="single"/>
            </w:tcBorders>
            <w:tcMar>
              <w:left w:type="dxa" w:w="57"/>
              <w:right w:type="dxa" w:w="57"/>
            </w:tcMar>
            <w:vAlign w:val="center"/>
          </w:tcPr>
          <w:p>
            <w:pPr>
              <w:pStyle w:val="Normal"/>
              <w:widowControl/>
              <w:jc w:val="left"/>
              <w:rPr>
                <w:rFonts w:ascii="宋体" w:cs="宋体" w:eastAsia="宋体" w:hAnsi="宋体"/>
                <w:kern w:val="0"/>
                <w:sz w:val="24"/>
                <w:szCs w:val="24"/>
              </w:rPr>
            </w:pPr>
            <w:r>
              <w:rPr>
                <w:rFonts w:ascii="宋体" w:cs="宋体" w:hAnsi="宋体"/>
                <w:kern w:val="0"/>
                <w:sz w:val="20"/>
                <w:szCs w:val="20"/>
              </w:rPr>
              <w:t>四、结转下年度继续办理</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9"/>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7"/>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vAlign w:val="center"/>
          </w:tcPr>
          <w:p>
            <w:r>
              <w:t>0</w:t>
            </w:r>
          </w:p>
        </w:tc>
        <w:tc>
          <w:tcPr>
            <w:tcW w:type="dxa" w:w="688"/>
            <w:tcBorders>
              <w:bottom w:color="000000" w:space="0" w:sz="8" w:val="single"/>
              <w:right w:color="000000" w:space="0" w:sz="8" w:val="single"/>
            </w:tcBorders>
            <w:tcMar>
              <w:left w:type="dxa" w:w="57"/>
              <w:right w:type="dxa" w:w="57"/>
            </w:tcMar>
          </w:tcPr>
          <w:p>
            <w:r>
              <w:t>0</w:t>
            </w:r>
          </w:p>
        </w:tc>
      </w:tr>
    </w:tbl>
    <w:p>
      <w:pPr>
        <w:pStyle w:val="Normal"/>
        <w:widowControl/>
        <w:ind w:firstLine="482"/>
        <w:jc w:val="left"/>
        <w:rPr>
          <w:rFonts w:ascii="宋体" w:cs="宋体" w:eastAsia="宋体" w:hAnsi="宋体"/>
          <w:b/>
          <w:bCs/>
          <w:color w:val="333333"/>
          <w:kern w:val="0"/>
          <w:sz w:val="24"/>
          <w:szCs w:val="24"/>
        </w:rPr>
      </w:pPr>
      <w:r>
        <w:br w:type="page"/>
      </w:r>
      <w:r>
        <w:rPr>
          <w:rFonts w:ascii="宋体" w:cs="宋体" w:hAnsi="宋体"/>
          <w:b/>
          <w:bCs/>
          <w:color w:val="333333"/>
          <w:kern w:val="0"/>
          <w:sz w:val="24"/>
          <w:szCs w:val="24"/>
        </w:rPr>
        <w:t>四、政府信息公开行政复议、行政诉讼情况</w:t>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eastAsia="宋体" w:hAnsi="宋体"/>
          <w:b/>
          <w:bCs/>
          <w:color w:val="333333"/>
          <w:kern w:val="0"/>
          <w:sz w:val="24"/>
          <w:szCs w:val="24"/>
        </w:rPr>
      </w:r>
    </w:p>
    <w:tbl>
      <w:tblPr>
        <w:tblW w:type="dxa" w:w="9748"/>
        <w:jc w:val="center"/>
        <w:tblInd w:type="dxa" w:w="0"/>
        <w:tblLayout w:type="fixed"/>
        <w:tblCellMar>
          <w:top w:type="dxa" w:w="0"/>
          <w:left w:type="dxa" w:w="108"/>
          <w:bottom w:type="dxa" w:w="0"/>
          <w:right w:type="dxa" w:w="108"/>
        </w:tblCellMar>
        <w:tblLook w:firstColumn="1" w:firstRow="1" w:lastColumn="0" w:lastRow="0" w:noHBand="0" w:noVBand="1" w:val="04a0"/>
      </w:tblPr>
      <w:tblGrid>
        <w:gridCol w:w="650"/>
        <w:gridCol w:w="650"/>
        <w:gridCol w:w="649"/>
        <w:gridCol w:w="650"/>
        <w:gridCol w:w="650"/>
        <w:gridCol w:w="650"/>
        <w:gridCol w:w="650"/>
        <w:gridCol w:w="649"/>
        <w:gridCol w:w="650"/>
        <w:gridCol w:w="650"/>
        <w:gridCol w:w="650"/>
        <w:gridCol w:w="650"/>
        <w:gridCol w:w="650"/>
        <w:gridCol w:w="650"/>
        <w:gridCol w:w="650"/>
      </w:tblGrid>
      <w:tr>
        <w:trPr/>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行政复议</w:t>
            </w:r>
          </w:p>
        </w:tc>
        <w:tc>
          <w:tcPr>
            <w:tcW w:type="dxa" w:w="6499"/>
            <w:gridSpan w:val="1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行政诉讼</w:t>
            </w:r>
          </w:p>
        </w:tc>
      </w:tr>
      <w:tr>
        <w:trPr/>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结果维持</w:t>
            </w:r>
          </w:p>
        </w:tc>
        <w:tc>
          <w:tcPr>
            <w:tcW w:type="dxa" w:w="650"/>
            <w:vMerge w:val="restart"/>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vMerge w:val="restart"/>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总计</w:t>
            </w:r>
          </w:p>
        </w:tc>
        <w:tc>
          <w:tcPr>
            <w:tcW w:type="dxa" w:w="3249"/>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未经复议直接起诉</w:t>
            </w:r>
          </w:p>
        </w:tc>
        <w:tc>
          <w:tcPr>
            <w:tcW w:type="dxa" w:w="3250"/>
            <w:gridSpan w:val="5"/>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复议后起诉</w:t>
            </w:r>
          </w:p>
        </w:tc>
      </w:tr>
      <w:tr>
        <w:trPr/>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49"/>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vMerge w:val="continue"/>
            <w:tcBorders>
              <w:top w:color="000000" w:space="0" w:sz="8" w:val="single"/>
              <w:left w:color="000000" w:space="0" w:sz="8" w:val="single"/>
              <w:bottom w:color="000000" w:space="0" w:sz="8" w:val="single"/>
              <w:right w:color="000000" w:space="0" w:sz="8" w:val="single"/>
            </w:tcBorders>
            <w:tcMar>
              <w:left w:type="dxa" w:w="10"/>
              <w:right w:type="dxa" w:w="10"/>
            </w:tcMar>
            <w:vAlign w:val="center"/>
          </w:tcPr>
          <w:p>
            <w:pPr>
              <w:pStyle w:val="Normal"/>
              <w:widowControl/>
              <w:jc w:val="left"/>
              <w:rPr>
                <w:rFonts w:ascii="宋体" w:cs="宋体" w:eastAsia="宋体" w:hAnsi="宋体"/>
                <w:kern w:val="0"/>
                <w:sz w:val="24"/>
                <w:szCs w:val="24"/>
              </w:rPr>
            </w:pPr>
            <w:r>
              <w:rPr>
                <w:rFonts w:ascii="宋体" w:cs="宋体" w:eastAsia="宋体" w:hAnsi="宋体"/>
                <w:kern w:val="0"/>
                <w:sz w:val="24"/>
                <w:szCs w:val="24"/>
              </w:rPr>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49"/>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其他</w:t>
            </w:r>
            <w:r>
              <w:rPr>
                <w:rFonts w:ascii="宋体" w:cs="宋体" w:eastAsia="宋体" w:hAnsi="宋体"/>
                <w:kern w:val="0"/>
                <w:sz w:val="20"/>
                <w:szCs w:val="20"/>
              </w:rPr>
              <w:br/>
            </w:r>
            <w:r>
              <w:rPr>
                <w:rFonts w:ascii="宋体" w:cs="宋体" w:hAnsi="宋体"/>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维持</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结果</w:t>
            </w:r>
            <w:r>
              <w:rPr>
                <w:rFonts w:ascii="宋体" w:cs="宋体" w:eastAsia="宋体" w:hAnsi="宋体"/>
                <w:kern w:val="0"/>
                <w:sz w:val="20"/>
                <w:szCs w:val="20"/>
              </w:rPr>
              <w:br/>
            </w:r>
            <w:r>
              <w:rPr>
                <w:rFonts w:ascii="宋体" w:cs="宋体" w:hAnsi="宋体"/>
                <w:kern w:val="0"/>
                <w:sz w:val="20"/>
                <w:szCs w:val="20"/>
              </w:rPr>
              <w:t>纠正</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其他</w:t>
            </w:r>
            <w:r>
              <w:rPr>
                <w:rFonts w:ascii="宋体" w:cs="宋体" w:eastAsia="宋体" w:hAnsi="宋体"/>
                <w:color w:val="000000"/>
                <w:kern w:val="0"/>
                <w:sz w:val="20"/>
                <w:szCs w:val="20"/>
              </w:rPr>
              <w:br/>
            </w:r>
            <w:r>
              <w:rPr>
                <w:rFonts w:ascii="宋体" w:cs="宋体" w:hAnsi="宋体"/>
                <w:color w:val="000000"/>
                <w:kern w:val="0"/>
                <w:sz w:val="20"/>
                <w:szCs w:val="20"/>
              </w:rPr>
              <w:t>结果</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kern w:val="0"/>
                <w:sz w:val="20"/>
                <w:szCs w:val="20"/>
              </w:rPr>
              <w:t>尚未</w:t>
            </w:r>
            <w:r>
              <w:rPr>
                <w:rFonts w:ascii="宋体" w:cs="宋体" w:eastAsia="宋体" w:hAnsi="宋体"/>
                <w:kern w:val="0"/>
                <w:sz w:val="20"/>
                <w:szCs w:val="20"/>
              </w:rPr>
              <w:br/>
            </w:r>
            <w:r>
              <w:rPr>
                <w:rFonts w:ascii="宋体" w:cs="宋体" w:hAnsi="宋体"/>
                <w:kern w:val="0"/>
                <w:sz w:val="20"/>
                <w:szCs w:val="20"/>
              </w:rPr>
              <w:t>审结</w:t>
            </w:r>
          </w:p>
        </w:tc>
        <w:tc>
          <w:tcPr>
            <w:tcW w:type="dxa" w:w="650"/>
            <w:tcBorders>
              <w:top w:color="000000" w:space="0" w:sz="8" w:val="single"/>
              <w:left w:color="000000" w:space="0" w:sz="8" w:val="single"/>
              <w:bottom w:color="000000" w:space="0" w:sz="8" w:val="single"/>
              <w:right w:color="000000" w:space="0" w:sz="8" w:val="single"/>
            </w:tcBorders>
            <w:vAlign w:val="center"/>
          </w:tcPr>
          <w:p>
            <w:pPr>
              <w:pStyle w:val="Normal"/>
              <w:widowControl/>
              <w:jc w:val="center"/>
              <w:rPr>
                <w:rFonts w:ascii="宋体" w:cs="宋体" w:eastAsia="宋体" w:hAnsi="宋体"/>
                <w:kern w:val="0"/>
                <w:sz w:val="24"/>
                <w:szCs w:val="24"/>
              </w:rPr>
            </w:pPr>
            <w:r>
              <w:rPr>
                <w:rFonts w:ascii="宋体" w:cs="宋体" w:hAnsi="宋体"/>
                <w:color w:val="000000"/>
                <w:kern w:val="0"/>
                <w:sz w:val="20"/>
                <w:szCs w:val="20"/>
              </w:rPr>
              <w:t>总计</w:t>
            </w:r>
          </w:p>
        </w:tc>
      </w:tr>
      <w:tr>
        <w:trPr>
          <w:trHeight w:hRule="atLeast" w:val="672"/>
        </w:trPr>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1</w:t>
            </w:r>
          </w:p>
        </w:tc>
        <w:tc>
          <w:tcPr>
            <w:tcW w:type="dxa" w:w="650"/>
            <w:tcBorders>
              <w:left w:color="000000" w:space="0" w:sz="8" w:val="single"/>
              <w:bottom w:color="000000" w:space="0" w:sz="8" w:val="single"/>
              <w:right w:color="000000" w:space="0" w:sz="8" w:val="single"/>
            </w:tcBorders>
            <w:vAlign w:val="center"/>
          </w:tcPr>
          <w:p>
            <w:r>
              <w:t>1</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49"/>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c>
          <w:tcPr>
            <w:tcW w:type="dxa" w:w="650"/>
            <w:tcBorders>
              <w:left w:color="000000" w:space="0" w:sz="8" w:val="single"/>
              <w:bottom w:color="000000" w:space="0" w:sz="8" w:val="single"/>
              <w:right w:color="000000" w:space="0" w:sz="8" w:val="single"/>
            </w:tcBorders>
            <w:vAlign w:val="center"/>
          </w:tcPr>
          <w:p>
            <w:r>
              <w:t>0</w:t>
            </w:r>
          </w:p>
        </w:tc>
      </w:tr>
    </w:tbl>
    <w:p>
      <w:pPr>
        <w:pStyle w:val="Normal"/>
        <w:widowControl/>
        <w:jc w:val="left"/>
        <w:rPr>
          <w:rFonts w:ascii="宋体" w:cs="宋体" w:eastAsia="宋体" w:hAnsi="宋体"/>
          <w:kern w:val="0"/>
          <w:sz w:val="24"/>
          <w:szCs w:val="24"/>
        </w:rPr>
      </w:pPr>
      <w:r>
        <w:rPr>
          <w:rFonts w:ascii="宋体" w:cs="宋体" w:eastAsia="宋体" w:hAnsi="宋体"/>
          <w:color w:val="333333"/>
          <w:kern w:val="0"/>
          <w:sz w:val="24"/>
          <w:szCs w:val="24"/>
        </w:rPr>
        <w:b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五、存在的主要问题及改进情况</w:t>
      </w:r>
    </w:p>
    <w:p>
      <w:pPr>
        <w:pStyle w:val="Normal"/>
        <w:widowControl/>
        <w:shd w:color="auto" w:fill="FFFFFF" w:val="clear"/>
        <w:ind w:firstLine="480"/>
        <w:rPr>
          <w:rFonts w:ascii="宋体" w:cs="宋体" w:eastAsia="宋体" w:hAnsi="宋体"/>
          <w:color w:val="333333"/>
          <w:kern w:val="0"/>
          <w:sz w:val="24"/>
          <w:szCs w:val="24"/>
        </w:rPr>
      </w:pPr>
      <w:r>
        <w:t>由于政务公开信息工作涉及面广，政策性强，政府信息工作还存在不足，信息公开的内容有待进一步完善，对于政府信息公开工作知识有待加强学习。下一步，我委将继续根据上级有关规定和要求，加强信息公开正规化建设，努力规范工作流程，进一步梳理及时更新政府信息。</w:t>
      </w:r>
    </w:p>
    <w:p>
      <w:pPr>
        <w:pStyle w:val="Normal"/>
        <w:widowControl/>
        <w:shd w:color="auto" w:fill="FFFFFF" w:val="clear"/>
        <w:ind w:firstLine="480"/>
        <w:rPr>
          <w:rFonts w:ascii="宋体" w:cs="宋体" w:eastAsia="宋体" w:hAnsi="宋体"/>
          <w:color w:val="333333"/>
          <w:kern w:val="0"/>
          <w:sz w:val="24"/>
          <w:szCs w:val="24"/>
        </w:rPr>
      </w:pPr>
      <w:r>
        <w:t/>
      </w:r>
    </w:p>
    <w:p>
      <w:pPr>
        <w:pStyle w:val="Normal"/>
        <w:widowControl/>
        <w:shd w:color="auto" w:fill="FFFFFF" w:val="clear"/>
        <w:ind w:firstLine="480"/>
        <w:rPr>
          <w:rFonts w:ascii="宋体" w:cs="宋体" w:eastAsia="宋体" w:hAnsi="宋体"/>
          <w:color w:val="333333"/>
          <w:kern w:val="0"/>
          <w:sz w:val="24"/>
          <w:szCs w:val="24"/>
        </w:rPr>
      </w:pPr>
      <w:r>
        <w:rPr>
          <w:rFonts w:ascii="宋体" w:cs="宋体" w:eastAsia="宋体" w:hAnsi="宋体"/>
          <w:color w:val="333333"/>
          <w:kern w:val="0"/>
          <w:sz w:val="24"/>
          <w:szCs w:val="24"/>
        </w:rPr>
      </w:r>
    </w:p>
    <w:p>
      <w:pPr>
        <w:pStyle w:val="Normal"/>
        <w:widowControl/>
        <w:shd w:color="auto" w:fill="FFFFFF" w:val="clear"/>
        <w:ind w:firstLine="480"/>
        <w:rPr>
          <w:rFonts w:ascii="宋体" w:cs="宋体" w:eastAsia="宋体" w:hAnsi="宋体"/>
          <w:b/>
          <w:bCs/>
          <w:color w:val="333333"/>
          <w:kern w:val="0"/>
          <w:sz w:val="24"/>
          <w:szCs w:val="24"/>
        </w:rPr>
      </w:pPr>
      <w:r>
        <w:rPr>
          <w:rFonts w:ascii="宋体" w:cs="宋体" w:hAnsi="宋体"/>
          <w:b/>
          <w:bCs/>
          <w:color w:val="333333"/>
          <w:kern w:val="0"/>
          <w:sz w:val="24"/>
          <w:szCs w:val="24"/>
        </w:rPr>
        <w:t>六、其他需要报告的事项</w:t>
      </w:r>
    </w:p>
    <w:p>
      <w:pPr>
        <w:pStyle w:val="Normal"/>
        <w:widowControl/>
        <w:shd w:color="auto" w:fill="FFFFFF" w:val="clear"/>
        <w:ind w:firstLine="480"/>
        <w:jc w:val="left"/>
        <w:rPr>
          <w:rFonts w:ascii="宋体" w:cs="宋体" w:eastAsia="宋体" w:hAnsi="宋体"/>
          <w:color w:val="333333"/>
          <w:kern w:val="0"/>
          <w:sz w:val="24"/>
          <w:szCs w:val="24"/>
        </w:rPr>
      </w:pPr>
      <w:r>
        <w:t>2023年度本单位政府信息公开申请未向申请人收取任何费用。</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宋体">
    <w:charset w:val="86"/>
    <w:family w:val="roman"/>
    <w:pitch w:val="variable"/>
  </w:font>
  <w:font w:name="楷体">
    <w:charset w:val="86"/>
    <w:family w:val="roman"/>
    <w:pitch w:val="variable"/>
  </w:font>
</w:fonts>
</file>

<file path=word/settings.xml><?xml version="1.0" encoding="utf-8"?>
<w:settings xmlns:w="http://schemas.openxmlformats.org/wordprocessingml/2006/main">
  <w:zoom w:percent="100"/>
  <w:defaultTabStop w:val="420"/>
  <w:autoHyphenation w:val="true"/>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bidi="" w:eastAsia="zh-CN" w:val="en-U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asciiTheme="minorHAnsi" w:cs="" w:cstheme="minorBidi" w:eastAsia="宋体" w:eastAsiaTheme="minorEastAsia" w:hAnsi="Calibri" w:hAnsiTheme="minorHAnsi"/>
        <w:kern w:val="2"/>
        <w:sz w:val="21"/>
        <w:szCs w:val="22"/>
        <w:lang w:bidi="ar-SA" w:eastAsia="zh-CN" w:val="en-US"/>
      </w:rPr>
    </w:rPrDefault>
    <w:pPrDefault>
      <w:pPr>
        <w:suppressAutoHyphens w:val="true"/>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pPr>
      <w:widowControl w:val="false"/>
      <w:bidi w:val="0"/>
      <w:spacing w:after="0" w:before="0"/>
      <w:jc w:val="both"/>
    </w:pPr>
    <w:rPr>
      <w:rFonts w:ascii="Calibri" w:asciiTheme="minorHAnsi" w:cs="" w:cstheme="minorBidi" w:eastAsia="宋体" w:eastAsiaTheme="minorEastAsia" w:hAnsi="Calibri" w:hAnsiTheme="minorHAnsi"/>
      <w:color w:val="auto"/>
      <w:kern w:val="2"/>
      <w:sz w:val="21"/>
      <w:szCs w:val="22"/>
      <w:lang w:bidi="ar-SA" w:eastAsia="zh-CN" w:val="en-US"/>
    </w:rPr>
  </w:style>
  <w:style w:default="1" w:styleId="DefaultParagraphFont" w:type="character">
    <w:name w:val="Default Paragraph Font"/>
    <w:uiPriority w:val="1"/>
    <w:semiHidden/>
    <w:unhideWhenUsed/>
    <w:qFormat/>
    <w:rPr/>
  </w:style>
  <w:style w:styleId="Style14" w:type="paragraph">
    <w:name w:val="标题样式"/>
    <w:basedOn w:val="Normal"/>
    <w:next w:val="BodyText"/>
    <w:qFormat/>
    <w:pPr>
      <w:keepNext w:val="true"/>
      <w:spacing w:after="120" w:before="240"/>
    </w:pPr>
    <w:rPr>
      <w:rFonts w:ascii="Liberation Sans" w:cs="Arial" w:eastAsia="微软雅黑" w:hAnsi="Liberation Sans"/>
      <w:sz w:val="28"/>
      <w:szCs w:val="28"/>
    </w:rPr>
  </w:style>
  <w:style w:styleId="BodyText" w:type="paragraph">
    <w:name w:val="Body Text"/>
    <w:basedOn w:val="Normal"/>
    <w:pPr>
      <w:spacing w:after="140" w:before="0" w:line="276" w:lineRule="auto"/>
    </w:pPr>
    <w:rPr/>
  </w:style>
  <w:style w:styleId="List" w:type="paragraph">
    <w:name w:val="List"/>
    <w:basedOn w:val="BodyText"/>
    <w:pPr/>
    <w:rPr>
      <w:rFonts w:cs="Arial"/>
    </w:rPr>
  </w:style>
  <w:style w:styleId="Caption" w:type="paragraph">
    <w:name w:val="Caption"/>
    <w:basedOn w:val="Normal"/>
    <w:qFormat/>
    <w:pPr>
      <w:suppressLineNumbers/>
      <w:spacing w:after="120" w:before="120"/>
    </w:pPr>
    <w:rPr>
      <w:rFonts w:cs="Arial"/>
      <w:i/>
      <w:iCs/>
      <w:sz w:val="24"/>
      <w:szCs w:val="24"/>
    </w:rPr>
  </w:style>
  <w:style w:styleId="Style15" w:type="paragraph">
    <w:name w:val="索引"/>
    <w:basedOn w:val="Normal"/>
    <w:qFormat/>
    <w:pPr>
      <w:suppressLineNumbers/>
    </w:pPr>
    <w:rPr>
      <w:rFonts w:cs="Arial"/>
    </w:rPr>
  </w:style>
  <w:style w:styleId="NormalWeb" w:type="paragraph">
    <w:name w:val="Normal (Web)"/>
    <w:basedOn w:val="Normal"/>
    <w:uiPriority w:val="99"/>
    <w:semiHidden/>
    <w:unhideWhenUsed/>
    <w:qFormat/>
    <w:rsid w:val="008e1cad"/>
    <w:pPr>
      <w:widowControl/>
      <w:spacing w:afterAutospacing="1" w:beforeAutospacing="1"/>
      <w:jc w:val="left"/>
    </w:pPr>
    <w:rPr>
      <w:rFonts w:ascii="宋体" w:cs="宋体" w:eastAsia="宋体" w:hAnsi="宋体"/>
      <w:kern w:val="0"/>
      <w:sz w:val="24"/>
      <w:szCs w:val="24"/>
    </w:rPr>
  </w:style>
  <w:style w:default="1" w:styleId="NoList" w:type="numbering">
    <w:name w:val="No List"/>
    <w:uiPriority w:val="99"/>
    <w:semiHidden/>
    <w:unhideWhenUsed/>
    <w:qFormat/>
  </w:style>
  <w:style w:default="1" w:styleId="a1" w:type="table">
    <w:name w:val="Normal Table"/>
    <w:uiPriority w:val="99"/>
    <w:semiHidden/>
    <w:unhideWhenUsed/>
    <w:tblPr>
      <w:tblCellMar>
        <w:top w:type="dxa" w:w="0"/>
        <w:left w:type="dxa" w:w="108"/>
        <w:bottom w:type="dxa" w:w="0"/>
        <w:right w:type="dxa" w:w="108"/>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xmlns:r="http://schemas.openxmlformats.org/officeDocument/2006/relationships" name="Office 主题​​">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LibreOffice/7.6.2.1$Windows_X86_64 LibreOffice_project/56f7684011345957bbf33a7ee678afaf4d2ba333</Application>
  <AppVersion>15.0000</AppVersion>
  <Pages>3</Pages>
  <Words>923</Words>
  <Characters>998</Characters>
  <CharactersWithSpaces>1010</CharactersWithSpaces>
  <Paragraphs>292</Paragraph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dc:language>zh-CN</dc:language>
  <dcterms:modified xsi:type="dcterms:W3CDTF">2024-01-13T19:48:24Z</dcterms:modified>
  <cp:revision>26</cp:revision>
</cp:coreProperties>
</file>

<file path=docProps/custom.xml><?xml version="1.0" encoding="utf-8"?>
<Properties xmlns="http://schemas.openxmlformats.org/officeDocument/2006/custom-properties" xmlns:vt="http://schemas.openxmlformats.org/officeDocument/2006/docPropsVTypes"/>
</file>