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15">
  <w:body>
    <w:p>
      <w:pPr>
        <w:pStyle w:val="Normal"/>
        <w:widowControl/>
        <w:shd w:color="auto" w:fill="FFFFFF" w:val="clear"/>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p>
      <w:pPr>
        <w:pStyle w:val="Normal"/>
        <w:widowControl/>
        <w:shd w:color="auto" w:fill="FFFFFF" w:val="clear"/>
        <w:jc w:val="center"/>
        <w:rPr>
          <w:rFonts w:ascii="宋体" w:cs="宋体" w:eastAsia="宋体" w:hAnsi="宋体"/>
          <w:color w:val="333333"/>
          <w:kern w:val="0"/>
          <w:sz w:val="24"/>
          <w:szCs w:val="24"/>
        </w:rPr>
      </w:pPr>
      <w:r>
        <w:rPr>
          <w:rFonts w:ascii="宋体" w:cs="宋体" w:eastAsia="宋体" w:hAnsi="宋体"/>
          <w:b/>
          <w:bCs/>
          <w:color w:val="333333"/>
          <w:kern w:val="0"/>
          <w:sz w:val="36"/>
          <w:szCs w:val="36"/>
        </w:rPr>
        <w:t>永城市住房保障局2023年政府信息公开工作年度报告</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一、总体情况</w:t>
      </w:r>
    </w:p>
    <w:p>
      <w:pPr>
        <w:pStyle w:val="Normal"/>
        <w:widowControl/>
        <w:shd w:color="auto" w:fill="FFFFFF" w:val="clear"/>
        <w:ind w:firstLine="480"/>
        <w:rPr>
          <w:rFonts w:ascii="宋体" w:cs="宋体" w:eastAsia="宋体" w:hAnsi="宋体"/>
          <w:color w:val="333333"/>
          <w:kern w:val="0"/>
          <w:sz w:val="24"/>
          <w:szCs w:val="24"/>
        </w:rPr>
      </w:pPr>
      <w:r>
        <w:t>2023年，我局政务公开工作始终坚持以习近平新时代中国特色社会主义思想和党的二十大精神为指导，按照市委、市政府关于政府信息公开工作的部署，拓宽公开渠道，提高服务效能，围绕永城市住房保障重点领域，扎实开展政务信息公开工作，全年主动公开119件各类信息。</w:t>
      </w:r>
    </w:p>
    <w:p>
      <w:pPr>
        <w:pStyle w:val="Normal"/>
        <w:widowControl/>
        <w:shd w:color="auto" w:fill="FFFFFF" w:val="clear"/>
        <w:ind w:firstLine="480"/>
        <w:rPr>
          <w:rFonts w:ascii="宋体" w:cs="宋体" w:eastAsia="宋体" w:hAnsi="宋体"/>
          <w:color w:val="333333"/>
          <w:kern w:val="0"/>
          <w:sz w:val="24"/>
          <w:szCs w:val="24"/>
        </w:rPr>
      </w:pPr>
      <w:r>
        <w:t>1.主动公开情况</w:t>
      </w:r>
    </w:p>
    <w:p>
      <w:pPr>
        <w:pStyle w:val="Normal"/>
        <w:widowControl/>
        <w:shd w:color="auto" w:fill="FFFFFF" w:val="clear"/>
        <w:ind w:firstLine="480"/>
        <w:rPr>
          <w:rFonts w:ascii="宋体" w:cs="宋体" w:eastAsia="宋体" w:hAnsi="宋体"/>
          <w:color w:val="333333"/>
          <w:kern w:val="0"/>
          <w:sz w:val="24"/>
          <w:szCs w:val="24"/>
        </w:rPr>
      </w:pPr>
      <w:r>
        <w:t>一是依照规范性文件最新要求及时完善规范性文件，做好规范性文件征求意见、反馈意见、文件发布、政策解读全流程工作。二是全面推进基层政务公开专题建设，每月常态化更新相关信息，做好专题建设。三是做好县本级栏目信息发布，2023年主动回应群众来信466件，公开财务预决算、财政专项经费管理使用和“三公”经费信息，机构领导、机构设置及人事信息，定期公示近期工作督办情况、政府工作报告落实情况。</w:t>
      </w:r>
    </w:p>
    <w:p>
      <w:pPr>
        <w:pStyle w:val="Normal"/>
        <w:widowControl/>
        <w:shd w:color="auto" w:fill="FFFFFF" w:val="clear"/>
        <w:ind w:firstLine="480"/>
        <w:rPr>
          <w:rFonts w:ascii="宋体" w:cs="宋体" w:eastAsia="宋体" w:hAnsi="宋体"/>
          <w:color w:val="333333"/>
          <w:kern w:val="0"/>
          <w:sz w:val="24"/>
          <w:szCs w:val="24"/>
        </w:rPr>
      </w:pPr>
      <w:r>
        <w:t>2、依申请公开情况</w:t>
      </w:r>
    </w:p>
    <w:p>
      <w:pPr>
        <w:pStyle w:val="Normal"/>
        <w:widowControl/>
        <w:shd w:color="auto" w:fill="FFFFFF" w:val="clear"/>
        <w:ind w:firstLine="480"/>
        <w:rPr>
          <w:rFonts w:ascii="宋体" w:cs="宋体" w:eastAsia="宋体" w:hAnsi="宋体"/>
          <w:color w:val="333333"/>
          <w:kern w:val="0"/>
          <w:sz w:val="24"/>
          <w:szCs w:val="24"/>
        </w:rPr>
      </w:pPr>
      <w:r>
        <w:t>认真学习贯彻《河南省政府信息公开申请办理答复规范》，明确依申请公开分管领导和具体负责人，全面规范办理程序。本年度共受理依申请公开2件，其中线上申请0件，线下申请2件，不予公开0件（保护第三方合法权益），无法提供0件（本机关不掌握相关政府信息）。本年度因依申请公开引起的行政诉讼案件1件，行政复议0件。</w:t>
      </w:r>
    </w:p>
    <w:p>
      <w:pPr>
        <w:pStyle w:val="Normal"/>
        <w:widowControl/>
        <w:shd w:color="auto" w:fill="FFFFFF" w:val="clear"/>
        <w:ind w:firstLine="480"/>
        <w:rPr>
          <w:rFonts w:ascii="宋体" w:cs="宋体" w:eastAsia="宋体" w:hAnsi="宋体"/>
          <w:color w:val="333333"/>
          <w:kern w:val="0"/>
          <w:sz w:val="24"/>
          <w:szCs w:val="24"/>
        </w:rPr>
      </w:pPr>
      <w:r>
        <w:t>3、政府信息管理情况</w:t>
      </w:r>
    </w:p>
    <w:p>
      <w:pPr>
        <w:pStyle w:val="Normal"/>
        <w:widowControl/>
        <w:shd w:color="auto" w:fill="FFFFFF" w:val="clear"/>
        <w:ind w:firstLine="480"/>
        <w:rPr>
          <w:rFonts w:ascii="宋体" w:cs="宋体" w:eastAsia="宋体" w:hAnsi="宋体"/>
          <w:color w:val="333333"/>
          <w:kern w:val="0"/>
          <w:sz w:val="24"/>
          <w:szCs w:val="24"/>
        </w:rPr>
      </w:pPr>
      <w:r>
        <w:t>以制度化建设提升公开的质量和实效，进一步规范公文公开属性审查流程，严格落实“三审”制，不断加强政务公开审查，严格执行保密审查制度，确保“涉密不上网、上网不涉密”，明确信息发布责任主体，注重信息公开质量，每季度隐私排查情况报告及时在监督保障栏目进行公布。</w:t>
      </w:r>
    </w:p>
    <w:p>
      <w:pPr>
        <w:pStyle w:val="Normal"/>
        <w:widowControl/>
        <w:shd w:color="auto" w:fill="FFFFFF" w:val="clear"/>
        <w:ind w:firstLine="480"/>
        <w:rPr>
          <w:rFonts w:ascii="宋体" w:cs="宋体" w:eastAsia="宋体" w:hAnsi="宋体"/>
          <w:color w:val="333333"/>
          <w:kern w:val="0"/>
          <w:sz w:val="24"/>
          <w:szCs w:val="24"/>
        </w:rPr>
      </w:pPr>
      <w:r>
        <w:t>4、政府信息公开平台建设情况</w:t>
      </w:r>
    </w:p>
    <w:p>
      <w:pPr>
        <w:pStyle w:val="Normal"/>
        <w:widowControl/>
        <w:shd w:color="auto" w:fill="FFFFFF" w:val="clear"/>
        <w:ind w:firstLine="480"/>
        <w:rPr>
          <w:rFonts w:ascii="宋体" w:cs="宋体" w:eastAsia="宋体" w:hAnsi="宋体"/>
          <w:color w:val="333333"/>
          <w:kern w:val="0"/>
          <w:sz w:val="24"/>
          <w:szCs w:val="24"/>
        </w:rPr>
      </w:pPr>
      <w:r>
        <w:t>在完善政务公开栏目的公开形式基础上，按照透明、公开、实用、有效的原则，积极整合信息，全面优化网站栏目设置。同时，根据上级文件要求和本地工作实际，动态调整优化目录设置。</w:t>
      </w:r>
    </w:p>
    <w:p>
      <w:pPr>
        <w:pStyle w:val="Normal"/>
        <w:widowControl/>
        <w:shd w:color="auto" w:fill="FFFFFF" w:val="clear"/>
        <w:ind w:firstLine="480"/>
        <w:rPr>
          <w:rFonts w:ascii="宋体" w:cs="宋体" w:eastAsia="宋体" w:hAnsi="宋体"/>
          <w:color w:val="333333"/>
          <w:kern w:val="0"/>
          <w:sz w:val="24"/>
          <w:szCs w:val="24"/>
        </w:rPr>
      </w:pPr>
      <w:r>
        <w:t>5、监督保障</w:t>
      </w:r>
    </w:p>
    <w:p>
      <w:pPr>
        <w:pStyle w:val="Normal"/>
        <w:widowControl/>
        <w:shd w:color="auto" w:fill="FFFFFF" w:val="clear"/>
        <w:ind w:firstLine="480"/>
        <w:rPr>
          <w:rFonts w:ascii="宋体" w:cs="宋体" w:eastAsia="宋体" w:hAnsi="宋体"/>
          <w:color w:val="333333"/>
          <w:kern w:val="0"/>
          <w:sz w:val="24"/>
          <w:szCs w:val="24"/>
        </w:rPr>
      </w:pPr>
      <w:r>
        <w:t>建立监督保障机制，明确职责分工。根据人事变动及时调整局政务公开工作领导组成员，调整充实各股室政务公开工作人员，全面加强政务公开工作力量配置建设。并根据市政府办和第三方测评中反馈的问题，认真制定整改清单，明确整改时限和整改责任人，确保整改工作落实到位，并将整改情况报告及时公布。同时，将政务公开工作纳入机关目标管理考评内容，形成“三到位”的工作机制。</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pageBreakBefore w:val="on"/>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二、主动公开政府信息情况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0"/>
        <w:jc w:val="center"/>
        <w:tblInd w:type="dxa" w:w="0"/>
        <w:tblLayout w:type="fixed"/>
        <w:tblCellMar>
          <w:top w:type="dxa" w:w="0"/>
          <w:left w:type="dxa" w:w="57"/>
          <w:bottom w:type="dxa" w:w="0"/>
          <w:right w:type="dxa" w:w="57"/>
        </w:tblCellMar>
        <w:tblLook w:firstColumn="1" w:firstRow="1" w:lastColumn="0" w:lastRow="0" w:noHBand="0" w:noVBand="1" w:val="04a0"/>
      </w:tblPr>
      <w:tblGrid>
        <w:gridCol w:w="2435"/>
        <w:gridCol w:w="2435"/>
        <w:gridCol w:w="2435"/>
        <w:gridCol w:w="2434"/>
      </w:tblGrid>
      <w:tr>
        <w:trPr>
          <w:trHeight w:hRule="atLeast" w:val="340"/>
        </w:trPr>
        <w:tc>
          <w:tcPr>
            <w:tcW w:type="dxa" w:w="9739"/>
            <w:gridSpan w:val="4"/>
            <w:tcBorders>
              <w:top w:color="000000" w:space="0" w:sz="8" w:val="single"/>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第二十条第（一）项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w:t>
            </w:r>
            <w:r>
              <w:rPr>
                <w:rFonts w:ascii="宋体" w:cs="Calibri" w:hAnsi="宋体"/>
                <w:kern w:val="0"/>
                <w:sz w:val="20"/>
                <w:szCs w:val="20"/>
              </w:rPr>
              <w:t>制</w:t>
            </w:r>
            <w:r>
              <w:rPr>
                <w:rFonts w:ascii="宋体" w:cs="宋体" w:hAnsi="宋体"/>
                <w:kern w:val="0"/>
                <w:sz w:val="20"/>
                <w:szCs w:val="20"/>
              </w:rPr>
              <w:t>发件</w:t>
            </w:r>
            <w:r>
              <w:rPr>
                <w:rFonts w:ascii="宋体" w:cs="Calibri" w:hAnsi="宋体"/>
                <w:kern w:val="0"/>
                <w:sz w:val="20"/>
                <w:szCs w:val="20"/>
              </w:rPr>
              <w:t>数</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本年废止件数</w:t>
            </w:r>
          </w:p>
        </w:tc>
        <w:tc>
          <w:tcPr>
            <w:tcW w:type="dxa" w:w="2434"/>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现行有效件</w:t>
            </w:r>
            <w:r>
              <w:rPr>
                <w:rFonts w:ascii="宋体" w:cs="Calibri" w:hAnsi="宋体"/>
                <w:kern w:val="0"/>
                <w:sz w:val="20"/>
                <w:szCs w:val="20"/>
              </w:rPr>
              <w:t>数</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规章</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行政规范性文件</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第二十条第（五）项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行政许可</w:t>
            </w:r>
          </w:p>
        </w:tc>
        <w:tc>
          <w:tcPr>
            <w:tcW w:type="dxa" w:w="7304"/>
            <w:gridSpan w:val="3"/>
            <w:tcBorders>
              <w:bottom w:color="000000" w:space="0" w:sz="8" w:val="single"/>
              <w:right w:color="000000" w:space="0" w:sz="8" w:val="single"/>
            </w:tcBorders>
            <w:vAlign w:val="center"/>
          </w:tcPr>
          <w:p>
            <w:r>
              <w:t>90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第二十条第（六）项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行政处罚</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行政强制</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第二十条第（八）项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本年收费金额（单位：万元）</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行政事业性收费</w:t>
            </w:r>
          </w:p>
        </w:tc>
        <w:tc>
          <w:tcPr>
            <w:tcW w:type="dxa" w:w="7304"/>
            <w:gridSpan w:val="3"/>
            <w:tcBorders>
              <w:bottom w:color="000000" w:space="0" w:sz="8" w:val="single"/>
              <w:right w:color="000000" w:space="0" w:sz="8" w:val="single"/>
            </w:tcBorders>
            <w:vAlign w:val="center"/>
          </w:tcPr>
          <w:p>
            <w:r>
              <w:t>264.922</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三、收到和处理政府信息公开申请情况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769"/>
        <w:gridCol w:w="942"/>
        <w:gridCol w:w="3220"/>
        <w:gridCol w:w="688"/>
        <w:gridCol w:w="688"/>
        <w:gridCol w:w="689"/>
        <w:gridCol w:w="688"/>
        <w:gridCol w:w="687"/>
        <w:gridCol w:w="688"/>
        <w:gridCol w:w="688"/>
      </w:tblGrid>
      <w:tr>
        <w:trPr/>
        <w:tc>
          <w:tcPr>
            <w:tcW w:type="dxa" w:w="4931"/>
            <w:gridSpan w:val="3"/>
            <w:vMerge w:val="restart"/>
            <w:tcBorders>
              <w:top w:color="000000" w:space="0" w:sz="8" w:val="single"/>
              <w:left w:color="000000" w:space="0" w:sz="8" w:val="single"/>
              <w:bottom w:color="000000" w:space="0" w:sz="8" w:val="inset"/>
              <w:right w:color="000000" w:space="0" w:sz="8" w:val="single"/>
            </w:tcBorders>
            <w:vAlign w:val="center"/>
          </w:tcPr>
          <w:p>
            <w:pPr>
              <w:pStyle w:val="Normal"/>
              <w:widowControl/>
              <w:jc w:val="left"/>
              <w:rPr>
                <w:rFonts w:ascii="宋体" w:cs="宋体" w:eastAsia="宋体" w:hAnsi="宋体"/>
                <w:kern w:val="0"/>
                <w:sz w:val="24"/>
                <w:szCs w:val="24"/>
              </w:rPr>
            </w:pPr>
            <w:r>
              <w:rPr>
                <w:rFonts w:ascii="楷体" w:cs="宋体" w:eastAsia="楷体" w:hAnsi="楷体"/>
                <w:kern w:val="0"/>
                <w:sz w:val="20"/>
                <w:szCs w:val="20"/>
              </w:rPr>
              <w:t>（本列数据的勾稽关系为：第一项加第二项之和，等于第三项加第四项之和）</w:t>
            </w:r>
          </w:p>
        </w:tc>
        <w:tc>
          <w:tcPr>
            <w:tcW w:type="dxa" w:w="4816"/>
            <w:gridSpan w:val="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申请人情况</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restart"/>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自然人</w:t>
            </w:r>
          </w:p>
        </w:tc>
        <w:tc>
          <w:tcPr>
            <w:tcW w:type="dxa" w:w="3440"/>
            <w:gridSpan w:val="5"/>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法人或其他组织</w:t>
            </w:r>
          </w:p>
        </w:tc>
        <w:tc>
          <w:tcPr>
            <w:tcW w:type="dxa" w:w="688"/>
            <w:vMerge w:val="restart"/>
            <w:tcBorders>
              <w:top w:color="000000" w:space="0" w:sz="8" w:val="single"/>
              <w:bottom w:color="000000" w:space="0" w:sz="8" w:val="inset"/>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continue"/>
            <w:tcBorders>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商业</w:t>
            </w:r>
          </w:p>
          <w:p>
            <w:pPr>
              <w:pStyle w:val="Normal"/>
              <w:widowControl/>
              <w:jc w:val="center"/>
              <w:rPr>
                <w:rFonts w:ascii="宋体" w:cs="宋体" w:eastAsia="宋体" w:hAnsi="宋体"/>
                <w:kern w:val="0"/>
                <w:sz w:val="24"/>
                <w:szCs w:val="24"/>
              </w:rPr>
            </w:pPr>
            <w:r>
              <w:rPr>
                <w:rFonts w:ascii="宋体" w:cs="宋体" w:hAnsi="宋体"/>
                <w:kern w:val="0"/>
                <w:sz w:val="20"/>
                <w:szCs w:val="20"/>
              </w:rPr>
              <w:t>企业</w:t>
            </w:r>
          </w:p>
        </w:tc>
        <w:tc>
          <w:tcPr>
            <w:tcW w:type="dxa" w:w="689"/>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科研</w:t>
            </w:r>
          </w:p>
          <w:p>
            <w:pPr>
              <w:pStyle w:val="Normal"/>
              <w:widowControl/>
              <w:jc w:val="center"/>
              <w:rPr>
                <w:rFonts w:ascii="宋体" w:cs="宋体" w:eastAsia="宋体" w:hAnsi="宋体"/>
                <w:kern w:val="0"/>
                <w:sz w:val="24"/>
                <w:szCs w:val="24"/>
              </w:rPr>
            </w:pPr>
            <w:r>
              <w:rPr>
                <w:rFonts w:ascii="宋体" w:cs="宋体" w:hAnsi="宋体"/>
                <w:kern w:val="0"/>
                <w:sz w:val="20"/>
                <w:szCs w:val="20"/>
              </w:rPr>
              <w:t>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社会公益组织</w:t>
            </w:r>
          </w:p>
        </w:tc>
        <w:tc>
          <w:tcPr>
            <w:tcW w:type="dxa" w:w="68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法律服务机构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p>
        </w:tc>
        <w:tc>
          <w:tcPr>
            <w:tcW w:type="dxa" w:w="688"/>
            <w:vMerge w:val="continue"/>
            <w:tcBorders>
              <w:top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一、本年新收政府信息公开申请数量</w:t>
            </w:r>
          </w:p>
        </w:tc>
        <w:tc>
          <w:tcPr>
            <w:tcW w:type="dxa" w:w="688"/>
            <w:tcBorders>
              <w:bottom w:color="000000" w:space="0" w:sz="8" w:val="single"/>
              <w:right w:color="000000" w:space="0" w:sz="8" w:val="single"/>
            </w:tcBorders>
            <w:tcMar>
              <w:left w:type="dxa" w:w="57"/>
              <w:right w:type="dxa" w:w="57"/>
            </w:tcMar>
            <w:vAlign w:val="center"/>
          </w:tcPr>
          <w:p>
            <w:r>
              <w:t>2</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2</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二、上年结转政府信息公开申请数量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restart"/>
            <w:tcBorders>
              <w:left w:color="000000" w:space="0" w:sz="8" w:val="single"/>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三、本年度办理结果</w:t>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（一）予以公开</w:t>
            </w:r>
          </w:p>
        </w:tc>
        <w:tc>
          <w:tcPr>
            <w:tcW w:type="dxa" w:w="688"/>
            <w:tcBorders>
              <w:bottom w:color="000000" w:space="0" w:sz="8" w:val="single"/>
              <w:right w:color="000000" w:space="0" w:sz="8" w:val="single"/>
            </w:tcBorders>
            <w:tcMar>
              <w:left w:type="dxa" w:w="57"/>
              <w:right w:type="dxa" w:w="57"/>
            </w:tcMar>
            <w:vAlign w:val="center"/>
          </w:tcPr>
          <w:p>
            <w:r>
              <w:t>2</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2</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（二）部分公开</w:t>
            </w:r>
            <w:r>
              <w:rPr>
                <w:rFonts w:ascii="楷体" w:cs="宋体" w:eastAsia="楷体" w:hAnsi="楷体"/>
                <w:kern w:val="0"/>
                <w:sz w:val="20"/>
                <w:szCs w:val="20"/>
              </w:rPr>
              <w:t>（区分处理的，只计这一情形，不计其他情形）</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（三）不予公开</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属于国家秘密</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其他法律行政法规禁止公开</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危及“三安全一稳定”</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保护第三方合法权益</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属于三类内部事务信息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6.</w:t>
            </w:r>
            <w:r>
              <w:rPr>
                <w:rFonts w:ascii="宋体" w:cs="宋体" w:hAnsi="宋体"/>
                <w:kern w:val="0"/>
                <w:sz w:val="20"/>
                <w:szCs w:val="20"/>
              </w:rPr>
              <w:t>属于四类过程性信息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7.</w:t>
            </w:r>
            <w:r>
              <w:rPr>
                <w:rFonts w:ascii="宋体" w:cs="宋体" w:hAnsi="宋体"/>
                <w:kern w:val="0"/>
                <w:sz w:val="20"/>
                <w:szCs w:val="20"/>
              </w:rPr>
              <w:t>属于行政执法案卷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8.</w:t>
            </w:r>
            <w:r>
              <w:rPr>
                <w:rFonts w:ascii="宋体" w:cs="宋体" w:hAnsi="宋体"/>
                <w:kern w:val="0"/>
                <w:sz w:val="20"/>
                <w:szCs w:val="20"/>
              </w:rPr>
              <w:t>属于行政查询事项</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（四）无法提供</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本机关不掌握相关政府信息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没有现成信息需要另行制作</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补正后申请内容仍不明确</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（五）不予处理</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信访举报投诉类申请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要求提供公开出版物</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无正当理由大量反复申请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rHeight w:hRule="atLeast" w:val="779"/>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inset"/>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要求行政机关确认或重新出具已获取信息</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9"/>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7"/>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top w:color="000000" w:space="0" w:sz="8" w:val="inset"/>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（六）其他处理</w:t>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申请人无正当理由逾期不补正、行政机关不再处理其政府信息公开申请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申请人逾期未按收费通知要求缴纳费用、行政机关不再处理其政府信息公开申请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其他</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（七）总计</w:t>
            </w:r>
          </w:p>
        </w:tc>
        <w:tc>
          <w:tcPr>
            <w:tcW w:type="dxa" w:w="688"/>
            <w:tcBorders>
              <w:bottom w:color="000000" w:space="0" w:sz="8" w:val="single"/>
              <w:right w:color="000000" w:space="0" w:sz="8" w:val="single"/>
            </w:tcBorders>
            <w:tcMar>
              <w:left w:type="dxa" w:w="57"/>
              <w:right w:type="dxa" w:w="57"/>
            </w:tcMar>
            <w:vAlign w:val="center"/>
          </w:tcPr>
          <w:p>
            <w:r>
              <w:t>2</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2</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四、结转下年度继续办理</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四、政府信息公开行政复议、行政诉讼情况</w:t>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650"/>
        <w:gridCol w:w="650"/>
        <w:gridCol w:w="649"/>
        <w:gridCol w:w="650"/>
        <w:gridCol w:w="650"/>
        <w:gridCol w:w="650"/>
        <w:gridCol w:w="650"/>
        <w:gridCol w:w="649"/>
        <w:gridCol w:w="650"/>
        <w:gridCol w:w="650"/>
        <w:gridCol w:w="650"/>
        <w:gridCol w:w="650"/>
        <w:gridCol w:w="650"/>
        <w:gridCol w:w="650"/>
        <w:gridCol w:w="650"/>
      </w:tblGrid>
      <w:tr>
        <w:trPr/>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行政复议</w:t>
            </w:r>
          </w:p>
        </w:tc>
        <w:tc>
          <w:tcPr>
            <w:tcW w:type="dxa" w:w="6499"/>
            <w:gridSpan w:val="1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行政诉讼</w:t>
            </w:r>
          </w:p>
        </w:tc>
      </w:tr>
      <w:tr>
        <w:trPr/>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结果维持</w:t>
            </w:r>
          </w:p>
        </w:tc>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未经复议直接起诉</w:t>
            </w:r>
          </w:p>
        </w:tc>
        <w:tc>
          <w:tcPr>
            <w:tcW w:type="dxa" w:w="3250"/>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复议后起诉</w:t>
            </w:r>
          </w:p>
        </w:tc>
      </w:tr>
      <w:tr>
        <w:trPr/>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49"/>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其他</w:t>
            </w:r>
            <w:r>
              <w:rPr>
                <w:rFonts w:ascii="宋体" w:cs="宋体" w:eastAsia="宋体" w:hAnsi="宋体"/>
                <w:color w:val="000000"/>
                <w:kern w:val="0"/>
                <w:sz w:val="20"/>
                <w:szCs w:val="20"/>
              </w:rPr>
              <w:br/>
            </w:r>
            <w:r>
              <w:rPr>
                <w:rFonts w:ascii="宋体" w:cs="宋体" w:hAnsi="宋体"/>
                <w:color w:val="000000"/>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r>
      <w:tr>
        <w:trPr>
          <w:trHeight w:hRule="atLeast" w:val="672"/>
        </w:trPr>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1</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1</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r>
    </w:tbl>
    <w:p>
      <w:pPr>
        <w:pStyle w:val="Normal"/>
        <w:widowControl/>
        <w:jc w:val="left"/>
        <w:rPr>
          <w:rFonts w:ascii="宋体" w:cs="宋体" w:eastAsia="宋体" w:hAnsi="宋体"/>
          <w:kern w:val="0"/>
          <w:sz w:val="24"/>
          <w:szCs w:val="24"/>
        </w:rPr>
      </w:pPr>
      <w:r>
        <w:rPr>
          <w:rFonts w:ascii="宋体" w:cs="宋体" w:eastAsia="宋体" w:hAnsi="宋体"/>
          <w:color w:val="333333"/>
          <w:kern w:val="0"/>
          <w:sz w:val="24"/>
          <w:szCs w:val="24"/>
        </w:rPr>
        <w:b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五、存在的主要问题及改进情况</w:t>
      </w:r>
    </w:p>
    <w:p>
      <w:pPr>
        <w:pStyle w:val="Normal"/>
        <w:widowControl/>
        <w:shd w:color="auto" w:fill="FFFFFF" w:val="clear"/>
        <w:ind w:firstLine="480"/>
        <w:rPr>
          <w:rFonts w:ascii="宋体" w:cs="宋体" w:eastAsia="宋体" w:hAnsi="宋体"/>
          <w:color w:val="333333"/>
          <w:kern w:val="0"/>
          <w:sz w:val="24"/>
          <w:szCs w:val="24"/>
        </w:rPr>
      </w:pPr>
      <w:r>
        <w:t>存在问题：一是政务公开工作经办人员的业务能力水平还有待提高，相关经办业务股室对公开的各要素要求掌握不全面，缺乏系统的学习。二是政策解读信息内容不丰富，形式较为单一，解读质量不高，缺少专家、媒体、音频视频解读。</w:t>
      </w:r>
    </w:p>
    <w:p>
      <w:pPr>
        <w:pStyle w:val="Normal"/>
        <w:widowControl/>
        <w:shd w:color="auto" w:fill="FFFFFF" w:val="clear"/>
        <w:ind w:firstLine="480"/>
        <w:rPr>
          <w:rFonts w:ascii="宋体" w:cs="宋体" w:eastAsia="宋体" w:hAnsi="宋体"/>
          <w:color w:val="333333"/>
          <w:kern w:val="0"/>
          <w:sz w:val="24"/>
          <w:szCs w:val="24"/>
        </w:rPr>
      </w:pPr>
      <w:r>
        <w:t>改进情况：一是进一步加强经办股室业务能力提升，认真研究学习上级有关文件精神，掌握最新工作标准要求，积极参加市、县政务公开业务培训活动，不断提升业务水平，并加强和机关各股室的交流沟通，及时获取信息汇总发布。二是积极学习先进单位的政策解读，不断丰富解读方式，运用图表、动漫图片等民众喜闻乐见的方式来进行解读，提高政策的针对性、科学性、权威性和实效性。</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六、其他需要报告的事项</w:t>
      </w:r>
    </w:p>
    <w:p>
      <w:pPr>
        <w:pStyle w:val="Normal"/>
        <w:widowControl/>
        <w:shd w:color="auto" w:fill="FFFFFF" w:val="clear"/>
        <w:ind w:firstLine="480"/>
        <w:jc w:val="left"/>
        <w:rPr>
          <w:rFonts w:ascii="宋体" w:cs="宋体" w:eastAsia="宋体" w:hAnsi="宋体"/>
          <w:color w:val="333333"/>
          <w:kern w:val="0"/>
          <w:sz w:val="24"/>
          <w:szCs w:val="24"/>
        </w:rPr>
      </w:pPr>
      <w:r>
        <w:t>按照《国务院办公厅关于印发&lt;政府信息公开信息处理费管理办法&gt;的通知》（国办函〔2020〕109号）规定的按件、按量收费标准，本年度没有产生信息公开处理费。</w:t>
      </w:r>
    </w:p>
    <w:p>
      <w:pPr>
        <w:pStyle w:val="Normal"/>
        <w:widowControl/>
        <w:shd w:color="auto" w:fill="FFFFFF" w:val="clear"/>
        <w:ind w:firstLine="480"/>
        <w:jc w:val="left"/>
        <w:rPr>
          <w:rFonts w:ascii="宋体" w:cs="宋体" w:eastAsia="宋体" w:hAnsi="宋体"/>
          <w:color w:val="333333"/>
          <w:kern w:val="0"/>
          <w:sz w:val="24"/>
          <w:szCs w:val="24"/>
        </w:rPr>
      </w:pPr>
      <w:r>
        <w:t/>
      </w:r>
    </w:p>
    <w:p>
      <w:pPr>
        <w:pStyle w:val="Normal"/>
        <w:widowControl/>
        <w:shd w:color="auto" w:fill="FFFFFF" w:val="clear"/>
        <w:ind w:firstLine="480"/>
        <w:jc w:val="left"/>
        <w:rPr>
          <w:rFonts w:ascii="宋体" w:cs="宋体" w:eastAsia="宋体" w:hAnsi="宋体"/>
          <w:color w:val="333333"/>
          <w:kern w:val="0"/>
          <w:sz w:val="24"/>
          <w:szCs w:val="24"/>
        </w:rPr>
      </w:pPr>
      <w:r>
        <w:t/>
      </w:r>
    </w:p>
    <w:sectPr>
      <w:type w:val="nextPage"/>
      <w:pgSz w:h="16838" w:w="11906"/>
      <w:pgMar w:bottom="1440" w:footer="0" w:gutter="0" w:header="0" w:left="1800" w:right="1800" w:top="1440"/>
      <w:pgNumType w:fmt="decimal"/>
      <w:formProt w:val="false"/>
      <w:textDirection w:val="lrTb"/>
      <w:docGrid w:charSpace="6143" w:linePitch="312" w:type="lines"/>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楷体">
    <w:charset w:val="86"/>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bidi="" w:eastAsia="zh-CN" w:val="en-U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asciiTheme="minorHAnsi" w:cs="" w:cstheme="minorBidi" w:eastAsia="宋体" w:eastAsiaTheme="minorEastAsia" w:hAnsi="Calibri" w:hAnsiTheme="minorHAnsi"/>
        <w:kern w:val="2"/>
        <w:sz w:val="21"/>
        <w:szCs w:val="22"/>
        <w:lang w:bidi="ar-SA" w:eastAsia="zh-CN" w:val="en-US"/>
      </w:rPr>
    </w:rPrDefault>
    <w:pPrDefault>
      <w:pPr>
        <w:suppressAutoHyphens w:val="true"/>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pPr>
      <w:widowControl w:val="false"/>
      <w:bidi w:val="0"/>
      <w:spacing w:after="0" w:before="0"/>
      <w:jc w:val="both"/>
    </w:pPr>
    <w:rPr>
      <w:rFonts w:ascii="Calibri" w:asciiTheme="minorHAnsi" w:cs="" w:cstheme="minorBidi" w:eastAsia="宋体" w:eastAsiaTheme="minorEastAsia" w:hAnsi="Calibri" w:hAnsiTheme="minorHAnsi"/>
      <w:color w:val="auto"/>
      <w:kern w:val="2"/>
      <w:sz w:val="21"/>
      <w:szCs w:val="22"/>
      <w:lang w:bidi="ar-SA" w:eastAsia="zh-CN" w:val="en-US"/>
    </w:rPr>
  </w:style>
  <w:style w:default="1" w:styleId="DefaultParagraphFont" w:type="character">
    <w:name w:val="Default Paragraph Font"/>
    <w:uiPriority w:val="1"/>
    <w:semiHidden/>
    <w:unhideWhenUsed/>
    <w:qFormat/>
    <w:rPr/>
  </w:style>
  <w:style w:styleId="Style14" w:type="paragraph">
    <w:name w:val="标题样式"/>
    <w:basedOn w:val="Normal"/>
    <w:next w:val="BodyText"/>
    <w:qFormat/>
    <w:pPr>
      <w:keepNext w:val="true"/>
      <w:spacing w:after="120" w:before="240"/>
    </w:pPr>
    <w:rPr>
      <w:rFonts w:ascii="Liberation Sans" w:cs="Arial" w:eastAsia="微软雅黑" w:hAnsi="Liberation Sans"/>
      <w:sz w:val="28"/>
      <w:szCs w:val="28"/>
    </w:rPr>
  </w:style>
  <w:style w:styleId="BodyText" w:type="paragraph">
    <w:name w:val="Body Text"/>
    <w:basedOn w:val="Normal"/>
    <w:pPr>
      <w:spacing w:after="140" w:before="0" w:line="276" w:lineRule="auto"/>
    </w:pPr>
    <w:rPr/>
  </w:style>
  <w:style w:styleId="List" w:type="paragraph">
    <w:name w:val="List"/>
    <w:basedOn w:val="BodyText"/>
    <w:pPr/>
    <w:rPr>
      <w:rFonts w:cs="Arial"/>
    </w:rPr>
  </w:style>
  <w:style w:styleId="Caption" w:type="paragraph">
    <w:name w:val="Caption"/>
    <w:basedOn w:val="Normal"/>
    <w:qFormat/>
    <w:pPr>
      <w:suppressLineNumbers/>
      <w:spacing w:after="120" w:before="120"/>
    </w:pPr>
    <w:rPr>
      <w:rFonts w:cs="Arial"/>
      <w:i/>
      <w:iCs/>
      <w:sz w:val="24"/>
      <w:szCs w:val="24"/>
    </w:rPr>
  </w:style>
  <w:style w:styleId="Style15" w:type="paragraph">
    <w:name w:val="索引"/>
    <w:basedOn w:val="Normal"/>
    <w:qFormat/>
    <w:pPr>
      <w:suppressLineNumbers/>
    </w:pPr>
    <w:rPr>
      <w:rFonts w:cs="Arial"/>
    </w:rPr>
  </w:style>
  <w:style w:styleId="NormalWeb" w:type="paragraph">
    <w:name w:val="Normal (Web)"/>
    <w:basedOn w:val="Normal"/>
    <w:uiPriority w:val="99"/>
    <w:semiHidden/>
    <w:unhideWhenUsed/>
    <w:qFormat/>
    <w:rsid w:val="008e1cad"/>
    <w:pPr>
      <w:widowControl/>
      <w:spacing w:afterAutospacing="1" w:beforeAutospacing="1"/>
      <w:jc w:val="left"/>
    </w:pPr>
    <w:rPr>
      <w:rFonts w:ascii="宋体" w:cs="宋体" w:eastAsia="宋体" w:hAnsi="宋体"/>
      <w:kern w:val="0"/>
      <w:sz w:val="24"/>
      <w:szCs w:val="24"/>
    </w:rPr>
  </w:style>
  <w:style w:default="1" w:styleId="NoList" w:type="numbering">
    <w:name w:val="No List"/>
    <w:uiPriority w:val="99"/>
    <w:semiHidden/>
    <w:unhideWhenUsed/>
    <w:qFormat/>
  </w:style>
  <w:style w:default="1" w:styleId="a1" w:type="table">
    <w:name w:val="Normal Table"/>
    <w:uiPriority w:val="99"/>
    <w:semiHidden/>
    <w:unhideWhenUsed/>
    <w:tblPr>
      <w:tblCellMar>
        <w:top w:type="dxa" w:w="0"/>
        <w:left w:type="dxa" w:w="108"/>
        <w:bottom w:type="dxa" w:w="0"/>
        <w:right w:type="dxa" w:w="108"/>
      </w:tblCellMar>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theme/theme1.xml" Type="http://schemas.openxmlformats.org/officeDocument/2006/relationships/theme"/>
</Relationships>

</file>

<file path=word/theme/theme1.xml><?xml version="1.0" encoding="utf-8"?>
<a:theme xmlns:a="http://schemas.openxmlformats.org/drawingml/2006/main" xmlns:r="http://schemas.openxmlformats.org/officeDocument/2006/relationships"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LibreOffice/7.6.2.1$Windows_X86_64 LibreOffice_project/56f7684011345957bbf33a7ee678afaf4d2ba333</Application>
  <AppVersion>15.0000</AppVersion>
  <Pages>3</Pages>
  <Words>923</Words>
  <Characters>998</Characters>
  <CharactersWithSpaces>1010</CharactersWithSpaces>
  <Paragraphs>292</Paragraph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dc:language>zh-CN</dc:language>
  <dcterms:modified xsi:type="dcterms:W3CDTF">2024-01-13T19:48:24Z</dcterms:modified>
  <cp:revision>26</cp:revision>
</cp:coreProperties>
</file>

<file path=docProps/custom.xml><?xml version="1.0" encoding="utf-8"?>
<Properties xmlns="http://schemas.openxmlformats.org/officeDocument/2006/custom-properties" xmlns:vt="http://schemas.openxmlformats.org/officeDocument/2006/docPropsVTypes"/>
</file>