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永城市商务局2023年政府信息公开工作年度报告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根据市政府2023年政务公开工作安排部署，商务局狠抓落实，全面完成规范拟稿审核、上传发布等各项工作，较好地完成了工作任务。现将本局2023年度政务公开工作具体情况报告如下：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1. 重视依申请公开工作。进一步拓宽受理渠道，建立规范的办理流程，做好依申请公开接收、登记、办理、答复等各个环节工作，依法依规答复。2. 政府信息公开申请接收和办理情况。2023年度，我单位未收到依申请公开相关事项。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我单位2023年度没有收到申请公开政务信息的申请，但准备了随时公开的方法方式。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我单位认真履行信息公开责任，明确主要领导为第一责任人，确定专人负责市商务局门户网站运营和政务公开工作，制定信息发布操作细则、网络管理员操作权限和工作职责，积极做好部门网站信息发布、甘肃政务服务网权责清单发布更新工作，确保公开信息的权威性、准确性、时效性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（四）政府信息平台建设情况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依托永城门户网站等平台着力搭建线上线下想融合的“政务服务政务公开‘’模式，不断括宽多元化的政务公开渠道。二是提高政务新媒体管理水平。为加强信息工作，我局明确一名副局长主抓信息工作，各科室处所都明确一名信息员，专门负责信息。加强政府信息日常管理，不断增强运用新媒体进行舆论引导的能力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认真对照国家、省、市政务公开评估指标组织梳理排查，抓好整改提升，努力推动政务公开工作落实到位，及时对存在的问题进行整改。积极组织参与全市政务公开工作专题培训会，极大提升了我单位工作人员的业务能力。2023年我单位未开展政务公开社会评议，无责任追究结果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公开的栏目需要调整，商务工作重心不同决定了栏目结构不可能均衡和全面顾及得到，商务工作的特点要求对应的工作栏目需要适当删减或增加，具体建议已专题报政府办。二是思想认识还有待提高。有时经济指标形势压人，阶段性中心工作受挤，政务公开工作无瑕顾及而延误时机。下一步。我单位一是加强考核。信息公开的条数纳入本局优化环境奖考核，按条数兑现，体现奖勤罚懒、多劳多得原则。二是进一步增强信息公开责任意识。局内要根据三定方案职责，明确主管领导，制定具体考核标准，提高工作积极性和责任感；并加强与市政府对口部门的联系，争取技术上的直接指导和业务上的领导，全面完成政务公开工作任务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2023年度本单位未收到依申请公共事项，未产生政府信息公开信息处理费用。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