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15">
  <w:body>
    <w:p>
      <w:pPr>
        <w:pStyle w:val="Normal"/>
        <w:widowControl/>
        <w:shd w:color="auto" w:fill="FFFFFF" w:val="clear"/>
        <w:rPr>
          <w:rFonts w:ascii="宋体" w:cs="宋体" w:eastAsia="宋体" w:hAnsi="宋体"/>
          <w:b/>
          <w:bCs/>
          <w:color w:val="333333"/>
          <w:kern w:val="0"/>
          <w:sz w:val="24"/>
          <w:szCs w:val="24"/>
        </w:rPr>
      </w:pPr>
      <w:r>
        <w:rPr>
          <w:rFonts w:ascii="宋体" w:cs="宋体" w:eastAsia="宋体" w:hAnsi="宋体"/>
          <w:b/>
          <w:bCs/>
          <w:color w:val="333333"/>
          <w:kern w:val="0"/>
          <w:sz w:val="24"/>
          <w:szCs w:val="24"/>
        </w:rPr>
      </w:r>
    </w:p>
    <w:p>
      <w:pPr>
        <w:pStyle w:val="Normal"/>
        <w:widowControl/>
        <w:shd w:color="auto" w:fill="FFFFFF" w:val="clear"/>
        <w:jc w:val="center"/>
        <w:rPr>
          <w:rFonts w:ascii="宋体" w:cs="宋体" w:eastAsia="宋体" w:hAnsi="宋体"/>
          <w:color w:val="333333"/>
          <w:kern w:val="0"/>
          <w:sz w:val="24"/>
          <w:szCs w:val="24"/>
        </w:rPr>
      </w:pPr>
      <w:r>
        <w:rPr>
          <w:rFonts w:ascii="宋体" w:cs="宋体" w:eastAsia="宋体" w:hAnsi="宋体"/>
          <w:b/>
          <w:bCs/>
          <w:color w:val="333333"/>
          <w:kern w:val="0"/>
          <w:sz w:val="36"/>
          <w:szCs w:val="36"/>
        </w:rPr>
        <w:t>永城市侯岭街道办事处2023年政府信息公开工作年度报告</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一、总体情况</w:t>
      </w:r>
    </w:p>
    <w:p>
      <w:pPr>
        <w:pStyle w:val="Normal"/>
        <w:widowControl/>
        <w:shd w:color="auto" w:fill="FFFFFF" w:val="clear"/>
        <w:ind w:firstLine="480"/>
        <w:rPr>
          <w:rFonts w:ascii="宋体" w:cs="宋体" w:eastAsia="宋体" w:hAnsi="宋体"/>
          <w:color w:val="333333"/>
          <w:kern w:val="0"/>
          <w:sz w:val="24"/>
          <w:szCs w:val="24"/>
        </w:rPr>
      </w:pPr>
      <w:r>
        <w:t>2023年，在市委、市政府正确领导下，紧紧围绕街道党工委、办事处中心工作及全街道民众期盼，不断完善政府信息公开制度、建立健全政府信息公开保障机制，并按照有关规定实事求是地公布群众关心的热点问题和各类政务信息；增强政府工作透明度，深入推行政务公开制度，增强群众的民主意识和机关干部的服务意识。</w:t>
      </w:r>
    </w:p>
    <w:p>
      <w:pPr>
        <w:pStyle w:val="Normal"/>
        <w:widowControl/>
        <w:shd w:color="auto" w:fill="FFFFFF" w:val="clear"/>
        <w:ind w:firstLine="480"/>
        <w:rPr>
          <w:rFonts w:ascii="宋体" w:cs="宋体" w:eastAsia="宋体" w:hAnsi="宋体"/>
          <w:color w:val="333333"/>
          <w:kern w:val="0"/>
          <w:sz w:val="24"/>
          <w:szCs w:val="24"/>
        </w:rPr>
      </w:pPr>
      <w:r>
        <w:t>（一）主动公开：</w:t>
      </w:r>
    </w:p>
    <w:p>
      <w:pPr>
        <w:pStyle w:val="Normal"/>
        <w:widowControl/>
        <w:shd w:color="auto" w:fill="FFFFFF" w:val="clear"/>
        <w:ind w:firstLine="480"/>
        <w:rPr>
          <w:rFonts w:ascii="宋体" w:cs="宋体" w:eastAsia="宋体" w:hAnsi="宋体"/>
          <w:color w:val="333333"/>
          <w:kern w:val="0"/>
          <w:sz w:val="24"/>
          <w:szCs w:val="24"/>
        </w:rPr>
      </w:pPr>
      <w:r>
        <w:t>2023年，严格执行政府信息公开工作制度，根据街道实际，本着“规范、明了、方便、实用”的原则，安排专职人员进行管理，方便群众现场查询政府信息及咨询政策，确保基层政务公开全覆盖，切实保障人民群众的知情权、参与权、表达权、监督权。</w:t>
      </w:r>
    </w:p>
    <w:p>
      <w:pPr>
        <w:pStyle w:val="Normal"/>
        <w:widowControl/>
        <w:shd w:color="auto" w:fill="FFFFFF" w:val="clear"/>
        <w:ind w:firstLine="480"/>
        <w:rPr>
          <w:rFonts w:ascii="宋体" w:cs="宋体" w:eastAsia="宋体" w:hAnsi="宋体"/>
          <w:color w:val="333333"/>
          <w:kern w:val="0"/>
          <w:sz w:val="24"/>
          <w:szCs w:val="24"/>
        </w:rPr>
      </w:pPr>
      <w:r>
        <w:t>（二）依申请公开：</w:t>
      </w:r>
    </w:p>
    <w:p>
      <w:pPr>
        <w:pStyle w:val="Normal"/>
        <w:widowControl/>
        <w:shd w:color="auto" w:fill="FFFFFF" w:val="clear"/>
        <w:ind w:firstLine="480"/>
        <w:rPr>
          <w:rFonts w:ascii="宋体" w:cs="宋体" w:eastAsia="宋体" w:hAnsi="宋体"/>
          <w:color w:val="333333"/>
          <w:kern w:val="0"/>
          <w:sz w:val="24"/>
          <w:szCs w:val="24"/>
        </w:rPr>
      </w:pPr>
      <w:r>
        <w:t>2023年，侯岭街道明确依申请公开的受理机构和程序，按规定受理、审核、处理、答复；本年度受理依申请公开政府信息 0 件。</w:t>
      </w:r>
    </w:p>
    <w:p>
      <w:pPr>
        <w:pStyle w:val="Normal"/>
        <w:widowControl/>
        <w:shd w:color="auto" w:fill="FFFFFF" w:val="clear"/>
        <w:ind w:firstLine="480"/>
        <w:rPr>
          <w:rFonts w:ascii="宋体" w:cs="宋体" w:eastAsia="宋体" w:hAnsi="宋体"/>
          <w:color w:val="333333"/>
          <w:kern w:val="0"/>
          <w:sz w:val="24"/>
          <w:szCs w:val="24"/>
        </w:rPr>
      </w:pPr>
      <w:r>
        <w:t>（三）政府信息管理：</w:t>
      </w:r>
    </w:p>
    <w:p>
      <w:pPr>
        <w:pStyle w:val="Normal"/>
        <w:widowControl/>
        <w:shd w:color="auto" w:fill="FFFFFF" w:val="clear"/>
        <w:ind w:firstLine="480"/>
        <w:rPr>
          <w:rFonts w:ascii="宋体" w:cs="宋体" w:eastAsia="宋体" w:hAnsi="宋体"/>
          <w:color w:val="333333"/>
          <w:kern w:val="0"/>
          <w:sz w:val="24"/>
          <w:szCs w:val="24"/>
        </w:rPr>
      </w:pPr>
      <w:r>
        <w:t>1、加强领导，完善工作机制。成立侯岭街道政务信息公开工作领导小组，街道办主任任组长，各站所负责人及相关骨干力量任成员，领导小组下设办公室于党政办，负责对政府信息公开工作进行统筹规划和监督，做好政务网站安全维护、信息发布、对外联络和信息上报等工作，确保责任落实到岗到人。</w:t>
      </w:r>
    </w:p>
    <w:p>
      <w:pPr>
        <w:pStyle w:val="Normal"/>
        <w:widowControl/>
        <w:shd w:color="auto" w:fill="FFFFFF" w:val="clear"/>
        <w:ind w:firstLine="480"/>
        <w:rPr>
          <w:rFonts w:ascii="宋体" w:cs="宋体" w:eastAsia="宋体" w:hAnsi="宋体"/>
          <w:color w:val="333333"/>
          <w:kern w:val="0"/>
          <w:sz w:val="24"/>
          <w:szCs w:val="24"/>
        </w:rPr>
      </w:pPr>
      <w:r>
        <w:t>2、明确职责，抓好业务培训。街道明确了各站所及相关人员对政务信息公开工作的职责，要求各站所及时上报信息，由党政办工作人员对信息进行收集、校稿。同时，加强业务人员的培训，要求党政办工作人员要熟悉政务网站操作流程，全体街道干部、村干部要加强学习，提升撰稿能力，鼓励积极撰稿投稿，提升稿件质量和数量。</w:t>
      </w:r>
    </w:p>
    <w:p>
      <w:pPr>
        <w:pStyle w:val="Normal"/>
        <w:widowControl/>
        <w:shd w:color="auto" w:fill="FFFFFF" w:val="clear"/>
        <w:ind w:firstLine="480"/>
        <w:rPr>
          <w:rFonts w:ascii="宋体" w:cs="宋体" w:eastAsia="宋体" w:hAnsi="宋体"/>
          <w:color w:val="333333"/>
          <w:kern w:val="0"/>
          <w:sz w:val="24"/>
          <w:szCs w:val="24"/>
        </w:rPr>
      </w:pPr>
      <w:r>
        <w:t>（四）政府信息公开平台建设：</w:t>
      </w:r>
    </w:p>
    <w:p>
      <w:pPr>
        <w:pStyle w:val="Normal"/>
        <w:widowControl/>
        <w:shd w:color="auto" w:fill="FFFFFF" w:val="clear"/>
        <w:ind w:firstLine="480"/>
        <w:rPr>
          <w:rFonts w:ascii="宋体" w:cs="宋体" w:eastAsia="宋体" w:hAnsi="宋体"/>
          <w:color w:val="333333"/>
          <w:kern w:val="0"/>
          <w:sz w:val="24"/>
          <w:szCs w:val="24"/>
        </w:rPr>
      </w:pPr>
      <w:r>
        <w:t>一是依托政府网站, 推进网上政务公开。二是充分利用新媒体形式，推进政务公开。运用微信平台，五级网格群，提供便民服务信息。三是建立和推行街道政府政务信息服务，由街道、村两级便民服务中心具体负责。</w:t>
      </w:r>
    </w:p>
    <w:p>
      <w:pPr>
        <w:pStyle w:val="Normal"/>
        <w:widowControl/>
        <w:shd w:color="auto" w:fill="FFFFFF" w:val="clear"/>
        <w:ind w:firstLine="480"/>
        <w:rPr>
          <w:rFonts w:ascii="宋体" w:cs="宋体" w:eastAsia="宋体" w:hAnsi="宋体"/>
          <w:color w:val="333333"/>
          <w:kern w:val="0"/>
          <w:sz w:val="24"/>
          <w:szCs w:val="24"/>
        </w:rPr>
      </w:pPr>
      <w:r>
        <w:t>（五）监督保障：</w:t>
      </w:r>
    </w:p>
    <w:p>
      <w:pPr>
        <w:pStyle w:val="Normal"/>
        <w:widowControl/>
        <w:shd w:color="auto" w:fill="FFFFFF" w:val="clear"/>
        <w:ind w:firstLine="480"/>
        <w:rPr>
          <w:rFonts w:ascii="宋体" w:cs="宋体" w:eastAsia="宋体" w:hAnsi="宋体"/>
          <w:color w:val="333333"/>
          <w:kern w:val="0"/>
          <w:sz w:val="24"/>
          <w:szCs w:val="24"/>
        </w:rPr>
      </w:pPr>
      <w:r>
        <w:t>一是畅通渠道。通过电话、邮箱、来访等方式收集群众反馈意见。二是严格考核奖惩。建立街道日常检查考核机制，加强对业务办理、服务规范、举报投诉等情况的督查，将工作人员的工作业绩、考核评议结果与窗口部门及人员的年度考核结合起来，根据考核结果进行奖惩。</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pageBreakBefore w:val="on"/>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二、主动公开政府信息情况</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tbl>
      <w:tblPr>
        <w:tblW w:type="dxa" w:w="9740"/>
        <w:jc w:val="center"/>
        <w:tblInd w:type="dxa" w:w="0"/>
        <w:tblLayout w:type="fixed"/>
        <w:tblCellMar>
          <w:top w:type="dxa" w:w="0"/>
          <w:left w:type="dxa" w:w="57"/>
          <w:bottom w:type="dxa" w:w="0"/>
          <w:right w:type="dxa" w:w="57"/>
        </w:tblCellMar>
        <w:tblLook w:firstColumn="1" w:firstRow="1" w:lastColumn="0" w:lastRow="0" w:noHBand="0" w:noVBand="1" w:val="04a0"/>
      </w:tblPr>
      <w:tblGrid>
        <w:gridCol w:w="2435"/>
        <w:gridCol w:w="2435"/>
        <w:gridCol w:w="2435"/>
        <w:gridCol w:w="2434"/>
      </w:tblGrid>
      <w:tr>
        <w:trPr>
          <w:trHeight w:hRule="atLeast" w:val="340"/>
        </w:trPr>
        <w:tc>
          <w:tcPr>
            <w:tcW w:type="dxa" w:w="9739"/>
            <w:gridSpan w:val="4"/>
            <w:tcBorders>
              <w:top w:color="000000" w:space="0" w:sz="8" w:val="single"/>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第二十条第（一）项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2435"/>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w:t>
            </w:r>
            <w:r>
              <w:rPr>
                <w:rFonts w:ascii="宋体" w:cs="Calibri" w:hAnsi="宋体"/>
                <w:kern w:val="0"/>
                <w:sz w:val="20"/>
                <w:szCs w:val="20"/>
              </w:rPr>
              <w:t>制</w:t>
            </w:r>
            <w:r>
              <w:rPr>
                <w:rFonts w:ascii="宋体" w:cs="宋体" w:hAnsi="宋体"/>
                <w:kern w:val="0"/>
                <w:sz w:val="20"/>
                <w:szCs w:val="20"/>
              </w:rPr>
              <w:t>发件</w:t>
            </w:r>
            <w:r>
              <w:rPr>
                <w:rFonts w:ascii="宋体" w:cs="Calibri" w:hAnsi="宋体"/>
                <w:kern w:val="0"/>
                <w:sz w:val="20"/>
                <w:szCs w:val="20"/>
              </w:rPr>
              <w:t>数</w:t>
            </w:r>
          </w:p>
        </w:tc>
        <w:tc>
          <w:tcPr>
            <w:tcW w:type="dxa" w:w="2435"/>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本年废止件数</w:t>
            </w:r>
          </w:p>
        </w:tc>
        <w:tc>
          <w:tcPr>
            <w:tcW w:type="dxa" w:w="2434"/>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现行有效件</w:t>
            </w:r>
            <w:r>
              <w:rPr>
                <w:rFonts w:ascii="宋体" w:cs="Calibri" w:hAnsi="宋体"/>
                <w:kern w:val="0"/>
                <w:sz w:val="20"/>
                <w:szCs w:val="20"/>
              </w:rPr>
              <w:t>数</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规章</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行政规范性文件</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第二十条第（五）项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行政许可</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第二十条第（六）项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行政处罚</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行政强制</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第二十条第（八）项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本年收费金额（单位：万元）</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行政事业性收费</w:t>
            </w:r>
          </w:p>
        </w:tc>
        <w:tc>
          <w:tcPr>
            <w:tcW w:type="dxa" w:w="7304"/>
            <w:gridSpan w:val="3"/>
            <w:tcBorders>
              <w:bottom w:color="000000" w:space="0" w:sz="8" w:val="single"/>
              <w:right w:color="000000" w:space="0" w:sz="8" w:val="single"/>
            </w:tcBorders>
            <w:vAlign w:val="center"/>
          </w:tcPr>
          <w:p>
            <w:r>
              <w:t>0</w:t>
            </w:r>
          </w:p>
        </w:tc>
      </w:tr>
    </w:tbl>
    <w:p>
      <w:pPr>
        <w:pStyle w:val="Normal"/>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t>三、收到和处理政府信息公开申请情况</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tbl>
      <w:tblPr>
        <w:tblW w:type="dxa" w:w="9748"/>
        <w:jc w:val="center"/>
        <w:tblInd w:type="dxa" w:w="0"/>
        <w:tblLayout w:type="fixed"/>
        <w:tblCellMar>
          <w:top w:type="dxa" w:w="0"/>
          <w:left w:type="dxa" w:w="108"/>
          <w:bottom w:type="dxa" w:w="0"/>
          <w:right w:type="dxa" w:w="108"/>
        </w:tblCellMar>
        <w:tblLook w:firstColumn="1" w:firstRow="1" w:lastColumn="0" w:lastRow="0" w:noHBand="0" w:noVBand="1" w:val="04a0"/>
      </w:tblPr>
      <w:tblGrid>
        <w:gridCol w:w="769"/>
        <w:gridCol w:w="942"/>
        <w:gridCol w:w="3220"/>
        <w:gridCol w:w="688"/>
        <w:gridCol w:w="688"/>
        <w:gridCol w:w="689"/>
        <w:gridCol w:w="688"/>
        <w:gridCol w:w="687"/>
        <w:gridCol w:w="688"/>
        <w:gridCol w:w="688"/>
      </w:tblGrid>
      <w:tr>
        <w:trPr/>
        <w:tc>
          <w:tcPr>
            <w:tcW w:type="dxa" w:w="4931"/>
            <w:gridSpan w:val="3"/>
            <w:vMerge w:val="restart"/>
            <w:tcBorders>
              <w:top w:color="000000" w:space="0" w:sz="8" w:val="single"/>
              <w:left w:color="000000" w:space="0" w:sz="8" w:val="single"/>
              <w:bottom w:color="000000" w:space="0" w:sz="8" w:val="inset"/>
              <w:right w:color="000000" w:space="0" w:sz="8" w:val="single"/>
            </w:tcBorders>
            <w:vAlign w:val="center"/>
          </w:tcPr>
          <w:p>
            <w:pPr>
              <w:pStyle w:val="Normal"/>
              <w:widowControl/>
              <w:jc w:val="left"/>
              <w:rPr>
                <w:rFonts w:ascii="宋体" w:cs="宋体" w:eastAsia="宋体" w:hAnsi="宋体"/>
                <w:kern w:val="0"/>
                <w:sz w:val="24"/>
                <w:szCs w:val="24"/>
              </w:rPr>
            </w:pPr>
            <w:r>
              <w:rPr>
                <w:rFonts w:ascii="楷体" w:cs="宋体" w:eastAsia="楷体" w:hAnsi="楷体"/>
                <w:kern w:val="0"/>
                <w:sz w:val="20"/>
                <w:szCs w:val="20"/>
              </w:rPr>
              <w:t>（本列数据的勾稽关系为：第一项加第二项之和，等于第三项加第四项之和）</w:t>
            </w:r>
          </w:p>
        </w:tc>
        <w:tc>
          <w:tcPr>
            <w:tcW w:type="dxa" w:w="4816"/>
            <w:gridSpan w:val="7"/>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申请人情况</w:t>
            </w:r>
          </w:p>
        </w:tc>
      </w:tr>
      <w:tr>
        <w:trPr/>
        <w:tc>
          <w:tcPr>
            <w:tcW w:type="dxa" w:w="4931"/>
            <w:gridSpan w:val="3"/>
            <w:vMerge w:val="continue"/>
            <w:tcBorders>
              <w:top w:color="000000" w:space="0" w:sz="8" w:val="single"/>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vMerge w:val="restart"/>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自然人</w:t>
            </w:r>
          </w:p>
        </w:tc>
        <w:tc>
          <w:tcPr>
            <w:tcW w:type="dxa" w:w="3440"/>
            <w:gridSpan w:val="5"/>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法人或其他组织</w:t>
            </w:r>
          </w:p>
        </w:tc>
        <w:tc>
          <w:tcPr>
            <w:tcW w:type="dxa" w:w="688"/>
            <w:vMerge w:val="restart"/>
            <w:tcBorders>
              <w:top w:color="000000" w:space="0" w:sz="8" w:val="single"/>
              <w:bottom w:color="000000" w:space="0" w:sz="8" w:val="inset"/>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总计</w:t>
            </w:r>
          </w:p>
        </w:tc>
      </w:tr>
      <w:tr>
        <w:trPr/>
        <w:tc>
          <w:tcPr>
            <w:tcW w:type="dxa" w:w="4931"/>
            <w:gridSpan w:val="3"/>
            <w:vMerge w:val="continue"/>
            <w:tcBorders>
              <w:top w:color="000000" w:space="0" w:sz="8" w:val="single"/>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vMerge w:val="continue"/>
            <w:tcBorders>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商业</w:t>
            </w:r>
          </w:p>
          <w:p>
            <w:pPr>
              <w:pStyle w:val="Normal"/>
              <w:widowControl/>
              <w:jc w:val="center"/>
              <w:rPr>
                <w:rFonts w:ascii="宋体" w:cs="宋体" w:eastAsia="宋体" w:hAnsi="宋体"/>
                <w:kern w:val="0"/>
                <w:sz w:val="24"/>
                <w:szCs w:val="24"/>
              </w:rPr>
            </w:pPr>
            <w:r>
              <w:rPr>
                <w:rFonts w:ascii="宋体" w:cs="宋体" w:hAnsi="宋体"/>
                <w:kern w:val="0"/>
                <w:sz w:val="20"/>
                <w:szCs w:val="20"/>
              </w:rPr>
              <w:t>企业</w:t>
            </w:r>
          </w:p>
        </w:tc>
        <w:tc>
          <w:tcPr>
            <w:tcW w:type="dxa" w:w="689"/>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科研</w:t>
            </w:r>
          </w:p>
          <w:p>
            <w:pPr>
              <w:pStyle w:val="Normal"/>
              <w:widowControl/>
              <w:jc w:val="center"/>
              <w:rPr>
                <w:rFonts w:ascii="宋体" w:cs="宋体" w:eastAsia="宋体" w:hAnsi="宋体"/>
                <w:kern w:val="0"/>
                <w:sz w:val="24"/>
                <w:szCs w:val="24"/>
              </w:rPr>
            </w:pPr>
            <w:r>
              <w:rPr>
                <w:rFonts w:ascii="宋体" w:cs="宋体" w:hAnsi="宋体"/>
                <w:kern w:val="0"/>
                <w:sz w:val="20"/>
                <w:szCs w:val="20"/>
              </w:rPr>
              <w:t>机构</w:t>
            </w:r>
          </w:p>
        </w:tc>
        <w:tc>
          <w:tcPr>
            <w:tcW w:type="dxa" w:w="688"/>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社会公益组织</w:t>
            </w:r>
          </w:p>
        </w:tc>
        <w:tc>
          <w:tcPr>
            <w:tcW w:type="dxa" w:w="687"/>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法律服务机构</w:t>
            </w:r>
          </w:p>
        </w:tc>
        <w:tc>
          <w:tcPr>
            <w:tcW w:type="dxa" w:w="688"/>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p>
        </w:tc>
        <w:tc>
          <w:tcPr>
            <w:tcW w:type="dxa" w:w="688"/>
            <w:vMerge w:val="continue"/>
            <w:tcBorders>
              <w:top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一、本年新收政府信息公开申请数量</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二、上年结转政府信息公开申请数量</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restart"/>
            <w:tcBorders>
              <w:left w:color="000000" w:space="0" w:sz="8" w:val="single"/>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三、本年度办理结果</w:t>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（一）予以公开</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（二）部分公开</w:t>
            </w:r>
            <w:r>
              <w:rPr>
                <w:rFonts w:ascii="楷体" w:cs="宋体" w:eastAsia="楷体" w:hAnsi="楷体"/>
                <w:kern w:val="0"/>
                <w:sz w:val="20"/>
                <w:szCs w:val="20"/>
              </w:rPr>
              <w:t>（区分处理的，只计这一情形，不计其他情形）</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（三）不予公开</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属于国家秘密</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top w:color="000000" w:space="0" w:sz="8" w:val="single"/>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其他法律行政法规禁止公开</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危及“三安全一稳定”</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保护第三方合法权益</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属于三类内部事务信息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6.</w:t>
            </w:r>
            <w:r>
              <w:rPr>
                <w:rFonts w:ascii="宋体" w:cs="宋体" w:hAnsi="宋体"/>
                <w:kern w:val="0"/>
                <w:sz w:val="20"/>
                <w:szCs w:val="20"/>
              </w:rPr>
              <w:t>属于四类过程性信息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7.</w:t>
            </w:r>
            <w:r>
              <w:rPr>
                <w:rFonts w:ascii="宋体" w:cs="宋体" w:hAnsi="宋体"/>
                <w:kern w:val="0"/>
                <w:sz w:val="20"/>
                <w:szCs w:val="20"/>
              </w:rPr>
              <w:t>属于行政执法案卷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8.</w:t>
            </w:r>
            <w:r>
              <w:rPr>
                <w:rFonts w:ascii="宋体" w:cs="宋体" w:hAnsi="宋体"/>
                <w:kern w:val="0"/>
                <w:sz w:val="20"/>
                <w:szCs w:val="20"/>
              </w:rPr>
              <w:t>属于行政查询事项</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（四）无法提供</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本机关不掌握相关政府信息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没有现成信息需要另行制作</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补正后申请内容仍不明确</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（五）不予处理</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信访举报投诉类申请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重复申请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要求提供公开出版物</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无正当理由大量反复申请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rHeight w:hRule="atLeast" w:val="779"/>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inset"/>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要求行政机关确认或重新出具已获取信息</w:t>
            </w:r>
          </w:p>
        </w:tc>
        <w:tc>
          <w:tcPr>
            <w:tcW w:type="dxa" w:w="688"/>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9"/>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7"/>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top w:color="000000" w:space="0" w:sz="8" w:val="inset"/>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（六）其他处理</w:t>
            </w:r>
          </w:p>
        </w:tc>
        <w:tc>
          <w:tcPr>
            <w:tcW w:type="dxa" w:w="3220"/>
            <w:tcBorders>
              <w:bottom w:color="000000" w:space="0" w:sz="8" w:val="single"/>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申请人无正当理由逾期不补正、行政机关不再处理其政府信息公开申请</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top w:color="000000" w:space="0" w:sz="8" w:val="inset"/>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申请人逾期未按收费通知要求缴纳费用、行政机关不再处理其政府信息公开申请</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top w:color="000000" w:space="0" w:sz="8" w:val="inset"/>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其他</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（七）总计</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四、结转下年度继续办理</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bl>
    <w:p>
      <w:pPr>
        <w:pStyle w:val="Normal"/>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t>四、政府信息公开行政复议、行政诉讼情况</w:t>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eastAsia="宋体" w:hAnsi="宋体"/>
          <w:b/>
          <w:bCs/>
          <w:color w:val="333333"/>
          <w:kern w:val="0"/>
          <w:sz w:val="24"/>
          <w:szCs w:val="24"/>
        </w:rPr>
      </w:r>
    </w:p>
    <w:tbl>
      <w:tblPr>
        <w:tblW w:type="dxa" w:w="9748"/>
        <w:jc w:val="center"/>
        <w:tblInd w:type="dxa" w:w="0"/>
        <w:tblLayout w:type="fixed"/>
        <w:tblCellMar>
          <w:top w:type="dxa" w:w="0"/>
          <w:left w:type="dxa" w:w="108"/>
          <w:bottom w:type="dxa" w:w="0"/>
          <w:right w:type="dxa" w:w="108"/>
        </w:tblCellMar>
        <w:tblLook w:firstColumn="1" w:firstRow="1" w:lastColumn="0" w:lastRow="0" w:noHBand="0" w:noVBand="1" w:val="04a0"/>
      </w:tblPr>
      <w:tblGrid>
        <w:gridCol w:w="650"/>
        <w:gridCol w:w="650"/>
        <w:gridCol w:w="649"/>
        <w:gridCol w:w="650"/>
        <w:gridCol w:w="650"/>
        <w:gridCol w:w="650"/>
        <w:gridCol w:w="650"/>
        <w:gridCol w:w="649"/>
        <w:gridCol w:w="650"/>
        <w:gridCol w:w="650"/>
        <w:gridCol w:w="650"/>
        <w:gridCol w:w="650"/>
        <w:gridCol w:w="650"/>
        <w:gridCol w:w="650"/>
        <w:gridCol w:w="650"/>
      </w:tblGrid>
      <w:tr>
        <w:trPr/>
        <w:tc>
          <w:tcPr>
            <w:tcW w:type="dxa" w:w="3249"/>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行政复议</w:t>
            </w:r>
          </w:p>
        </w:tc>
        <w:tc>
          <w:tcPr>
            <w:tcW w:type="dxa" w:w="6499"/>
            <w:gridSpan w:val="1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行政诉讼</w:t>
            </w:r>
          </w:p>
        </w:tc>
      </w:tr>
      <w:tr>
        <w:trPr/>
        <w:tc>
          <w:tcPr>
            <w:tcW w:type="dxa" w:w="650"/>
            <w:vMerge w:val="restart"/>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结果维持</w:t>
            </w:r>
          </w:p>
        </w:tc>
        <w:tc>
          <w:tcPr>
            <w:tcW w:type="dxa" w:w="650"/>
            <w:vMerge w:val="restart"/>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总计</w:t>
            </w:r>
          </w:p>
        </w:tc>
        <w:tc>
          <w:tcPr>
            <w:tcW w:type="dxa" w:w="3249"/>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未经复议直接起诉</w:t>
            </w:r>
          </w:p>
        </w:tc>
        <w:tc>
          <w:tcPr>
            <w:tcW w:type="dxa" w:w="3250"/>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复议后起诉</w:t>
            </w:r>
          </w:p>
        </w:tc>
      </w:tr>
      <w:tr>
        <w:trPr/>
        <w:tc>
          <w:tcPr>
            <w:tcW w:type="dxa" w:w="650"/>
            <w:vMerge w:val="continue"/>
            <w:tcBorders>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49"/>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总计</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其他</w:t>
            </w:r>
            <w:r>
              <w:rPr>
                <w:rFonts w:ascii="宋体" w:cs="宋体" w:eastAsia="宋体" w:hAnsi="宋体"/>
                <w:color w:val="000000"/>
                <w:kern w:val="0"/>
                <w:sz w:val="20"/>
                <w:szCs w:val="20"/>
              </w:rPr>
              <w:br/>
            </w:r>
            <w:r>
              <w:rPr>
                <w:rFonts w:ascii="宋体" w:cs="宋体" w:hAnsi="宋体"/>
                <w:color w:val="000000"/>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总计</w:t>
            </w:r>
          </w:p>
        </w:tc>
      </w:tr>
      <w:tr>
        <w:trPr>
          <w:trHeight w:hRule="atLeast" w:val="672"/>
        </w:trPr>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r>
    </w:tbl>
    <w:p>
      <w:pPr>
        <w:pStyle w:val="Normal"/>
        <w:widowControl/>
        <w:jc w:val="left"/>
        <w:rPr>
          <w:rFonts w:ascii="宋体" w:cs="宋体" w:eastAsia="宋体" w:hAnsi="宋体"/>
          <w:kern w:val="0"/>
          <w:sz w:val="24"/>
          <w:szCs w:val="24"/>
        </w:rPr>
      </w:pPr>
      <w:r>
        <w:rPr>
          <w:rFonts w:ascii="宋体" w:cs="宋体" w:eastAsia="宋体" w:hAnsi="宋体"/>
          <w:color w:val="333333"/>
          <w:kern w:val="0"/>
          <w:sz w:val="24"/>
          <w:szCs w:val="24"/>
        </w:rPr>
        <w:br/>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五、存在的主要问题及改进情况</w:t>
      </w:r>
    </w:p>
    <w:p>
      <w:pPr>
        <w:pStyle w:val="Normal"/>
        <w:widowControl/>
        <w:shd w:color="auto" w:fill="FFFFFF" w:val="clear"/>
        <w:ind w:firstLine="480"/>
        <w:rPr>
          <w:rFonts w:ascii="宋体" w:cs="宋体" w:eastAsia="宋体" w:hAnsi="宋体"/>
          <w:color w:val="333333"/>
          <w:kern w:val="0"/>
          <w:sz w:val="24"/>
          <w:szCs w:val="24"/>
        </w:rPr>
      </w:pPr>
      <w:r>
        <w:t>一、存在的问题</w:t>
      </w:r>
    </w:p>
    <w:p>
      <w:pPr>
        <w:pStyle w:val="Normal"/>
        <w:widowControl/>
        <w:shd w:color="auto" w:fill="FFFFFF" w:val="clear"/>
        <w:ind w:firstLine="480"/>
        <w:rPr>
          <w:rFonts w:ascii="宋体" w:cs="宋体" w:eastAsia="宋体" w:hAnsi="宋体"/>
          <w:color w:val="333333"/>
          <w:kern w:val="0"/>
          <w:sz w:val="24"/>
          <w:szCs w:val="24"/>
        </w:rPr>
      </w:pPr>
      <w:r>
        <w:t>一是政务信息公开专职人员业务水平、工作能力有待进一步加强。</w:t>
      </w:r>
    </w:p>
    <w:p>
      <w:pPr>
        <w:pStyle w:val="Normal"/>
        <w:widowControl/>
        <w:shd w:color="auto" w:fill="FFFFFF" w:val="clear"/>
        <w:ind w:firstLine="480"/>
        <w:rPr>
          <w:rFonts w:ascii="宋体" w:cs="宋体" w:eastAsia="宋体" w:hAnsi="宋体"/>
          <w:color w:val="333333"/>
          <w:kern w:val="0"/>
          <w:sz w:val="24"/>
          <w:szCs w:val="24"/>
        </w:rPr>
      </w:pPr>
      <w:r>
        <w:t>二是对主动公开的信息内容的理解和把握不够，对各项政策的理解不能灵活运用，发布的政务信息质量还不高。</w:t>
      </w:r>
    </w:p>
    <w:p>
      <w:pPr>
        <w:pStyle w:val="Normal"/>
        <w:widowControl/>
        <w:shd w:color="auto" w:fill="FFFFFF" w:val="clear"/>
        <w:ind w:firstLine="480"/>
        <w:rPr>
          <w:rFonts w:ascii="宋体" w:cs="宋体" w:eastAsia="宋体" w:hAnsi="宋体"/>
          <w:color w:val="333333"/>
          <w:kern w:val="0"/>
          <w:sz w:val="24"/>
          <w:szCs w:val="24"/>
        </w:rPr>
      </w:pPr>
      <w:r>
        <w:t>二、改进情况</w:t>
      </w:r>
    </w:p>
    <w:p>
      <w:pPr>
        <w:pStyle w:val="Normal"/>
        <w:widowControl/>
        <w:shd w:color="auto" w:fill="FFFFFF" w:val="clear"/>
        <w:ind w:firstLine="480"/>
        <w:rPr>
          <w:rFonts w:ascii="宋体" w:cs="宋体" w:eastAsia="宋体" w:hAnsi="宋体"/>
          <w:color w:val="333333"/>
          <w:kern w:val="0"/>
          <w:sz w:val="24"/>
          <w:szCs w:val="24"/>
        </w:rPr>
      </w:pPr>
      <w:r>
        <w:t>（一）加强政务公开工作人员的培训力度，提高其对政务信息公开工作重要性的认识，提升工作人员素质和业务水平。</w:t>
      </w:r>
    </w:p>
    <w:p>
      <w:pPr>
        <w:pStyle w:val="Normal"/>
        <w:widowControl/>
        <w:shd w:color="auto" w:fill="FFFFFF" w:val="clear"/>
        <w:ind w:firstLine="480"/>
        <w:rPr>
          <w:rFonts w:ascii="宋体" w:cs="宋体" w:eastAsia="宋体" w:hAnsi="宋体"/>
          <w:color w:val="333333"/>
          <w:kern w:val="0"/>
          <w:sz w:val="24"/>
          <w:szCs w:val="24"/>
        </w:rPr>
      </w:pPr>
      <w:r>
        <w:t>（二）不断创新政务公开工作方法，加大政务信息公开范围、提升政务信息公开质量，持续做好政务公开各类信息发布等基础工作，确保政务公开工作常态化。</w:t>
      </w:r>
    </w:p>
    <w:p>
      <w:pPr>
        <w:pStyle w:val="Normal"/>
        <w:widowControl/>
        <w:shd w:color="auto" w:fill="FFFFFF" w:val="clear"/>
        <w:ind w:firstLine="480"/>
        <w:rPr>
          <w:rFonts w:ascii="宋体" w:cs="宋体" w:eastAsia="宋体" w:hAnsi="宋体"/>
          <w:color w:val="333333"/>
          <w:kern w:val="0"/>
          <w:sz w:val="24"/>
          <w:szCs w:val="24"/>
        </w:rPr>
      </w:pPr>
      <w:r>
        <w:t>（三）严格落实政务公开工作各项决策部署，为确保实效，街道分管负责人定期对各科室所涉及公开的内容进行检查督查，进一步提高政务信息公开的规范性和及时性，确保政府信息公开工作落到实处。</w:t>
      </w:r>
    </w:p>
    <w:p>
      <w:pPr>
        <w:pStyle w:val="Normal"/>
        <w:widowControl/>
        <w:shd w:color="auto" w:fill="FFFFFF" w:val="clear"/>
        <w:ind w:firstLine="480"/>
        <w:rPr>
          <w:rFonts w:ascii="宋体" w:cs="宋体" w:eastAsia="宋体" w:hAnsi="宋体"/>
          <w:color w:val="333333"/>
          <w:kern w:val="0"/>
          <w:sz w:val="24"/>
          <w:szCs w:val="24"/>
        </w:rPr>
      </w:pPr>
      <w:r>
        <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六、其他需要报告的事项</w:t>
      </w:r>
    </w:p>
    <w:p>
      <w:pPr>
        <w:pStyle w:val="Normal"/>
        <w:widowControl/>
        <w:shd w:color="auto" w:fill="FFFFFF" w:val="clear"/>
        <w:ind w:firstLine="480"/>
        <w:jc w:val="left"/>
        <w:rPr>
          <w:rFonts w:ascii="宋体" w:cs="宋体" w:eastAsia="宋体" w:hAnsi="宋体"/>
          <w:color w:val="333333"/>
          <w:kern w:val="0"/>
          <w:sz w:val="24"/>
          <w:szCs w:val="24"/>
        </w:rPr>
      </w:pPr>
      <w:r>
        <w:t>2023 年度本机关未收取信息处理费。发出收费通知的件数和总金额，以及实际收取的总金额均为 0。</w:t>
      </w:r>
    </w:p>
    <w:sectPr>
      <w:type w:val="nextPage"/>
      <w:pgSz w:h="16838" w:w="11906"/>
      <w:pgMar w:bottom="1440" w:footer="0" w:gutter="0" w:header="0" w:left="1800" w:right="1800" w:top="1440"/>
      <w:pgNumType w:fmt="decimal"/>
      <w:formProt w:val="false"/>
      <w:textDirection w:val="lrTb"/>
      <w:docGrid w:charSpace="6143" w:linePitch="312" w:type="lines"/>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Calibri">
    <w:charset w:val="86"/>
    <w:family w:val="roman"/>
    <w:pitch w:val="variable"/>
  </w:font>
  <w:font w:name="Liberation Sans">
    <w:altName w:val="Arial"/>
    <w:charset w:val="86"/>
    <w:family w:val="swiss"/>
    <w:pitch w:val="variable"/>
  </w:font>
  <w:font w:name="宋体">
    <w:charset w:val="86"/>
    <w:family w:val="roman"/>
    <w:pitch w:val="variable"/>
  </w:font>
  <w:font w:name="楷体">
    <w:charset w:val="86"/>
    <w:family w:val="roman"/>
    <w:pitch w:val="variable"/>
  </w:font>
</w:fonts>
</file>

<file path=word/settings.xml><?xml version="1.0" encoding="utf-8"?>
<w:settings xmlns:w="http://schemas.openxmlformats.org/wordprocessingml/2006/main">
  <w:zoom w:percent="100"/>
  <w:defaultTabStop w:val="420"/>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bidi="" w:eastAsia="zh-CN" w:val="en-U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asciiTheme="minorHAnsi" w:cs="" w:cstheme="minorBidi" w:eastAsia="宋体" w:eastAsiaTheme="minorEastAsia" w:hAnsi="Calibri" w:hAnsiTheme="minorHAnsi"/>
        <w:kern w:val="2"/>
        <w:sz w:val="21"/>
        <w:szCs w:val="22"/>
        <w:lang w:bidi="ar-SA" w:eastAsia="zh-CN" w:val="en-US"/>
      </w:rPr>
    </w:rPrDefault>
    <w:pPrDefault>
      <w:pPr>
        <w:suppressAutoHyphens w:val="true"/>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pPr>
      <w:widowControl w:val="false"/>
      <w:bidi w:val="0"/>
      <w:spacing w:after="0" w:before="0"/>
      <w:jc w:val="both"/>
    </w:pPr>
    <w:rPr>
      <w:rFonts w:ascii="Calibri" w:asciiTheme="minorHAnsi" w:cs="" w:cstheme="minorBidi" w:eastAsia="宋体" w:eastAsiaTheme="minorEastAsia" w:hAnsi="Calibri" w:hAnsiTheme="minorHAnsi"/>
      <w:color w:val="auto"/>
      <w:kern w:val="2"/>
      <w:sz w:val="21"/>
      <w:szCs w:val="22"/>
      <w:lang w:bidi="ar-SA" w:eastAsia="zh-CN" w:val="en-US"/>
    </w:rPr>
  </w:style>
  <w:style w:default="1" w:styleId="DefaultParagraphFont" w:type="character">
    <w:name w:val="Default Paragraph Font"/>
    <w:uiPriority w:val="1"/>
    <w:semiHidden/>
    <w:unhideWhenUsed/>
    <w:qFormat/>
    <w:rPr/>
  </w:style>
  <w:style w:styleId="Style14" w:type="paragraph">
    <w:name w:val="标题样式"/>
    <w:basedOn w:val="Normal"/>
    <w:next w:val="BodyText"/>
    <w:qFormat/>
    <w:pPr>
      <w:keepNext w:val="true"/>
      <w:spacing w:after="120" w:before="240"/>
    </w:pPr>
    <w:rPr>
      <w:rFonts w:ascii="Liberation Sans" w:cs="Arial" w:eastAsia="微软雅黑" w:hAnsi="Liberation Sans"/>
      <w:sz w:val="28"/>
      <w:szCs w:val="28"/>
    </w:rPr>
  </w:style>
  <w:style w:styleId="BodyText" w:type="paragraph">
    <w:name w:val="Body Text"/>
    <w:basedOn w:val="Normal"/>
    <w:pPr>
      <w:spacing w:after="140" w:before="0" w:line="276" w:lineRule="auto"/>
    </w:pPr>
    <w:rPr/>
  </w:style>
  <w:style w:styleId="List" w:type="paragraph">
    <w:name w:val="List"/>
    <w:basedOn w:val="BodyText"/>
    <w:pPr/>
    <w:rPr>
      <w:rFonts w:cs="Arial"/>
    </w:rPr>
  </w:style>
  <w:style w:styleId="Caption" w:type="paragraph">
    <w:name w:val="Caption"/>
    <w:basedOn w:val="Normal"/>
    <w:qFormat/>
    <w:pPr>
      <w:suppressLineNumbers/>
      <w:spacing w:after="120" w:before="120"/>
    </w:pPr>
    <w:rPr>
      <w:rFonts w:cs="Arial"/>
      <w:i/>
      <w:iCs/>
      <w:sz w:val="24"/>
      <w:szCs w:val="24"/>
    </w:rPr>
  </w:style>
  <w:style w:styleId="Style15" w:type="paragraph">
    <w:name w:val="索引"/>
    <w:basedOn w:val="Normal"/>
    <w:qFormat/>
    <w:pPr>
      <w:suppressLineNumbers/>
    </w:pPr>
    <w:rPr>
      <w:rFonts w:cs="Arial"/>
    </w:rPr>
  </w:style>
  <w:style w:styleId="NormalWeb" w:type="paragraph">
    <w:name w:val="Normal (Web)"/>
    <w:basedOn w:val="Normal"/>
    <w:uiPriority w:val="99"/>
    <w:semiHidden/>
    <w:unhideWhenUsed/>
    <w:qFormat/>
    <w:rsid w:val="008e1cad"/>
    <w:pPr>
      <w:widowControl/>
      <w:spacing w:afterAutospacing="1" w:beforeAutospacing="1"/>
      <w:jc w:val="left"/>
    </w:pPr>
    <w:rPr>
      <w:rFonts w:ascii="宋体" w:cs="宋体" w:eastAsia="宋体" w:hAnsi="宋体"/>
      <w:kern w:val="0"/>
      <w:sz w:val="24"/>
      <w:szCs w:val="24"/>
    </w:rPr>
  </w:style>
  <w:style w:default="1" w:styleId="NoList" w:type="numbering">
    <w:name w:val="No List"/>
    <w:uiPriority w:val="99"/>
    <w:semiHidden/>
    <w:unhideWhenUsed/>
    <w:qFormat/>
  </w:style>
  <w:style w:default="1" w:styleId="a1" w:type="table">
    <w:name w:val="Normal Table"/>
    <w:uiPriority w:val="99"/>
    <w:semiHidden/>
    <w:unhideWhenUsed/>
    <w:tblPr>
      <w:tblCellMar>
        <w:top w:type="dxa" w:w="0"/>
        <w:left w:type="dxa" w:w="108"/>
        <w:bottom w:type="dxa" w:w="0"/>
        <w:right w:type="dxa" w:w="108"/>
      </w:tblCellMar>
    </w:tbl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4" Target="theme/theme1.xml" Type="http://schemas.openxmlformats.org/officeDocument/2006/relationships/theme"/>
</Relationships>

</file>

<file path=word/theme/theme1.xml><?xml version="1.0" encoding="utf-8"?>
<a:theme xmlns:a="http://schemas.openxmlformats.org/drawingml/2006/main" xmlns:r="http://schemas.openxmlformats.org/officeDocument/2006/relationships" name="Office 主题​​">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LibreOffice/7.6.2.1$Windows_X86_64 LibreOffice_project/56f7684011345957bbf33a7ee678afaf4d2ba333</Application>
  <AppVersion>15.0000</AppVersion>
  <Pages>3</Pages>
  <Words>923</Words>
  <Characters>998</Characters>
  <CharactersWithSpaces>1010</CharactersWithSpaces>
  <Paragraphs>292</Paragraph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2021-10-21T05:34:00Z</dcterms:created>
  <dc:creator>IdeaBank</dc:creator>
  <dc:language>zh-CN</dc:language>
  <dcterms:modified xsi:type="dcterms:W3CDTF">2024-01-13T19:48:24Z</dcterms:modified>
  <cp:revision>26</cp:revision>
</cp:coreProperties>
</file>

<file path=docProps/custom.xml><?xml version="1.0" encoding="utf-8"?>
<Properties xmlns="http://schemas.openxmlformats.org/officeDocument/2006/custom-properties" xmlns:vt="http://schemas.openxmlformats.org/officeDocument/2006/docPropsVTypes"/>
</file>