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15">
  <w:body>
    <w:p>
      <w:pPr>
        <w:pStyle w:val="Normal"/>
        <w:widowControl/>
        <w:shd w:color="auto" w:fill="FFFFFF" w:val="clear"/>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p>
      <w:pPr>
        <w:pStyle w:val="Normal"/>
        <w:widowControl/>
        <w:shd w:color="auto" w:fill="FFFFFF" w:val="clear"/>
        <w:jc w:val="center"/>
        <w:rPr>
          <w:rFonts w:ascii="宋体" w:cs="宋体" w:eastAsia="宋体" w:hAnsi="宋体"/>
          <w:color w:val="333333"/>
          <w:kern w:val="0"/>
          <w:sz w:val="24"/>
          <w:szCs w:val="24"/>
        </w:rPr>
      </w:pPr>
      <w:r>
        <w:rPr>
          <w:rFonts w:ascii="宋体" w:cs="宋体" w:eastAsia="宋体" w:hAnsi="宋体"/>
          <w:b/>
          <w:bCs/>
          <w:color w:val="333333"/>
          <w:kern w:val="0"/>
          <w:sz w:val="36"/>
          <w:szCs w:val="36"/>
        </w:rPr>
        <w:t>永城市陈集镇人民政府2023年政府信息公开工作年度报告</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一、总体情况</w:t>
      </w:r>
    </w:p>
    <w:p>
      <w:pPr>
        <w:pStyle w:val="Normal"/>
        <w:widowControl/>
        <w:shd w:color="auto" w:fill="FFFFFF" w:val="clear"/>
        <w:ind w:firstLine="480"/>
        <w:rPr>
          <w:rFonts w:ascii="宋体" w:cs="宋体" w:eastAsia="宋体" w:hAnsi="宋体"/>
          <w:color w:val="333333"/>
          <w:kern w:val="0"/>
          <w:sz w:val="24"/>
          <w:szCs w:val="24"/>
        </w:rPr>
      </w:pPr>
      <w:r>
        <w:t>2023年，陈集镇人民政府信息公开工作在市委、市政府的领导下，在业务部门的关心指导下，认真贯彻落实新修订的《中华人民共和国政府信息公开条例》，围绕全市政务公开总体要求，创新公开方式，完善公开机制，强化公开意识，突出公开重点，使我镇政府信息公开工作取得了较好的成效，现将2023年政府信息公开工作报告如下：</w:t>
      </w:r>
    </w:p>
    <w:p>
      <w:pPr>
        <w:pStyle w:val="Normal"/>
        <w:widowControl/>
        <w:shd w:color="auto" w:fill="FFFFFF" w:val="clear"/>
        <w:ind w:firstLine="480"/>
        <w:rPr>
          <w:rFonts w:ascii="宋体" w:cs="宋体" w:eastAsia="宋体" w:hAnsi="宋体"/>
          <w:color w:val="333333"/>
          <w:kern w:val="0"/>
          <w:sz w:val="24"/>
          <w:szCs w:val="24"/>
        </w:rPr>
      </w:pPr>
      <w:r>
        <w:t>（一）主动公开：</w:t>
      </w:r>
    </w:p>
    <w:p>
      <w:pPr>
        <w:pStyle w:val="Normal"/>
        <w:widowControl/>
        <w:shd w:color="auto" w:fill="FFFFFF" w:val="clear"/>
        <w:ind w:firstLine="480"/>
        <w:rPr>
          <w:rFonts w:ascii="宋体" w:cs="宋体" w:eastAsia="宋体" w:hAnsi="宋体"/>
          <w:color w:val="333333"/>
          <w:kern w:val="0"/>
          <w:sz w:val="24"/>
          <w:szCs w:val="24"/>
        </w:rPr>
      </w:pPr>
      <w:r>
        <w:t>截止2023年12月31日，镇政府信息公开全年累计主动公开政府信息90条，主要为镇党委镇政府文件和全镇工作动态类的信息。</w:t>
      </w:r>
    </w:p>
    <w:p>
      <w:pPr>
        <w:pStyle w:val="Normal"/>
        <w:widowControl/>
        <w:shd w:color="auto" w:fill="FFFFFF" w:val="clear"/>
        <w:ind w:firstLine="480"/>
        <w:rPr>
          <w:rFonts w:ascii="宋体" w:cs="宋体" w:eastAsia="宋体" w:hAnsi="宋体"/>
          <w:color w:val="333333"/>
          <w:kern w:val="0"/>
          <w:sz w:val="24"/>
          <w:szCs w:val="24"/>
        </w:rPr>
      </w:pPr>
      <w:r>
        <w:t>（二）依申请公开：</w:t>
      </w:r>
    </w:p>
    <w:p>
      <w:pPr>
        <w:pStyle w:val="Normal"/>
        <w:widowControl/>
        <w:shd w:color="auto" w:fill="FFFFFF" w:val="clear"/>
        <w:ind w:firstLine="480"/>
        <w:rPr>
          <w:rFonts w:ascii="宋体" w:cs="宋体" w:eastAsia="宋体" w:hAnsi="宋体"/>
          <w:color w:val="333333"/>
          <w:kern w:val="0"/>
          <w:sz w:val="24"/>
          <w:szCs w:val="24"/>
        </w:rPr>
      </w:pPr>
      <w:r>
        <w:t>全年共收到依申请公开0件，受理公民个人提出的政府信息公开申请0条。</w:t>
      </w:r>
    </w:p>
    <w:p>
      <w:pPr>
        <w:pStyle w:val="Normal"/>
        <w:widowControl/>
        <w:shd w:color="auto" w:fill="FFFFFF" w:val="clear"/>
        <w:ind w:firstLine="480"/>
        <w:rPr>
          <w:rFonts w:ascii="宋体" w:cs="宋体" w:eastAsia="宋体" w:hAnsi="宋体"/>
          <w:color w:val="333333"/>
          <w:kern w:val="0"/>
          <w:sz w:val="24"/>
          <w:szCs w:val="24"/>
        </w:rPr>
      </w:pPr>
      <w:r>
        <w:t>（三）政府信息管理：</w:t>
      </w:r>
    </w:p>
    <w:p>
      <w:pPr>
        <w:pStyle w:val="Normal"/>
        <w:widowControl/>
        <w:shd w:color="auto" w:fill="FFFFFF" w:val="clear"/>
        <w:ind w:firstLine="480"/>
        <w:rPr>
          <w:rFonts w:ascii="宋体" w:cs="宋体" w:eastAsia="宋体" w:hAnsi="宋体"/>
          <w:color w:val="333333"/>
          <w:kern w:val="0"/>
          <w:sz w:val="24"/>
          <w:szCs w:val="24"/>
        </w:rPr>
      </w:pPr>
      <w:r>
        <w:t>2023年，陈集镇将政务公开工作纳入重要议事日程，由党政办公室具体负责，明确专职工作人员负责日常具体工作，努力提升政务公开专业化水平，全面推进政务公开工作。对照新修订《政府信息管理条例》的主动公开范围进行梳理，在职责范围内应当主动公开的政府信息，进行分类整理并及时公开。严格执行信息公开制度并做好信息公开及报送工作，保证政府信息与政务公开准确、及时、规范。</w:t>
      </w:r>
    </w:p>
    <w:p>
      <w:pPr>
        <w:pStyle w:val="Normal"/>
        <w:widowControl/>
        <w:shd w:color="auto" w:fill="FFFFFF" w:val="clear"/>
        <w:ind w:firstLine="480"/>
        <w:rPr>
          <w:rFonts w:ascii="宋体" w:cs="宋体" w:eastAsia="宋体" w:hAnsi="宋体"/>
          <w:color w:val="333333"/>
          <w:kern w:val="0"/>
          <w:sz w:val="24"/>
          <w:szCs w:val="24"/>
        </w:rPr>
      </w:pPr>
      <w:r>
        <w:t>（四）政府信息公开平台建设：</w:t>
      </w:r>
    </w:p>
    <w:p>
      <w:pPr>
        <w:pStyle w:val="Normal"/>
        <w:widowControl/>
        <w:shd w:color="auto" w:fill="FFFFFF" w:val="clear"/>
        <w:ind w:firstLine="480"/>
        <w:rPr>
          <w:rFonts w:ascii="宋体" w:cs="宋体" w:eastAsia="宋体" w:hAnsi="宋体"/>
          <w:color w:val="333333"/>
          <w:kern w:val="0"/>
          <w:sz w:val="24"/>
          <w:szCs w:val="24"/>
        </w:rPr>
      </w:pPr>
      <w:r>
        <w:t>陈集镇政府信息平台维护和公开信息发布工作由党政办配备专人负责，专职开展信息公开工作的收集、审核和发布，通过永城市门户网站、档案馆查阅中心等多渠道公开本镇政务信息。为进一步保障人民群众合理的信息需求，陈集镇统筹运用新兴媒体，做好线下信息公开和回应群众的工作。</w:t>
      </w:r>
    </w:p>
    <w:p>
      <w:pPr>
        <w:pStyle w:val="Normal"/>
        <w:widowControl/>
        <w:shd w:color="auto" w:fill="FFFFFF" w:val="clear"/>
        <w:ind w:firstLine="480"/>
        <w:rPr>
          <w:rFonts w:ascii="宋体" w:cs="宋体" w:eastAsia="宋体" w:hAnsi="宋体"/>
          <w:color w:val="333333"/>
          <w:kern w:val="0"/>
          <w:sz w:val="24"/>
          <w:szCs w:val="24"/>
        </w:rPr>
      </w:pPr>
      <w:r>
        <w:t>（五）监督保障：</w:t>
      </w:r>
    </w:p>
    <w:p>
      <w:pPr>
        <w:pStyle w:val="Normal"/>
        <w:widowControl/>
        <w:shd w:color="auto" w:fill="FFFFFF" w:val="clear"/>
        <w:ind w:firstLine="480"/>
        <w:rPr>
          <w:rFonts w:ascii="宋体" w:cs="宋体" w:eastAsia="宋体" w:hAnsi="宋体"/>
          <w:color w:val="333333"/>
          <w:kern w:val="0"/>
          <w:sz w:val="24"/>
          <w:szCs w:val="24"/>
        </w:rPr>
      </w:pPr>
      <w:r>
        <w:t>陈集镇高度重视信息公开工作，由党政办牵头公开信息发布和平台维护，明确工作责任，确定专职工作人员，及时将工作动态、群众办事指南、项目建设等最新信息及其他符合公开原则的信息及时公开，定期开展监督检查，发现问题及时整改。妥善处理好政务公开与保守国家秘密之间的关系，及时回应社会关切，接受群众监督。</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pageBreakBefore w:val="on"/>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二、主动公开政府信息情况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0"/>
        <w:jc w:val="center"/>
        <w:tblInd w:type="dxa" w:w="0"/>
        <w:tblLayout w:type="fixed"/>
        <w:tblCellMar>
          <w:top w:type="dxa" w:w="0"/>
          <w:left w:type="dxa" w:w="57"/>
          <w:bottom w:type="dxa" w:w="0"/>
          <w:right w:type="dxa" w:w="57"/>
        </w:tblCellMar>
        <w:tblLook w:firstColumn="1" w:firstRow="1" w:lastColumn="0" w:lastRow="0" w:noHBand="0" w:noVBand="1" w:val="04a0"/>
      </w:tblPr>
      <w:tblGrid>
        <w:gridCol w:w="2435"/>
        <w:gridCol w:w="2435"/>
        <w:gridCol w:w="2435"/>
        <w:gridCol w:w="2434"/>
      </w:tblGrid>
      <w:tr>
        <w:trPr>
          <w:trHeight w:hRule="atLeast" w:val="340"/>
        </w:trPr>
        <w:tc>
          <w:tcPr>
            <w:tcW w:type="dxa" w:w="9739"/>
            <w:gridSpan w:val="4"/>
            <w:tcBorders>
              <w:top w:color="000000" w:space="0" w:sz="8" w:val="single"/>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第二十条第（一）项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w:t>
            </w:r>
            <w:r>
              <w:rPr>
                <w:rFonts w:ascii="宋体" w:cs="Calibri" w:hAnsi="宋体"/>
                <w:kern w:val="0"/>
                <w:sz w:val="20"/>
                <w:szCs w:val="20"/>
              </w:rPr>
              <w:t>制</w:t>
            </w:r>
            <w:r>
              <w:rPr>
                <w:rFonts w:ascii="宋体" w:cs="宋体" w:hAnsi="宋体"/>
                <w:kern w:val="0"/>
                <w:sz w:val="20"/>
                <w:szCs w:val="20"/>
              </w:rPr>
              <w:t>发件</w:t>
            </w:r>
            <w:r>
              <w:rPr>
                <w:rFonts w:ascii="宋体" w:cs="Calibri" w:hAnsi="宋体"/>
                <w:kern w:val="0"/>
                <w:sz w:val="20"/>
                <w:szCs w:val="20"/>
              </w:rPr>
              <w:t>数</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本年废止件数</w:t>
            </w:r>
          </w:p>
        </w:tc>
        <w:tc>
          <w:tcPr>
            <w:tcW w:type="dxa" w:w="2434"/>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现行有效件</w:t>
            </w:r>
            <w:r>
              <w:rPr>
                <w:rFonts w:ascii="宋体" w:cs="Calibri" w:hAnsi="宋体"/>
                <w:kern w:val="0"/>
                <w:sz w:val="20"/>
                <w:szCs w:val="20"/>
              </w:rPr>
              <w:t>数</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规章</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行政规范性文件</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第二十条第（五）项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行政许可</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第二十条第（六）项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行政处罚</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行政强制</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第二十条第（八）项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本年收费金额（单位：万元）</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行政事业性收费</w:t>
            </w:r>
          </w:p>
        </w:tc>
        <w:tc>
          <w:tcPr>
            <w:tcW w:type="dxa" w:w="7304"/>
            <w:gridSpan w:val="3"/>
            <w:tcBorders>
              <w:bottom w:color="000000" w:space="0" w:sz="8" w:val="single"/>
              <w:right w:color="000000" w:space="0" w:sz="8" w:val="single"/>
            </w:tcBorders>
            <w:vAlign w:val="cente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三、收到和处理政府信息公开申请情况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769"/>
        <w:gridCol w:w="942"/>
        <w:gridCol w:w="3220"/>
        <w:gridCol w:w="688"/>
        <w:gridCol w:w="688"/>
        <w:gridCol w:w="689"/>
        <w:gridCol w:w="688"/>
        <w:gridCol w:w="687"/>
        <w:gridCol w:w="688"/>
        <w:gridCol w:w="688"/>
      </w:tblGrid>
      <w:tr>
        <w:trPr/>
        <w:tc>
          <w:tcPr>
            <w:tcW w:type="dxa" w:w="4931"/>
            <w:gridSpan w:val="3"/>
            <w:vMerge w:val="restart"/>
            <w:tcBorders>
              <w:top w:color="000000" w:space="0" w:sz="8" w:val="single"/>
              <w:left w:color="000000" w:space="0" w:sz="8" w:val="single"/>
              <w:bottom w:color="000000" w:space="0" w:sz="8" w:val="inset"/>
              <w:right w:color="000000" w:space="0" w:sz="8" w:val="single"/>
            </w:tcBorders>
            <w:vAlign w:val="center"/>
          </w:tcPr>
          <w:p>
            <w:pPr>
              <w:pStyle w:val="Normal"/>
              <w:widowControl/>
              <w:jc w:val="left"/>
              <w:rPr>
                <w:rFonts w:ascii="宋体" w:cs="宋体" w:eastAsia="宋体" w:hAnsi="宋体"/>
                <w:kern w:val="0"/>
                <w:sz w:val="24"/>
                <w:szCs w:val="24"/>
              </w:rPr>
            </w:pPr>
            <w:r>
              <w:rPr>
                <w:rFonts w:ascii="楷体" w:cs="宋体" w:eastAsia="楷体" w:hAnsi="楷体"/>
                <w:kern w:val="0"/>
                <w:sz w:val="20"/>
                <w:szCs w:val="20"/>
              </w:rPr>
              <w:t>（本列数据的勾稽关系为：第一项加第二项之和，等于第三项加第四项之和）</w:t>
            </w:r>
          </w:p>
        </w:tc>
        <w:tc>
          <w:tcPr>
            <w:tcW w:type="dxa" w:w="4816"/>
            <w:gridSpan w:val="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申请人情况</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restart"/>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自然人</w:t>
            </w:r>
          </w:p>
        </w:tc>
        <w:tc>
          <w:tcPr>
            <w:tcW w:type="dxa" w:w="3440"/>
            <w:gridSpan w:val="5"/>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法人或其他组织</w:t>
            </w:r>
          </w:p>
        </w:tc>
        <w:tc>
          <w:tcPr>
            <w:tcW w:type="dxa" w:w="688"/>
            <w:vMerge w:val="restart"/>
            <w:tcBorders>
              <w:top w:color="000000" w:space="0" w:sz="8" w:val="single"/>
              <w:bottom w:color="000000" w:space="0" w:sz="8" w:val="inset"/>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continue"/>
            <w:tcBorders>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商业</w:t>
            </w:r>
          </w:p>
          <w:p>
            <w:pPr>
              <w:pStyle w:val="Normal"/>
              <w:widowControl/>
              <w:jc w:val="center"/>
              <w:rPr>
                <w:rFonts w:ascii="宋体" w:cs="宋体" w:eastAsia="宋体" w:hAnsi="宋体"/>
                <w:kern w:val="0"/>
                <w:sz w:val="24"/>
                <w:szCs w:val="24"/>
              </w:rPr>
            </w:pPr>
            <w:r>
              <w:rPr>
                <w:rFonts w:ascii="宋体" w:cs="宋体" w:hAnsi="宋体"/>
                <w:kern w:val="0"/>
                <w:sz w:val="20"/>
                <w:szCs w:val="20"/>
              </w:rPr>
              <w:t>企业</w:t>
            </w:r>
          </w:p>
        </w:tc>
        <w:tc>
          <w:tcPr>
            <w:tcW w:type="dxa" w:w="689"/>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科研</w:t>
            </w:r>
          </w:p>
          <w:p>
            <w:pPr>
              <w:pStyle w:val="Normal"/>
              <w:widowControl/>
              <w:jc w:val="center"/>
              <w:rPr>
                <w:rFonts w:ascii="宋体" w:cs="宋体" w:eastAsia="宋体" w:hAnsi="宋体"/>
                <w:kern w:val="0"/>
                <w:sz w:val="24"/>
                <w:szCs w:val="24"/>
              </w:rPr>
            </w:pPr>
            <w:r>
              <w:rPr>
                <w:rFonts w:ascii="宋体" w:cs="宋体" w:hAnsi="宋体"/>
                <w:kern w:val="0"/>
                <w:sz w:val="20"/>
                <w:szCs w:val="20"/>
              </w:rPr>
              <w:t>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社会公益组织</w:t>
            </w:r>
          </w:p>
        </w:tc>
        <w:tc>
          <w:tcPr>
            <w:tcW w:type="dxa" w:w="68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法律服务机构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p>
        </w:tc>
        <w:tc>
          <w:tcPr>
            <w:tcW w:type="dxa" w:w="688"/>
            <w:vMerge w:val="continue"/>
            <w:tcBorders>
              <w:top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一、本年新收政府信息公开申请数量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二、上年结转政府信息公开申请数量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restart"/>
            <w:tcBorders>
              <w:left w:color="000000" w:space="0" w:sz="8" w:val="single"/>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三、本年度办理结果</w:t>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（一）予以公开</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（二）部分公开</w:t>
            </w:r>
            <w:r>
              <w:rPr>
                <w:rFonts w:ascii="楷体" w:cs="宋体" w:eastAsia="楷体" w:hAnsi="楷体"/>
                <w:kern w:val="0"/>
                <w:sz w:val="20"/>
                <w:szCs w:val="20"/>
              </w:rPr>
              <w:t>（区分处理的，只计这一情形，不计其他情形）</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（三）不予公开</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属于国家秘密</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其他法律行政法规禁止公开</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危及“三安全一稳定”</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保护第三方合法权益</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属于三类内部事务信息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6.</w:t>
            </w:r>
            <w:r>
              <w:rPr>
                <w:rFonts w:ascii="宋体" w:cs="宋体" w:hAnsi="宋体"/>
                <w:kern w:val="0"/>
                <w:sz w:val="20"/>
                <w:szCs w:val="20"/>
              </w:rPr>
              <w:t>属于四类过程性信息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7.</w:t>
            </w:r>
            <w:r>
              <w:rPr>
                <w:rFonts w:ascii="宋体" w:cs="宋体" w:hAnsi="宋体"/>
                <w:kern w:val="0"/>
                <w:sz w:val="20"/>
                <w:szCs w:val="20"/>
              </w:rPr>
              <w:t>属于行政执法案卷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8.</w:t>
            </w:r>
            <w:r>
              <w:rPr>
                <w:rFonts w:ascii="宋体" w:cs="宋体" w:hAnsi="宋体"/>
                <w:kern w:val="0"/>
                <w:sz w:val="20"/>
                <w:szCs w:val="20"/>
              </w:rPr>
              <w:t>属于行政查询事项</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（四）无法提供</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本机关不掌握相关政府信息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没有现成信息需要另行制作</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补正后申请内容仍不明确</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（五）不予处理</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信访举报投诉类申请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要求提供公开出版物</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无正当理由大量反复申请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rHeight w:hRule="atLeast" w:val="779"/>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inset"/>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要求行政机关确认或重新出具已获取信息</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9"/>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7"/>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top w:color="000000" w:space="0" w:sz="8" w:val="inset"/>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（六）其他处理</w:t>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申请人无正当理由逾期不补正、行政机关不再处理其政府信息公开申请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申请人逾期未按收费通知要求缴纳费用、行政机关不再处理其政府信息公开申请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其他</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（七）总计</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四、结转下年度继续办理</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四、政府信息公开行政复议、行政诉讼情况</w:t>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650"/>
        <w:gridCol w:w="650"/>
        <w:gridCol w:w="649"/>
        <w:gridCol w:w="650"/>
        <w:gridCol w:w="650"/>
        <w:gridCol w:w="650"/>
        <w:gridCol w:w="650"/>
        <w:gridCol w:w="649"/>
        <w:gridCol w:w="650"/>
        <w:gridCol w:w="650"/>
        <w:gridCol w:w="650"/>
        <w:gridCol w:w="650"/>
        <w:gridCol w:w="650"/>
        <w:gridCol w:w="650"/>
        <w:gridCol w:w="650"/>
      </w:tblGrid>
      <w:tr>
        <w:trPr/>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行政复议</w:t>
            </w:r>
          </w:p>
        </w:tc>
        <w:tc>
          <w:tcPr>
            <w:tcW w:type="dxa" w:w="6499"/>
            <w:gridSpan w:val="1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行政诉讼</w:t>
            </w:r>
          </w:p>
        </w:tc>
      </w:tr>
      <w:tr>
        <w:trPr/>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结果维持</w:t>
            </w:r>
          </w:p>
        </w:tc>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未经复议直接起诉</w:t>
            </w:r>
          </w:p>
        </w:tc>
        <w:tc>
          <w:tcPr>
            <w:tcW w:type="dxa" w:w="3250"/>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复议后起诉</w:t>
            </w:r>
          </w:p>
        </w:tc>
      </w:tr>
      <w:tr>
        <w:trPr/>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49"/>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其他</w:t>
            </w:r>
            <w:r>
              <w:rPr>
                <w:rFonts w:ascii="宋体" w:cs="宋体" w:eastAsia="宋体" w:hAnsi="宋体"/>
                <w:color w:val="000000"/>
                <w:kern w:val="0"/>
                <w:sz w:val="20"/>
                <w:szCs w:val="20"/>
              </w:rPr>
              <w:br/>
            </w:r>
            <w:r>
              <w:rPr>
                <w:rFonts w:ascii="宋体" w:cs="宋体" w:hAnsi="宋体"/>
                <w:color w:val="000000"/>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r>
      <w:tr>
        <w:trPr>
          <w:trHeight w:hRule="atLeast" w:val="672"/>
        </w:trPr>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r>
    </w:tbl>
    <w:p>
      <w:pPr>
        <w:pStyle w:val="Normal"/>
        <w:widowControl/>
        <w:jc w:val="left"/>
        <w:rPr>
          <w:rFonts w:ascii="宋体" w:cs="宋体" w:eastAsia="宋体" w:hAnsi="宋体"/>
          <w:kern w:val="0"/>
          <w:sz w:val="24"/>
          <w:szCs w:val="24"/>
        </w:rPr>
      </w:pPr>
      <w:r>
        <w:rPr>
          <w:rFonts w:ascii="宋体" w:cs="宋体" w:eastAsia="宋体" w:hAnsi="宋体"/>
          <w:color w:val="333333"/>
          <w:kern w:val="0"/>
          <w:sz w:val="24"/>
          <w:szCs w:val="24"/>
        </w:rPr>
        <w:b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五、存在的主要问题及改进情况</w:t>
      </w:r>
    </w:p>
    <w:p>
      <w:pPr>
        <w:pStyle w:val="Normal"/>
        <w:widowControl/>
        <w:shd w:color="auto" w:fill="FFFFFF" w:val="clear"/>
        <w:ind w:firstLine="480"/>
        <w:rPr>
          <w:rFonts w:ascii="宋体" w:cs="宋体" w:eastAsia="宋体" w:hAnsi="宋体"/>
          <w:color w:val="333333"/>
          <w:kern w:val="0"/>
          <w:sz w:val="24"/>
          <w:szCs w:val="24"/>
        </w:rPr>
      </w:pPr>
      <w:r>
        <w:t>存在的主要问题有：一是从事政府信息公开工作的人员队伍需要加强，工作人员业务能力亟待提升。二是信息公开的内容有待进一步完善。重点领域信息公开的范围不断扩大的同时，公开深度不够。</w:t>
      </w:r>
    </w:p>
    <w:p>
      <w:pPr>
        <w:pStyle w:val="Normal"/>
        <w:widowControl/>
        <w:shd w:color="auto" w:fill="FFFFFF" w:val="clear"/>
        <w:ind w:firstLine="480"/>
        <w:rPr>
          <w:rFonts w:ascii="宋体" w:cs="宋体" w:eastAsia="宋体" w:hAnsi="宋体"/>
          <w:color w:val="333333"/>
          <w:kern w:val="0"/>
          <w:sz w:val="24"/>
          <w:szCs w:val="24"/>
        </w:rPr>
      </w:pPr>
      <w:r>
        <w:t>改进情况：一是对2024年政务公开和政府信息公开工作进行认真研究和周密部署，通过制发政务公开工作要点，对各项工作任务进行细化分解和明确责任，确保各项工作任务落地见效。二是加大公开力度和维度，因事制宜，对无法上网的群众采取公示栏公开，结合实际在政务新媒体上应公开尽公开，满足群众信息合理获取需求。</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六、其他需要报告的事项</w:t>
      </w:r>
    </w:p>
    <w:p>
      <w:pPr>
        <w:pStyle w:val="Normal"/>
        <w:widowControl/>
        <w:shd w:color="auto" w:fill="FFFFFF" w:val="clear"/>
        <w:ind w:firstLine="480"/>
        <w:jc w:val="left"/>
        <w:rPr>
          <w:rFonts w:ascii="宋体" w:cs="宋体" w:eastAsia="宋体" w:hAnsi="宋体"/>
          <w:color w:val="333333"/>
          <w:kern w:val="0"/>
          <w:sz w:val="24"/>
          <w:szCs w:val="24"/>
        </w:rPr>
      </w:pPr>
      <w:r>
        <w:t>2023年度本机关未收取信息处理费。发出收费通知的件数和总金额，以及实际收取的总金额均为0。</w:t>
      </w:r>
    </w:p>
    <w:p>
      <w:pPr>
        <w:pStyle w:val="Normal"/>
        <w:widowControl/>
        <w:shd w:color="auto" w:fill="FFFFFF" w:val="clear"/>
        <w:ind w:firstLine="480"/>
        <w:jc w:val="left"/>
        <w:rPr>
          <w:rFonts w:ascii="宋体" w:cs="宋体" w:eastAsia="宋体" w:hAnsi="宋体"/>
          <w:color w:val="333333"/>
          <w:kern w:val="0"/>
          <w:sz w:val="24"/>
          <w:szCs w:val="24"/>
        </w:rPr>
      </w:pPr>
      <w:r>
        <w:t/>
      </w:r>
    </w:p>
    <w:sectPr>
      <w:type w:val="nextPage"/>
      <w:pgSz w:h="16838" w:w="11906"/>
      <w:pgMar w:bottom="1440" w:footer="0" w:gutter="0" w:header="0" w:left="1800" w:right="1800" w:top="1440"/>
      <w:pgNumType w:fmt="decimal"/>
      <w:formProt w:val="false"/>
      <w:textDirection w:val="lrTb"/>
      <w:docGrid w:charSpace="6143" w:linePitch="312" w:type="lines"/>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 w:name="楷体">
    <w:charset w:val="86"/>
    <w:family w:val="roman"/>
    <w:pitch w:val="variable"/>
  </w:font>
</w:fonts>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bidi="" w:eastAsia="zh-CN" w:val="en-U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asciiTheme="minorHAnsi" w:cs="" w:cstheme="minorBidi" w:eastAsia="宋体" w:eastAsiaTheme="minorEastAsia" w:hAnsi="Calibri" w:hAnsiTheme="minorHAnsi"/>
        <w:kern w:val="2"/>
        <w:sz w:val="21"/>
        <w:szCs w:val="22"/>
        <w:lang w:bidi="ar-SA" w:eastAsia="zh-CN" w:val="en-US"/>
      </w:rPr>
    </w:rPrDefault>
    <w:pPrDefault>
      <w:pPr>
        <w:suppressAutoHyphens w:val="true"/>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pPr>
      <w:widowControl w:val="false"/>
      <w:bidi w:val="0"/>
      <w:spacing w:after="0" w:before="0"/>
      <w:jc w:val="both"/>
    </w:pPr>
    <w:rPr>
      <w:rFonts w:ascii="Calibri" w:asciiTheme="minorHAnsi" w:cs="" w:cstheme="minorBidi" w:eastAsia="宋体" w:eastAsiaTheme="minorEastAsia" w:hAnsi="Calibri" w:hAnsiTheme="minorHAnsi"/>
      <w:color w:val="auto"/>
      <w:kern w:val="2"/>
      <w:sz w:val="21"/>
      <w:szCs w:val="22"/>
      <w:lang w:bidi="ar-SA" w:eastAsia="zh-CN" w:val="en-US"/>
    </w:rPr>
  </w:style>
  <w:style w:default="1" w:styleId="DefaultParagraphFont" w:type="character">
    <w:name w:val="Default Paragraph Font"/>
    <w:uiPriority w:val="1"/>
    <w:semiHidden/>
    <w:unhideWhenUsed/>
    <w:qFormat/>
    <w:rPr/>
  </w:style>
  <w:style w:styleId="Style14" w:type="paragraph">
    <w:name w:val="标题样式"/>
    <w:basedOn w:val="Normal"/>
    <w:next w:val="BodyText"/>
    <w:qFormat/>
    <w:pPr>
      <w:keepNext w:val="true"/>
      <w:spacing w:after="120" w:before="240"/>
    </w:pPr>
    <w:rPr>
      <w:rFonts w:ascii="Liberation Sans" w:cs="Arial" w:eastAsia="微软雅黑" w:hAnsi="Liberation Sans"/>
      <w:sz w:val="28"/>
      <w:szCs w:val="28"/>
    </w:rPr>
  </w:style>
  <w:style w:styleId="BodyText" w:type="paragraph">
    <w:name w:val="Body Text"/>
    <w:basedOn w:val="Normal"/>
    <w:pPr>
      <w:spacing w:after="140" w:before="0" w:line="276" w:lineRule="auto"/>
    </w:pPr>
    <w:rPr/>
  </w:style>
  <w:style w:styleId="List" w:type="paragraph">
    <w:name w:val="List"/>
    <w:basedOn w:val="BodyText"/>
    <w:pPr/>
    <w:rPr>
      <w:rFonts w:cs="Arial"/>
    </w:rPr>
  </w:style>
  <w:style w:styleId="Caption" w:type="paragraph">
    <w:name w:val="Caption"/>
    <w:basedOn w:val="Normal"/>
    <w:qFormat/>
    <w:pPr>
      <w:suppressLineNumbers/>
      <w:spacing w:after="120" w:before="120"/>
    </w:pPr>
    <w:rPr>
      <w:rFonts w:cs="Arial"/>
      <w:i/>
      <w:iCs/>
      <w:sz w:val="24"/>
      <w:szCs w:val="24"/>
    </w:rPr>
  </w:style>
  <w:style w:styleId="Style15" w:type="paragraph">
    <w:name w:val="索引"/>
    <w:basedOn w:val="Normal"/>
    <w:qFormat/>
    <w:pPr>
      <w:suppressLineNumbers/>
    </w:pPr>
    <w:rPr>
      <w:rFonts w:cs="Arial"/>
    </w:rPr>
  </w:style>
  <w:style w:styleId="NormalWeb" w:type="paragraph">
    <w:name w:val="Normal (Web)"/>
    <w:basedOn w:val="Normal"/>
    <w:uiPriority w:val="99"/>
    <w:semiHidden/>
    <w:unhideWhenUsed/>
    <w:qFormat/>
    <w:rsid w:val="008e1cad"/>
    <w:pPr>
      <w:widowControl/>
      <w:spacing w:afterAutospacing="1" w:beforeAutospacing="1"/>
      <w:jc w:val="left"/>
    </w:pPr>
    <w:rPr>
      <w:rFonts w:ascii="宋体" w:cs="宋体" w:eastAsia="宋体" w:hAnsi="宋体"/>
      <w:kern w:val="0"/>
      <w:sz w:val="24"/>
      <w:szCs w:val="24"/>
    </w:rPr>
  </w:style>
  <w:style w:default="1" w:styleId="NoList" w:type="numbering">
    <w:name w:val="No List"/>
    <w:uiPriority w:val="99"/>
    <w:semiHidden/>
    <w:unhideWhenUsed/>
    <w:qFormat/>
  </w:style>
  <w:style w:default="1" w:styleId="a1" w:type="table">
    <w:name w:val="Normal Table"/>
    <w:uiPriority w:val="99"/>
    <w:semiHidden/>
    <w:unhideWhenUsed/>
    <w:tblPr>
      <w:tblCellMar>
        <w:top w:type="dxa" w:w="0"/>
        <w:left w:type="dxa" w:w="108"/>
        <w:bottom w:type="dxa" w:w="0"/>
        <w:right w:type="dxa" w:w="108"/>
      </w:tblCellMar>
    </w:tbl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theme/theme1.xml" Type="http://schemas.openxmlformats.org/officeDocument/2006/relationships/theme"/>
</Relationships>

</file>

<file path=word/theme/theme1.xml><?xml version="1.0" encoding="utf-8"?>
<a:theme xmlns:a="http://schemas.openxmlformats.org/drawingml/2006/main" xmlns:r="http://schemas.openxmlformats.org/officeDocument/2006/relationships" name="Office 主题​​">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LibreOffice/7.6.2.1$Windows_X86_64 LibreOffice_project/56f7684011345957bbf33a7ee678afaf4d2ba333</Application>
  <AppVersion>15.0000</AppVersion>
  <Pages>3</Pages>
  <Words>923</Words>
  <Characters>998</Characters>
  <CharactersWithSpaces>1010</CharactersWithSpaces>
  <Paragraphs>292</Paragraph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dc:language>zh-CN</dc:language>
  <dcterms:modified xsi:type="dcterms:W3CDTF">2024-01-13T19:48:24Z</dcterms:modified>
  <cp:revision>26</cp:revision>
</cp:coreProperties>
</file>

<file path=docProps/custom.xml><?xml version="1.0" encoding="utf-8"?>
<Properties xmlns="http://schemas.openxmlformats.org/officeDocument/2006/custom-properties" xmlns:vt="http://schemas.openxmlformats.org/officeDocument/2006/docPropsVTypes"/>
</file>