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永城市马牧镇人民政府2023年政府信息公开工作年度报告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2023年度，马牧镇人民政府积极开展政务信息公开工作，认真围绕重点工作和年度目标任务，按照“应公开、尽公开”的要求，扎实有序推进政务公开工作落实。根据《中华人民共和国政府信息公开条例》的有关规定，现将本镇2023年政务公开年度报告编制和公布工作有关情况报告如下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（一）主动公开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2023年度，马牧镇人民政府信息公开工作紧紧围绕市委、市政府中心工作，依托政府门户网站政务公开平台，及时公开基层政务公开、议案提案办理等政府信息。全镇2023年利用政务公开栏公开各种信息30余条。内容涉及党建、民生、脱贫攻坚、就业、保障等方面政策，信访、安全等方面的信息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（二）依申请公开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全年未接收到受理政府信息公开申请，无不予公开、无法提供、不予处理的情况。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（三）政府信息管理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由马牧镇主要领导牵头，党政办安排专人负责推进政务网站建设和发展，负责对政府信息公开工作进行统筹规划和监督，由专人对信息平台进行管理，及时对公开内容进行更新和充实，做到及时准确、重点突出。随着近年来政务公开工作的不断深入开展，马牧镇按照有关标准和要求，结合自身工作实际不断健全完善工作制度，我镇的政务信息公开工作在有序推进，工作责任在进一步压实，组织领导在进一步加强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（四）政府信息公开平台建设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积极推进马牧镇政府平台建设，一是永城市马牧镇人民政府政府信息公开目录的各项栏目，推进重点领域的政府信息公开，进一步加强并规范主动公开工作、流程。二是在镇便民服务中心和各村服务站均设置了政务信息查阅场所，扩大群众获取政府信息的渠道，保障了人民群众的知情权、参与权、表达权和监督权。三是加大政务公开、“12345”政府热线宣传力度，对于交办的事项办结率达100%。四是扎实开展宣传，充分利用镇便民服务中心和各村的综合服务站、大喇叭及政务公开专栏对政务公开知识等相关信息进行宣传和公开，有效提高了群众对政务公开工作的满意度和认可度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（五）监督保障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一是定期召开政务公开工作推进会议，积极参加上级部门组织的政务公开宣传活动、政务公开培训、测评整改会等。二是针对第三方测评反馈的问题逐条逐项进行整改，并咨询第三方测评专业人员，弄清问题关键点所在，举一反三，进而实现信息公开内容、公开时间和公开形式的进一步深化，切实做好政府信息公开工作。三是按照公平公开公正的原则，定期对政务公开业务人员进行考核，将政务公开工作纳入年度绩效考核当中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pageBreakBefore w:val="on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一是政务信息公开方式方法简单，公开渠道较窄；二是宣传手段单一，社会知晓度还不高，群众参与度不够。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2023年度本机关未收取信息处理费。发出收费通知的件数和总金额，以及实际收取的总金额均为0。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