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core.xml" Type="http://schemas.openxmlformats.org/package/2006/relationships/metadata/core-properties"/>
<Relationship Id="rId2" Target="docProps/app.xml" Type="http://schemas.openxmlformats.org/officeDocument/2006/relationships/extended-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xmlns:wpg="http://schemas.microsoft.com/office/word/2010/wordprocessingGroup" xmlns:wps="http://schemas.microsoft.com/office/word/2010/wordprocessingShape" mc:Ignorable="w14 wp14 w15">
  <w:body>
    <w:p>
      <w:pPr>
        <w:pStyle w:val="Normal"/>
        <w:widowControl/>
        <w:shd w:color="auto" w:fill="FFFFFF" w:val="clear"/>
        <w:rPr>
          <w:rFonts w:ascii="宋体" w:cs="宋体" w:eastAsia="宋体" w:hAnsi="宋体"/>
          <w:b/>
          <w:bCs/>
          <w:color w:val="333333"/>
          <w:kern w:val="0"/>
          <w:sz w:val="24"/>
          <w:szCs w:val="24"/>
        </w:rPr>
      </w:pPr>
      <w:r>
        <w:rPr>
          <w:rFonts w:ascii="宋体" w:cs="宋体" w:eastAsia="宋体" w:hAnsi="宋体"/>
          <w:b/>
          <w:bCs/>
          <w:color w:val="333333"/>
          <w:kern w:val="0"/>
          <w:sz w:val="24"/>
          <w:szCs w:val="24"/>
        </w:rPr>
      </w:r>
    </w:p>
    <w:p>
      <w:pPr>
        <w:pStyle w:val="Normal"/>
        <w:widowControl/>
        <w:shd w:color="auto" w:fill="FFFFFF" w:val="clear"/>
        <w:jc w:val="center"/>
        <w:rPr>
          <w:rFonts w:ascii="宋体" w:cs="宋体" w:eastAsia="宋体" w:hAnsi="宋体"/>
          <w:color w:val="333333"/>
          <w:kern w:val="0"/>
          <w:sz w:val="24"/>
          <w:szCs w:val="24"/>
        </w:rPr>
      </w:pPr>
      <w:r>
        <w:rPr>
          <w:rFonts w:ascii="宋体" w:cs="宋体" w:eastAsia="宋体" w:hAnsi="宋体"/>
          <w:b/>
          <w:bCs/>
          <w:color w:val="333333"/>
          <w:kern w:val="0"/>
          <w:sz w:val="36"/>
          <w:szCs w:val="36"/>
        </w:rPr>
        <w:t>永城市黄口镇人民政府2023年政府信息公开工作年度报告</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p>
      <w:pPr>
        <w:pStyle w:val="Normal"/>
        <w:widowControl/>
        <w:shd w:color="auto" w:fill="FFFFFF" w:val="clear"/>
        <w:ind w:firstLine="480"/>
        <w:rPr>
          <w:rFonts w:ascii="宋体" w:cs="宋体" w:eastAsia="宋体" w:hAnsi="宋体"/>
          <w:color w:val="333333"/>
          <w:kern w:val="0"/>
          <w:sz w:val="24"/>
          <w:szCs w:val="24"/>
        </w:rPr>
      </w:pPr>
      <w:r>
        <w:rPr>
          <w:rFonts w:ascii="宋体" w:cs="宋体" w:hAnsi="宋体"/>
          <w:b/>
          <w:bCs/>
          <w:color w:val="333333"/>
          <w:kern w:val="0"/>
          <w:sz w:val="24"/>
          <w:szCs w:val="24"/>
        </w:rPr>
        <w:t>一、总体情况</w:t>
      </w:r>
    </w:p>
    <w:p>
      <w:pPr>
        <w:pStyle w:val="Normal"/>
        <w:widowControl/>
        <w:shd w:color="auto" w:fill="FFFFFF" w:val="clear"/>
        <w:ind w:firstLine="480"/>
        <w:rPr>
          <w:rFonts w:ascii="宋体" w:cs="宋体" w:eastAsia="宋体" w:hAnsi="宋体"/>
          <w:color w:val="333333"/>
          <w:kern w:val="0"/>
          <w:sz w:val="24"/>
          <w:szCs w:val="24"/>
        </w:rPr>
      </w:pPr>
      <w:r>
        <w:t>本年度报告根据《关于政府信息公开工作年度报告有关事项的通知》（国办公开办函〔2019〕60号）和《河南省人民政府办公厅政务公开办公室关于做好政府信息公开工作年度报告编制和发布有关工作的通知》和省市工作要求，由永城市黄口镇编制。本年度报告由主动公开政府信息情况、依申请公开政府信息情况、政府信息公开复议、诉讼情况，依申请公开信息收取的费用情况、机构建设和保障经费情况、政府信息公开会议和培训情况，以及存在的主要问题和改进措施等。报告所列数据统计期限自2023年1月1日起至2023年12月31日止。如对本年度报告有疑问，请联系：永城市黄口镇党政办公室，联系电话：0370-5531001。</w:t>
      </w:r>
    </w:p>
    <w:p>
      <w:pPr>
        <w:pStyle w:val="Normal"/>
        <w:widowControl/>
        <w:shd w:color="auto" w:fill="FFFFFF" w:val="clear"/>
        <w:ind w:firstLine="480"/>
        <w:rPr>
          <w:rFonts w:ascii="宋体" w:cs="宋体" w:eastAsia="宋体" w:hAnsi="宋体"/>
          <w:color w:val="333333"/>
          <w:kern w:val="0"/>
          <w:sz w:val="24"/>
          <w:szCs w:val="24"/>
        </w:rPr>
      </w:pPr>
      <w:r>
        <w:t>（一）主动公开情况。本镇政务公开工作按照《条例》的要求，以公开为原则，不公开为例外，主动公开本政府产生的政务信息。2023年通过“永城政府网”发布各类信息40余条，全年无行政许可和其他对外管理服务事项，无行政处罚、行政强制和行政事业性收费。</w:t>
      </w:r>
    </w:p>
    <w:p>
      <w:pPr>
        <w:pStyle w:val="Normal"/>
        <w:widowControl/>
        <w:shd w:color="auto" w:fill="FFFFFF" w:val="clear"/>
        <w:ind w:firstLine="480"/>
        <w:rPr>
          <w:rFonts w:ascii="宋体" w:cs="宋体" w:eastAsia="宋体" w:hAnsi="宋体"/>
          <w:color w:val="333333"/>
          <w:kern w:val="0"/>
          <w:sz w:val="24"/>
          <w:szCs w:val="24"/>
        </w:rPr>
      </w:pPr>
      <w:r>
        <w:t>（二）依申请公开情况。2023年，镇主要领导参加行风热线4次，对群众反映的有关问题进行了解答，2023年我镇共收到依申请公开信息0条。</w:t>
      </w:r>
    </w:p>
    <w:p>
      <w:pPr>
        <w:pStyle w:val="Normal"/>
        <w:widowControl/>
        <w:shd w:color="auto" w:fill="FFFFFF" w:val="clear"/>
        <w:ind w:firstLine="480"/>
        <w:rPr>
          <w:rFonts w:ascii="宋体" w:cs="宋体" w:eastAsia="宋体" w:hAnsi="宋体"/>
          <w:color w:val="333333"/>
          <w:kern w:val="0"/>
          <w:sz w:val="24"/>
          <w:szCs w:val="24"/>
        </w:rPr>
      </w:pPr>
      <w:r>
        <w:t>（三）政府信息管理情况。2023年，我镇配有专职人员1人，兼职工作人员1名，负责政府信息的收集、整理、审核、公开等工作，建立健全政府信息公开审查机制，依法依规对拟公开的政府信息进行审查，及时调整政府信息公开工作领导小组，促进依法行政、公正执法，提高黄口镇工作质量和服务水平，保障和维护人民群众的合法权益。</w:t>
      </w:r>
    </w:p>
    <w:p>
      <w:pPr>
        <w:pStyle w:val="Normal"/>
        <w:widowControl/>
        <w:shd w:color="auto" w:fill="FFFFFF" w:val="clear"/>
        <w:ind w:firstLine="480"/>
        <w:rPr>
          <w:rFonts w:ascii="宋体" w:cs="宋体" w:eastAsia="宋体" w:hAnsi="宋体"/>
          <w:color w:val="333333"/>
          <w:kern w:val="0"/>
          <w:sz w:val="24"/>
          <w:szCs w:val="24"/>
        </w:rPr>
      </w:pPr>
      <w:r>
        <w:t>（四）平台建设情况。2023年，我镇持续完善政府信息公开平台建设，不断开拓政府信息公开形式，通过微信群、美篇等形式开展政务公开、活动报道，回应公众关注热点。</w:t>
      </w:r>
    </w:p>
    <w:p>
      <w:pPr>
        <w:pStyle w:val="Normal"/>
        <w:widowControl/>
        <w:shd w:color="auto" w:fill="FFFFFF" w:val="clear"/>
        <w:ind w:firstLine="480"/>
        <w:rPr>
          <w:rFonts w:ascii="宋体" w:cs="宋体" w:eastAsia="宋体" w:hAnsi="宋体"/>
          <w:color w:val="333333"/>
          <w:kern w:val="0"/>
          <w:sz w:val="24"/>
          <w:szCs w:val="24"/>
        </w:rPr>
      </w:pPr>
      <w:r>
        <w:t>（五）监督保障情况。为确保政府信息公开工作落到实处，我镇严格按照《条例》及上级部门的总体要求，对政府信息公开内容进行部门细化分解，明确各自责任，“以公开为原则，不公开为例外”的总体要求，做到应公开、能公开的信息，都及时、主动公开。</w:t>
      </w:r>
    </w:p>
    <w:p>
      <w:pPr>
        <w:pStyle w:val="Normal"/>
        <w:widowControl/>
        <w:shd w:color="auto" w:fill="FFFFFF" w:val="clear"/>
        <w:ind w:firstLine="480"/>
        <w:rPr>
          <w:rFonts w:ascii="宋体" w:cs="宋体" w:eastAsia="宋体" w:hAnsi="宋体"/>
          <w:color w:val="333333"/>
          <w:kern w:val="0"/>
          <w:sz w:val="24"/>
          <w:szCs w:val="24"/>
        </w:rPr>
      </w:pPr>
      <w:r>
        <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p>
      <w:pPr>
        <w:pStyle w:val="Normal"/>
        <w:pageBreakBefore w:val="on"/>
        <w:widowControl/>
        <w:shd w:color="auto" w:fill="FFFFFF" w:val="clear"/>
        <w:ind w:firstLine="480"/>
        <w:rPr>
          <w:rFonts w:ascii="宋体" w:cs="宋体" w:eastAsia="宋体" w:hAnsi="宋体"/>
          <w:color w:val="333333"/>
          <w:kern w:val="0"/>
          <w:sz w:val="24"/>
          <w:szCs w:val="24"/>
        </w:rPr>
      </w:pPr>
      <w:r>
        <w:rPr>
          <w:rFonts w:ascii="宋体" w:cs="宋体" w:hAnsi="宋体"/>
          <w:b/>
          <w:bCs/>
          <w:color w:val="333333"/>
          <w:kern w:val="0"/>
          <w:sz w:val="24"/>
          <w:szCs w:val="24"/>
        </w:rPr>
        <w:t>二、主动公开政府信息情况</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tbl>
      <w:tblPr>
        <w:tblW w:type="dxa" w:w="9740"/>
        <w:jc w:val="center"/>
        <w:tblInd w:type="dxa" w:w="0"/>
        <w:tblLayout w:type="fixed"/>
        <w:tblCellMar>
          <w:top w:type="dxa" w:w="0"/>
          <w:left w:type="dxa" w:w="57"/>
          <w:bottom w:type="dxa" w:w="0"/>
          <w:right w:type="dxa" w:w="57"/>
        </w:tblCellMar>
        <w:tblLook w:firstColumn="1" w:firstRow="1" w:lastColumn="0" w:lastRow="0" w:noHBand="0" w:noVBand="1" w:val="04a0"/>
      </w:tblPr>
      <w:tblGrid>
        <w:gridCol w:w="2435"/>
        <w:gridCol w:w="2435"/>
        <w:gridCol w:w="2435"/>
        <w:gridCol w:w="2434"/>
      </w:tblGrid>
      <w:tr>
        <w:trPr>
          <w:trHeight w:hRule="atLeast" w:val="340"/>
        </w:trPr>
        <w:tc>
          <w:tcPr>
            <w:tcW w:type="dxa" w:w="9739"/>
            <w:gridSpan w:val="4"/>
            <w:tcBorders>
              <w:top w:color="000000" w:space="0" w:sz="8" w:val="single"/>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第二十条第（一）项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2435"/>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w:t>
            </w:r>
            <w:r>
              <w:rPr>
                <w:rFonts w:ascii="宋体" w:cs="Calibri" w:hAnsi="宋体"/>
                <w:kern w:val="0"/>
                <w:sz w:val="20"/>
                <w:szCs w:val="20"/>
              </w:rPr>
              <w:t>制</w:t>
            </w:r>
            <w:r>
              <w:rPr>
                <w:rFonts w:ascii="宋体" w:cs="宋体" w:hAnsi="宋体"/>
                <w:kern w:val="0"/>
                <w:sz w:val="20"/>
                <w:szCs w:val="20"/>
              </w:rPr>
              <w:t>发件</w:t>
            </w:r>
            <w:r>
              <w:rPr>
                <w:rFonts w:ascii="宋体" w:cs="Calibri" w:hAnsi="宋体"/>
                <w:kern w:val="0"/>
                <w:sz w:val="20"/>
                <w:szCs w:val="20"/>
              </w:rPr>
              <w:t>数</w:t>
            </w:r>
          </w:p>
        </w:tc>
        <w:tc>
          <w:tcPr>
            <w:tcW w:type="dxa" w:w="2435"/>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本年废止件数</w:t>
            </w:r>
          </w:p>
        </w:tc>
        <w:tc>
          <w:tcPr>
            <w:tcW w:type="dxa" w:w="2434"/>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现行有效件</w:t>
            </w:r>
            <w:r>
              <w:rPr>
                <w:rFonts w:ascii="宋体" w:cs="Calibri" w:hAnsi="宋体"/>
                <w:kern w:val="0"/>
                <w:sz w:val="20"/>
                <w:szCs w:val="20"/>
              </w:rPr>
              <w:t>数</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规章</w:t>
            </w:r>
          </w:p>
        </w:tc>
        <w:tc>
          <w:tcPr>
            <w:tcW w:type="dxa" w:w="2435"/>
            <w:tcBorders>
              <w:bottom w:color="000000" w:space="0" w:sz="8" w:val="single"/>
              <w:right w:color="000000" w:space="0" w:sz="8" w:val="single"/>
            </w:tcBorders>
            <w:vAlign w:val="center"/>
          </w:tcPr>
          <w:p>
            <w:r>
              <w:t>0</w:t>
            </w:r>
          </w:p>
        </w:tc>
        <w:tc>
          <w:tcPr>
            <w:tcW w:type="dxa" w:w="2435"/>
            <w:tcBorders>
              <w:bottom w:color="000000" w:space="0" w:sz="8" w:val="single"/>
              <w:right w:color="000000" w:space="0" w:sz="8" w:val="single"/>
            </w:tcBorders>
            <w:vAlign w:val="center"/>
          </w:tcPr>
          <w:p>
            <w:r>
              <w:t>0</w:t>
            </w:r>
          </w:p>
        </w:tc>
        <w:tc>
          <w:tcPr>
            <w:tcW w:type="dxa" w:w="2434"/>
            <w:tcBorders>
              <w:bottom w:color="000000" w:space="0" w:sz="8" w:val="single"/>
              <w:right w:color="000000" w:space="0" w:sz="8" w:val="single"/>
            </w:tcBorders>
            <w:vAlign w:val="center"/>
          </w:tcPr>
          <w:p>
            <w:r>
              <w:t>0</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行政规范性文件</w:t>
            </w:r>
          </w:p>
        </w:tc>
        <w:tc>
          <w:tcPr>
            <w:tcW w:type="dxa" w:w="2435"/>
            <w:tcBorders>
              <w:bottom w:color="000000" w:space="0" w:sz="8" w:val="single"/>
              <w:right w:color="000000" w:space="0" w:sz="8" w:val="single"/>
            </w:tcBorders>
            <w:vAlign w:val="center"/>
          </w:tcPr>
          <w:p>
            <w:r>
              <w:t>0</w:t>
            </w:r>
          </w:p>
        </w:tc>
        <w:tc>
          <w:tcPr>
            <w:tcW w:type="dxa" w:w="2435"/>
            <w:tcBorders>
              <w:bottom w:color="000000" w:space="0" w:sz="8" w:val="single"/>
              <w:right w:color="000000" w:space="0" w:sz="8" w:val="single"/>
            </w:tcBorders>
            <w:vAlign w:val="center"/>
          </w:tcPr>
          <w:p>
            <w:r>
              <w:t>0</w:t>
            </w:r>
          </w:p>
        </w:tc>
        <w:tc>
          <w:tcPr>
            <w:tcW w:type="dxa" w:w="2434"/>
            <w:tcBorders>
              <w:bottom w:color="000000" w:space="0" w:sz="8" w:val="single"/>
              <w:right w:color="000000" w:space="0" w:sz="8" w:val="single"/>
            </w:tcBorders>
            <w:vAlign w:val="center"/>
          </w:tcPr>
          <w:p>
            <w:r>
              <w:t>0</w:t>
            </w:r>
          </w:p>
        </w:tc>
      </w:tr>
      <w:tr>
        <w:trPr>
          <w:trHeight w:hRule="atLeast" w:val="340"/>
        </w:trPr>
        <w:tc>
          <w:tcPr>
            <w:tcW w:type="dxa" w:w="9739"/>
            <w:gridSpan w:val="4"/>
            <w:tcBorders>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第二十条第（五）项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本年处理决定数量</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行政许可</w:t>
            </w:r>
          </w:p>
        </w:tc>
        <w:tc>
          <w:tcPr>
            <w:tcW w:type="dxa" w:w="7304"/>
            <w:gridSpan w:val="3"/>
            <w:tcBorders>
              <w:bottom w:color="000000" w:space="0" w:sz="8" w:val="single"/>
              <w:right w:color="000000" w:space="0" w:sz="8" w:val="single"/>
            </w:tcBorders>
            <w:vAlign w:val="center"/>
          </w:tcPr>
          <w:p>
            <w:r>
              <w:t>0</w:t>
            </w:r>
          </w:p>
        </w:tc>
      </w:tr>
      <w:tr>
        <w:trPr>
          <w:trHeight w:hRule="atLeast" w:val="340"/>
        </w:trPr>
        <w:tc>
          <w:tcPr>
            <w:tcW w:type="dxa" w:w="9739"/>
            <w:gridSpan w:val="4"/>
            <w:tcBorders>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第二十条第（六）项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本年处理决定数量</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行政处罚</w:t>
            </w:r>
          </w:p>
        </w:tc>
        <w:tc>
          <w:tcPr>
            <w:tcW w:type="dxa" w:w="7304"/>
            <w:gridSpan w:val="3"/>
            <w:tcBorders>
              <w:bottom w:color="000000" w:space="0" w:sz="8" w:val="single"/>
              <w:right w:color="000000" w:space="0" w:sz="8" w:val="single"/>
            </w:tcBorders>
            <w:vAlign w:val="center"/>
          </w:tcPr>
          <w:p>
            <w:r>
              <w:t>0</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行政强制</w:t>
            </w:r>
          </w:p>
        </w:tc>
        <w:tc>
          <w:tcPr>
            <w:tcW w:type="dxa" w:w="7304"/>
            <w:gridSpan w:val="3"/>
            <w:tcBorders>
              <w:bottom w:color="000000" w:space="0" w:sz="8" w:val="single"/>
              <w:right w:color="000000" w:space="0" w:sz="8" w:val="single"/>
            </w:tcBorders>
            <w:vAlign w:val="center"/>
          </w:tcPr>
          <w:p>
            <w:r>
              <w:t>0</w:t>
            </w:r>
          </w:p>
        </w:tc>
      </w:tr>
      <w:tr>
        <w:trPr>
          <w:trHeight w:hRule="atLeast" w:val="340"/>
        </w:trPr>
        <w:tc>
          <w:tcPr>
            <w:tcW w:type="dxa" w:w="9739"/>
            <w:gridSpan w:val="4"/>
            <w:tcBorders>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第二十条第（八）项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本年收费金额（单位：万元）</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行政事业性收费</w:t>
            </w:r>
          </w:p>
        </w:tc>
        <w:tc>
          <w:tcPr>
            <w:tcW w:type="dxa" w:w="7304"/>
            <w:gridSpan w:val="3"/>
            <w:tcBorders>
              <w:bottom w:color="000000" w:space="0" w:sz="8" w:val="single"/>
              <w:right w:color="000000" w:space="0" w:sz="8" w:val="single"/>
            </w:tcBorders>
            <w:vAlign w:val="center"/>
          </w:tcPr>
          <w:p>
            <w:r>
              <w:t>0</w:t>
            </w:r>
          </w:p>
        </w:tc>
      </w:tr>
    </w:tbl>
    <w:p>
      <w:pPr>
        <w:pStyle w:val="Normal"/>
        <w:widowControl/>
        <w:ind w:firstLine="482"/>
        <w:jc w:val="left"/>
        <w:rPr>
          <w:rFonts w:ascii="宋体" w:cs="宋体" w:eastAsia="宋体" w:hAnsi="宋体"/>
          <w:b/>
          <w:bCs/>
          <w:color w:val="333333"/>
          <w:kern w:val="0"/>
          <w:sz w:val="24"/>
          <w:szCs w:val="24"/>
        </w:rPr>
      </w:pPr>
      <w:r>
        <w:br w:type="page"/>
      </w:r>
      <w:r>
        <w:rPr>
          <w:rFonts w:ascii="宋体" w:cs="宋体" w:hAnsi="宋体"/>
          <w:b/>
          <w:bCs/>
          <w:color w:val="333333"/>
          <w:kern w:val="0"/>
          <w:sz w:val="24"/>
          <w:szCs w:val="24"/>
        </w:rPr>
        <w:t>三、收到和处理政府信息公开申请情况</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tbl>
      <w:tblPr>
        <w:tblW w:type="dxa" w:w="9748"/>
        <w:jc w:val="center"/>
        <w:tblInd w:type="dxa" w:w="0"/>
        <w:tblLayout w:type="fixed"/>
        <w:tblCellMar>
          <w:top w:type="dxa" w:w="0"/>
          <w:left w:type="dxa" w:w="108"/>
          <w:bottom w:type="dxa" w:w="0"/>
          <w:right w:type="dxa" w:w="108"/>
        </w:tblCellMar>
        <w:tblLook w:firstColumn="1" w:firstRow="1" w:lastColumn="0" w:lastRow="0" w:noHBand="0" w:noVBand="1" w:val="04a0"/>
      </w:tblPr>
      <w:tblGrid>
        <w:gridCol w:w="769"/>
        <w:gridCol w:w="942"/>
        <w:gridCol w:w="3220"/>
        <w:gridCol w:w="688"/>
        <w:gridCol w:w="688"/>
        <w:gridCol w:w="689"/>
        <w:gridCol w:w="688"/>
        <w:gridCol w:w="687"/>
        <w:gridCol w:w="688"/>
        <w:gridCol w:w="688"/>
      </w:tblGrid>
      <w:tr>
        <w:trPr/>
        <w:tc>
          <w:tcPr>
            <w:tcW w:type="dxa" w:w="4931"/>
            <w:gridSpan w:val="3"/>
            <w:vMerge w:val="restart"/>
            <w:tcBorders>
              <w:top w:color="000000" w:space="0" w:sz="8" w:val="single"/>
              <w:left w:color="000000" w:space="0" w:sz="8" w:val="single"/>
              <w:bottom w:color="000000" w:space="0" w:sz="8" w:val="inset"/>
              <w:right w:color="000000" w:space="0" w:sz="8" w:val="single"/>
            </w:tcBorders>
            <w:vAlign w:val="center"/>
          </w:tcPr>
          <w:p>
            <w:pPr>
              <w:pStyle w:val="Normal"/>
              <w:widowControl/>
              <w:jc w:val="left"/>
              <w:rPr>
                <w:rFonts w:ascii="宋体" w:cs="宋体" w:eastAsia="宋体" w:hAnsi="宋体"/>
                <w:kern w:val="0"/>
                <w:sz w:val="24"/>
                <w:szCs w:val="24"/>
              </w:rPr>
            </w:pPr>
            <w:r>
              <w:rPr>
                <w:rFonts w:ascii="楷体" w:cs="宋体" w:eastAsia="楷体" w:hAnsi="楷体"/>
                <w:kern w:val="0"/>
                <w:sz w:val="20"/>
                <w:szCs w:val="20"/>
              </w:rPr>
              <w:t>（本列数据的勾稽关系为：第一项加第二项之和，等于第三项加第四项之和）</w:t>
            </w:r>
          </w:p>
        </w:tc>
        <w:tc>
          <w:tcPr>
            <w:tcW w:type="dxa" w:w="4816"/>
            <w:gridSpan w:val="7"/>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申请人情况</w:t>
            </w:r>
          </w:p>
        </w:tc>
      </w:tr>
      <w:tr>
        <w:trPr/>
        <w:tc>
          <w:tcPr>
            <w:tcW w:type="dxa" w:w="4931"/>
            <w:gridSpan w:val="3"/>
            <w:vMerge w:val="continue"/>
            <w:tcBorders>
              <w:top w:color="000000" w:space="0" w:sz="8" w:val="single"/>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88"/>
            <w:vMerge w:val="restart"/>
            <w:tcBorders>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自然人</w:t>
            </w:r>
          </w:p>
        </w:tc>
        <w:tc>
          <w:tcPr>
            <w:tcW w:type="dxa" w:w="3440"/>
            <w:gridSpan w:val="5"/>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法人或其他组织</w:t>
            </w:r>
          </w:p>
        </w:tc>
        <w:tc>
          <w:tcPr>
            <w:tcW w:type="dxa" w:w="688"/>
            <w:vMerge w:val="restart"/>
            <w:tcBorders>
              <w:top w:color="000000" w:space="0" w:sz="8" w:val="single"/>
              <w:bottom w:color="000000" w:space="0" w:sz="8" w:val="inset"/>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总计</w:t>
            </w:r>
          </w:p>
        </w:tc>
      </w:tr>
      <w:tr>
        <w:trPr/>
        <w:tc>
          <w:tcPr>
            <w:tcW w:type="dxa" w:w="4931"/>
            <w:gridSpan w:val="3"/>
            <w:vMerge w:val="continue"/>
            <w:tcBorders>
              <w:top w:color="000000" w:space="0" w:sz="8" w:val="single"/>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88"/>
            <w:vMerge w:val="continue"/>
            <w:tcBorders>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88"/>
            <w:tcBorders>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商业</w:t>
            </w:r>
          </w:p>
          <w:p>
            <w:pPr>
              <w:pStyle w:val="Normal"/>
              <w:widowControl/>
              <w:jc w:val="center"/>
              <w:rPr>
                <w:rFonts w:ascii="宋体" w:cs="宋体" w:eastAsia="宋体" w:hAnsi="宋体"/>
                <w:kern w:val="0"/>
                <w:sz w:val="24"/>
                <w:szCs w:val="24"/>
              </w:rPr>
            </w:pPr>
            <w:r>
              <w:rPr>
                <w:rFonts w:ascii="宋体" w:cs="宋体" w:hAnsi="宋体"/>
                <w:kern w:val="0"/>
                <w:sz w:val="20"/>
                <w:szCs w:val="20"/>
              </w:rPr>
              <w:t>企业</w:t>
            </w:r>
          </w:p>
        </w:tc>
        <w:tc>
          <w:tcPr>
            <w:tcW w:type="dxa" w:w="689"/>
            <w:tcBorders>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科研</w:t>
            </w:r>
          </w:p>
          <w:p>
            <w:pPr>
              <w:pStyle w:val="Normal"/>
              <w:widowControl/>
              <w:jc w:val="center"/>
              <w:rPr>
                <w:rFonts w:ascii="宋体" w:cs="宋体" w:eastAsia="宋体" w:hAnsi="宋体"/>
                <w:kern w:val="0"/>
                <w:sz w:val="24"/>
                <w:szCs w:val="24"/>
              </w:rPr>
            </w:pPr>
            <w:r>
              <w:rPr>
                <w:rFonts w:ascii="宋体" w:cs="宋体" w:hAnsi="宋体"/>
                <w:kern w:val="0"/>
                <w:sz w:val="20"/>
                <w:szCs w:val="20"/>
              </w:rPr>
              <w:t>机构</w:t>
            </w:r>
          </w:p>
        </w:tc>
        <w:tc>
          <w:tcPr>
            <w:tcW w:type="dxa" w:w="688"/>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社会公益组织</w:t>
            </w:r>
          </w:p>
        </w:tc>
        <w:tc>
          <w:tcPr>
            <w:tcW w:type="dxa" w:w="687"/>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法律服务机构</w:t>
            </w:r>
          </w:p>
        </w:tc>
        <w:tc>
          <w:tcPr>
            <w:tcW w:type="dxa" w:w="688"/>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其他</w:t>
            </w:r>
          </w:p>
        </w:tc>
        <w:tc>
          <w:tcPr>
            <w:tcW w:type="dxa" w:w="688"/>
            <w:vMerge w:val="continue"/>
            <w:tcBorders>
              <w:top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r>
      <w:tr>
        <w:trPr/>
        <w:tc>
          <w:tcPr>
            <w:tcW w:type="dxa" w:w="4931"/>
            <w:gridSpan w:val="3"/>
            <w:tcBorders>
              <w:left w:color="000000" w:space="0" w:sz="8" w:val="single"/>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一、本年新收政府信息公开申请数量</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4931"/>
            <w:gridSpan w:val="3"/>
            <w:tcBorders>
              <w:left w:color="000000" w:space="0" w:sz="8" w:val="single"/>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二、上年结转政府信息公开申请数量</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restart"/>
            <w:tcBorders>
              <w:left w:color="000000" w:space="0" w:sz="8" w:val="single"/>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三、本年度办理结果</w:t>
            </w:r>
          </w:p>
        </w:tc>
        <w:tc>
          <w:tcPr>
            <w:tcW w:type="dxa" w:w="4162"/>
            <w:gridSpan w:val="2"/>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（一）予以公开</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4162"/>
            <w:gridSpan w:val="2"/>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（二）部分公开</w:t>
            </w:r>
            <w:r>
              <w:rPr>
                <w:rFonts w:ascii="楷体" w:cs="宋体" w:eastAsia="楷体" w:hAnsi="楷体"/>
                <w:kern w:val="0"/>
                <w:sz w:val="20"/>
                <w:szCs w:val="20"/>
              </w:rPr>
              <w:t>（区分处理的，只计这一情形，不计其他情形）</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（三）不予公开</w:t>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属于国家秘密</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top w:color="000000" w:space="0" w:sz="8" w:val="single"/>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其他法律行政法规禁止公开</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危及“三安全一稳定”</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4.</w:t>
            </w:r>
            <w:r>
              <w:rPr>
                <w:rFonts w:ascii="宋体" w:cs="宋体" w:hAnsi="宋体"/>
                <w:kern w:val="0"/>
                <w:sz w:val="20"/>
                <w:szCs w:val="20"/>
              </w:rPr>
              <w:t>保护第三方合法权益</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5.</w:t>
            </w:r>
            <w:r>
              <w:rPr>
                <w:rFonts w:ascii="宋体" w:cs="宋体" w:hAnsi="宋体"/>
                <w:kern w:val="0"/>
                <w:sz w:val="20"/>
                <w:szCs w:val="20"/>
              </w:rPr>
              <w:t>属于三类内部事务信息</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6.</w:t>
            </w:r>
            <w:r>
              <w:rPr>
                <w:rFonts w:ascii="宋体" w:cs="宋体" w:hAnsi="宋体"/>
                <w:kern w:val="0"/>
                <w:sz w:val="20"/>
                <w:szCs w:val="20"/>
              </w:rPr>
              <w:t>属于四类过程性信息</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7.</w:t>
            </w:r>
            <w:r>
              <w:rPr>
                <w:rFonts w:ascii="宋体" w:cs="宋体" w:hAnsi="宋体"/>
                <w:kern w:val="0"/>
                <w:sz w:val="20"/>
                <w:szCs w:val="20"/>
              </w:rPr>
              <w:t>属于行政执法案卷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8.</w:t>
            </w:r>
            <w:r>
              <w:rPr>
                <w:rFonts w:ascii="宋体" w:cs="宋体" w:hAnsi="宋体"/>
                <w:kern w:val="0"/>
                <w:sz w:val="20"/>
                <w:szCs w:val="20"/>
              </w:rPr>
              <w:t>属于行政查询事项</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（四）无法提供</w:t>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本机关不掌握相关政府信息</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没有现成信息需要另行制作</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补正后申请内容仍不明确</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（五）不予处理</w:t>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信访举报投诉类申请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重复申请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要求提供公开出版物</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4.</w:t>
            </w:r>
            <w:r>
              <w:rPr>
                <w:rFonts w:ascii="宋体" w:cs="宋体" w:hAnsi="宋体"/>
                <w:kern w:val="0"/>
                <w:sz w:val="20"/>
                <w:szCs w:val="20"/>
              </w:rPr>
              <w:t>无正当理由大量反复申请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rHeight w:hRule="atLeast" w:val="779"/>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inset"/>
              <w:right w:color="000000" w:space="0" w:sz="8" w:val="single"/>
            </w:tcBorders>
            <w:tcMar>
              <w:left w:type="dxa" w:w="57"/>
              <w:right w:type="dxa" w:w="57"/>
            </w:tcMar>
            <w:vAlign w:val="center"/>
          </w:tcPr>
          <w:p>
            <w:pPr>
              <w:pStyle w:val="Normal"/>
              <w:widowControl/>
              <w:rPr>
                <w:rFonts w:ascii="宋体" w:cs="宋体" w:eastAsia="宋体" w:hAnsi="宋体"/>
                <w:kern w:val="0"/>
                <w:sz w:val="24"/>
                <w:szCs w:val="24"/>
              </w:rPr>
            </w:pPr>
            <w:r>
              <w:rPr>
                <w:rFonts w:ascii="宋体" w:cs="宋体" w:eastAsia="宋体" w:hAnsi="宋体"/>
                <w:kern w:val="0"/>
                <w:sz w:val="20"/>
                <w:szCs w:val="20"/>
              </w:rPr>
              <w:t>5.</w:t>
            </w:r>
            <w:r>
              <w:rPr>
                <w:rFonts w:ascii="宋体" w:cs="宋体" w:hAnsi="宋体"/>
                <w:kern w:val="0"/>
                <w:sz w:val="20"/>
                <w:szCs w:val="20"/>
              </w:rPr>
              <w:t>要求行政机关确认或重新出具已获取信息</w:t>
            </w:r>
          </w:p>
        </w:tc>
        <w:tc>
          <w:tcPr>
            <w:tcW w:type="dxa" w:w="688"/>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c>
          <w:tcPr>
            <w:tcW w:type="dxa" w:w="689"/>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c>
          <w:tcPr>
            <w:tcW w:type="dxa" w:w="687"/>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top w:color="000000" w:space="0" w:sz="8" w:val="inset"/>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（六）其他处理</w:t>
            </w:r>
          </w:p>
        </w:tc>
        <w:tc>
          <w:tcPr>
            <w:tcW w:type="dxa" w:w="3220"/>
            <w:tcBorders>
              <w:bottom w:color="000000" w:space="0" w:sz="8" w:val="single"/>
              <w:right w:color="000000" w:space="0" w:sz="8" w:val="single"/>
            </w:tcBorders>
            <w:tcMar>
              <w:left w:type="dxa" w:w="57"/>
              <w:right w:type="dxa" w:w="57"/>
            </w:tcMar>
            <w:vAlign w:val="center"/>
          </w:tcPr>
          <w:p>
            <w:pPr>
              <w:pStyle w:val="Normal"/>
              <w:widowControl/>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申请人无正当理由逾期不补正、行政机关不再处理其政府信息公开申请</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top w:color="000000" w:space="0" w:sz="8" w:val="inset"/>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vAlign w:val="center"/>
          </w:tcPr>
          <w:p>
            <w:pPr>
              <w:pStyle w:val="Normal"/>
              <w:widowControl/>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申请人逾期未按收费通知要求缴纳费用、行政机关不再处理其政府信息公开申请</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top w:color="000000" w:space="0" w:sz="8" w:val="inset"/>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其他</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4162"/>
            <w:gridSpan w:val="2"/>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（七）总计</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4931"/>
            <w:gridSpan w:val="3"/>
            <w:tcBorders>
              <w:left w:color="000000" w:space="0" w:sz="8" w:val="single"/>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四、结转下年度继续办理</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bl>
    <w:p>
      <w:pPr>
        <w:pStyle w:val="Normal"/>
        <w:widowControl/>
        <w:ind w:firstLine="482"/>
        <w:jc w:val="left"/>
        <w:rPr>
          <w:rFonts w:ascii="宋体" w:cs="宋体" w:eastAsia="宋体" w:hAnsi="宋体"/>
          <w:b/>
          <w:bCs/>
          <w:color w:val="333333"/>
          <w:kern w:val="0"/>
          <w:sz w:val="24"/>
          <w:szCs w:val="24"/>
        </w:rPr>
      </w:pPr>
      <w:r>
        <w:br w:type="page"/>
      </w:r>
      <w:r>
        <w:rPr>
          <w:rFonts w:ascii="宋体" w:cs="宋体" w:hAnsi="宋体"/>
          <w:b/>
          <w:bCs/>
          <w:color w:val="333333"/>
          <w:kern w:val="0"/>
          <w:sz w:val="24"/>
          <w:szCs w:val="24"/>
        </w:rPr>
        <w:t>四、政府信息公开行政复议、行政诉讼情况</w:t>
      </w:r>
    </w:p>
    <w:p>
      <w:pPr>
        <w:pStyle w:val="Normal"/>
        <w:widowControl/>
        <w:shd w:color="auto" w:fill="FFFFFF" w:val="clear"/>
        <w:ind w:firstLine="480"/>
        <w:rPr>
          <w:rFonts w:ascii="宋体" w:cs="宋体" w:eastAsia="宋体" w:hAnsi="宋体"/>
          <w:b/>
          <w:bCs/>
          <w:color w:val="333333"/>
          <w:kern w:val="0"/>
          <w:sz w:val="24"/>
          <w:szCs w:val="24"/>
        </w:rPr>
      </w:pPr>
      <w:r>
        <w:rPr>
          <w:rFonts w:ascii="宋体" w:cs="宋体" w:eastAsia="宋体" w:hAnsi="宋体"/>
          <w:b/>
          <w:bCs/>
          <w:color w:val="333333"/>
          <w:kern w:val="0"/>
          <w:sz w:val="24"/>
          <w:szCs w:val="24"/>
        </w:rPr>
      </w:r>
    </w:p>
    <w:tbl>
      <w:tblPr>
        <w:tblW w:type="dxa" w:w="9748"/>
        <w:jc w:val="center"/>
        <w:tblInd w:type="dxa" w:w="0"/>
        <w:tblLayout w:type="fixed"/>
        <w:tblCellMar>
          <w:top w:type="dxa" w:w="0"/>
          <w:left w:type="dxa" w:w="108"/>
          <w:bottom w:type="dxa" w:w="0"/>
          <w:right w:type="dxa" w:w="108"/>
        </w:tblCellMar>
        <w:tblLook w:firstColumn="1" w:firstRow="1" w:lastColumn="0" w:lastRow="0" w:noHBand="0" w:noVBand="1" w:val="04a0"/>
      </w:tblPr>
      <w:tblGrid>
        <w:gridCol w:w="650"/>
        <w:gridCol w:w="650"/>
        <w:gridCol w:w="649"/>
        <w:gridCol w:w="650"/>
        <w:gridCol w:w="650"/>
        <w:gridCol w:w="650"/>
        <w:gridCol w:w="650"/>
        <w:gridCol w:w="649"/>
        <w:gridCol w:w="650"/>
        <w:gridCol w:w="650"/>
        <w:gridCol w:w="650"/>
        <w:gridCol w:w="650"/>
        <w:gridCol w:w="650"/>
        <w:gridCol w:w="650"/>
        <w:gridCol w:w="650"/>
      </w:tblGrid>
      <w:tr>
        <w:trPr/>
        <w:tc>
          <w:tcPr>
            <w:tcW w:type="dxa" w:w="3249"/>
            <w:gridSpan w:val="5"/>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行政复议</w:t>
            </w:r>
          </w:p>
        </w:tc>
        <w:tc>
          <w:tcPr>
            <w:tcW w:type="dxa" w:w="6499"/>
            <w:gridSpan w:val="1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行政诉讼</w:t>
            </w:r>
          </w:p>
        </w:tc>
      </w:tr>
      <w:tr>
        <w:trPr/>
        <w:tc>
          <w:tcPr>
            <w:tcW w:type="dxa" w:w="650"/>
            <w:vMerge w:val="restart"/>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结果维持</w:t>
            </w:r>
          </w:p>
        </w:tc>
        <w:tc>
          <w:tcPr>
            <w:tcW w:type="dxa" w:w="650"/>
            <w:vMerge w:val="restart"/>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49"/>
            <w:vMerge w:val="restart"/>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其他</w:t>
            </w:r>
            <w:r>
              <w:rPr>
                <w:rFonts w:ascii="宋体" w:cs="宋体" w:eastAsia="宋体" w:hAnsi="宋体"/>
                <w:kern w:val="0"/>
                <w:sz w:val="20"/>
                <w:szCs w:val="20"/>
              </w:rPr>
              <w:br/>
            </w:r>
            <w:r>
              <w:rPr>
                <w:rFonts w:ascii="宋体" w:cs="宋体" w:hAnsi="宋体"/>
                <w:kern w:val="0"/>
                <w:sz w:val="20"/>
                <w:szCs w:val="20"/>
              </w:rPr>
              <w:t>结果</w:t>
            </w:r>
          </w:p>
        </w:tc>
        <w:tc>
          <w:tcPr>
            <w:tcW w:type="dxa" w:w="650"/>
            <w:vMerge w:val="restart"/>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vMerge w:val="restart"/>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总计</w:t>
            </w:r>
          </w:p>
        </w:tc>
        <w:tc>
          <w:tcPr>
            <w:tcW w:type="dxa" w:w="3249"/>
            <w:gridSpan w:val="5"/>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未经复议直接起诉</w:t>
            </w:r>
          </w:p>
        </w:tc>
        <w:tc>
          <w:tcPr>
            <w:tcW w:type="dxa" w:w="3250"/>
            <w:gridSpan w:val="5"/>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复议后起诉</w:t>
            </w:r>
          </w:p>
        </w:tc>
      </w:tr>
      <w:tr>
        <w:trPr/>
        <w:tc>
          <w:tcPr>
            <w:tcW w:type="dxa" w:w="650"/>
            <w:vMerge w:val="continue"/>
            <w:tcBorders>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vMerge w:val="continue"/>
            <w:tcBorders>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49"/>
            <w:vMerge w:val="continu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vMerge w:val="continu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vMerge w:val="continu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维持</w:t>
            </w:r>
          </w:p>
        </w:tc>
        <w:tc>
          <w:tcPr>
            <w:tcW w:type="dxa" w:w="650"/>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49"/>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其他</w:t>
            </w:r>
            <w:r>
              <w:rPr>
                <w:rFonts w:ascii="宋体" w:cs="宋体" w:eastAsia="宋体" w:hAnsi="宋体"/>
                <w:kern w:val="0"/>
                <w:sz w:val="20"/>
                <w:szCs w:val="20"/>
              </w:rPr>
              <w:br/>
            </w:r>
            <w:r>
              <w:rPr>
                <w:rFonts w:ascii="宋体" w:cs="宋体" w:hAnsi="宋体"/>
                <w:kern w:val="0"/>
                <w:sz w:val="20"/>
                <w:szCs w:val="20"/>
              </w:rPr>
              <w:t>结果</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总计</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维持</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其他</w:t>
            </w:r>
            <w:r>
              <w:rPr>
                <w:rFonts w:ascii="宋体" w:cs="宋体" w:eastAsia="宋体" w:hAnsi="宋体"/>
                <w:color w:val="000000"/>
                <w:kern w:val="0"/>
                <w:sz w:val="20"/>
                <w:szCs w:val="20"/>
              </w:rPr>
              <w:br/>
            </w:r>
            <w:r>
              <w:rPr>
                <w:rFonts w:ascii="宋体" w:cs="宋体" w:hAnsi="宋体"/>
                <w:color w:val="000000"/>
                <w:kern w:val="0"/>
                <w:sz w:val="20"/>
                <w:szCs w:val="20"/>
              </w:rPr>
              <w:t>结果</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总计</w:t>
            </w:r>
          </w:p>
        </w:tc>
      </w:tr>
      <w:tr>
        <w:trPr>
          <w:trHeight w:hRule="atLeast" w:val="672"/>
        </w:trPr>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49"/>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49"/>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r>
    </w:tbl>
    <w:p>
      <w:pPr>
        <w:pStyle w:val="Normal"/>
        <w:widowControl/>
        <w:jc w:val="left"/>
        <w:rPr>
          <w:rFonts w:ascii="宋体" w:cs="宋体" w:eastAsia="宋体" w:hAnsi="宋体"/>
          <w:kern w:val="0"/>
          <w:sz w:val="24"/>
          <w:szCs w:val="24"/>
        </w:rPr>
      </w:pPr>
      <w:r>
        <w:rPr>
          <w:rFonts w:ascii="宋体" w:cs="宋体" w:eastAsia="宋体" w:hAnsi="宋体"/>
          <w:color w:val="333333"/>
          <w:kern w:val="0"/>
          <w:sz w:val="24"/>
          <w:szCs w:val="24"/>
        </w:rPr>
        <w:br/>
      </w:r>
    </w:p>
    <w:p>
      <w:pPr>
        <w:pStyle w:val="Normal"/>
        <w:widowControl/>
        <w:shd w:color="auto" w:fill="FFFFFF" w:val="clear"/>
        <w:ind w:firstLine="480"/>
        <w:rPr>
          <w:rFonts w:ascii="宋体" w:cs="宋体" w:eastAsia="宋体" w:hAnsi="宋体"/>
          <w:b/>
          <w:bCs/>
          <w:color w:val="333333"/>
          <w:kern w:val="0"/>
          <w:sz w:val="24"/>
          <w:szCs w:val="24"/>
        </w:rPr>
      </w:pPr>
      <w:r>
        <w:rPr>
          <w:rFonts w:ascii="宋体" w:cs="宋体" w:hAnsi="宋体"/>
          <w:b/>
          <w:bCs/>
          <w:color w:val="333333"/>
          <w:kern w:val="0"/>
          <w:sz w:val="24"/>
          <w:szCs w:val="24"/>
        </w:rPr>
        <w:t>五、存在的主要问题及改进情况</w:t>
      </w:r>
    </w:p>
    <w:p>
      <w:pPr>
        <w:pStyle w:val="Normal"/>
        <w:widowControl/>
        <w:shd w:color="auto" w:fill="FFFFFF" w:val="clear"/>
        <w:ind w:firstLine="480"/>
        <w:rPr>
          <w:rFonts w:ascii="宋体" w:cs="宋体" w:eastAsia="宋体" w:hAnsi="宋体"/>
          <w:color w:val="333333"/>
          <w:kern w:val="0"/>
          <w:sz w:val="24"/>
          <w:szCs w:val="24"/>
        </w:rPr>
      </w:pPr>
      <w:r>
        <w:t>2023年，我镇政府信息公开工作取得一定成效，但仍存在不足。一是基层队伍人员流动大，业务能力有待提高，信息公开工作队伍建设力度仍需加大；二是动态新闻多，公文类信息少，与部分镇（街道）相比差距较大；三是政策解读的载体不够丰富，吸引力有待提升。</w:t>
      </w:r>
    </w:p>
    <w:p>
      <w:pPr>
        <w:pStyle w:val="Normal"/>
        <w:widowControl/>
        <w:shd w:color="auto" w:fill="FFFFFF" w:val="clear"/>
        <w:ind w:firstLine="480"/>
        <w:rPr>
          <w:rFonts w:ascii="宋体" w:cs="宋体" w:eastAsia="宋体" w:hAnsi="宋体"/>
          <w:color w:val="333333"/>
          <w:kern w:val="0"/>
          <w:sz w:val="24"/>
          <w:szCs w:val="24"/>
        </w:rPr>
      </w:pPr>
      <w:r>
        <w:t>针对以上问题，我镇将进一步强化工作责任，细化工作任务，实行专人跟进机制，全面落实政务公开各项任务。加强队伍建设，积极开展政务公开业务培训，增强业务能力，确保政务公开工作提质增效。</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p>
      <w:pPr>
        <w:pStyle w:val="Normal"/>
        <w:widowControl/>
        <w:shd w:color="auto" w:fill="FFFFFF" w:val="clear"/>
        <w:ind w:firstLine="480"/>
        <w:rPr>
          <w:rFonts w:ascii="宋体" w:cs="宋体" w:eastAsia="宋体" w:hAnsi="宋体"/>
          <w:b/>
          <w:bCs/>
          <w:color w:val="333333"/>
          <w:kern w:val="0"/>
          <w:sz w:val="24"/>
          <w:szCs w:val="24"/>
        </w:rPr>
      </w:pPr>
      <w:r>
        <w:rPr>
          <w:rFonts w:ascii="宋体" w:cs="宋体" w:hAnsi="宋体"/>
          <w:b/>
          <w:bCs/>
          <w:color w:val="333333"/>
          <w:kern w:val="0"/>
          <w:sz w:val="24"/>
          <w:szCs w:val="24"/>
        </w:rPr>
        <w:t>六、其他需要报告的事项</w:t>
      </w:r>
    </w:p>
    <w:p>
      <w:pPr>
        <w:pStyle w:val="Normal"/>
        <w:widowControl/>
        <w:shd w:color="auto" w:fill="FFFFFF" w:val="clear"/>
        <w:ind w:firstLine="480"/>
        <w:jc w:val="left"/>
        <w:rPr>
          <w:rFonts w:ascii="宋体" w:cs="宋体" w:eastAsia="宋体" w:hAnsi="宋体"/>
          <w:color w:val="333333"/>
          <w:kern w:val="0"/>
          <w:sz w:val="24"/>
          <w:szCs w:val="24"/>
        </w:rPr>
      </w:pPr>
      <w:r>
        <w:t/>
      </w:r>
    </w:p>
    <w:p>
      <w:pPr>
        <w:pStyle w:val="Normal"/>
        <w:widowControl/>
        <w:shd w:color="auto" w:fill="FFFFFF" w:val="clear"/>
        <w:ind w:firstLine="480"/>
        <w:jc w:val="left"/>
        <w:rPr>
          <w:rFonts w:ascii="宋体" w:cs="宋体" w:eastAsia="宋体" w:hAnsi="宋体"/>
          <w:color w:val="333333"/>
          <w:kern w:val="0"/>
          <w:sz w:val="24"/>
          <w:szCs w:val="24"/>
        </w:rPr>
      </w:pPr>
      <w:r>
        <w:t>2023年度本机关未收取信息处理费。发出收费通知的件数和总金额，以及实际收取的总金额均为0。</w:t>
      </w:r>
    </w:p>
    <w:p>
      <w:pPr>
        <w:pStyle w:val="Normal"/>
        <w:widowControl/>
        <w:shd w:color="auto" w:fill="FFFFFF" w:val="clear"/>
        <w:ind w:firstLine="480"/>
        <w:jc w:val="left"/>
        <w:rPr>
          <w:rFonts w:ascii="宋体" w:cs="宋体" w:eastAsia="宋体" w:hAnsi="宋体"/>
          <w:color w:val="333333"/>
          <w:kern w:val="0"/>
          <w:sz w:val="24"/>
          <w:szCs w:val="24"/>
        </w:rPr>
      </w:pPr>
      <w:r>
        <w:t/>
      </w:r>
    </w:p>
    <w:sectPr>
      <w:type w:val="nextPage"/>
      <w:pgSz w:h="16838" w:w="11906"/>
      <w:pgMar w:bottom="1440" w:footer="0" w:gutter="0" w:header="0" w:left="1800" w:right="1800" w:top="1440"/>
      <w:pgNumType w:fmt="decimal"/>
      <w:formProt w:val="false"/>
      <w:textDirection w:val="lrTb"/>
      <w:docGrid w:charSpace="6143" w:linePitch="312" w:type="lines"/>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Calibri">
    <w:charset w:val="86"/>
    <w:family w:val="roman"/>
    <w:pitch w:val="variable"/>
  </w:font>
  <w:font w:name="Liberation Sans">
    <w:altName w:val="Arial"/>
    <w:charset w:val="86"/>
    <w:family w:val="swiss"/>
    <w:pitch w:val="variable"/>
  </w:font>
  <w:font w:name="宋体">
    <w:charset w:val="86"/>
    <w:family w:val="roman"/>
    <w:pitch w:val="variable"/>
  </w:font>
  <w:font w:name="楷体">
    <w:charset w:val="86"/>
    <w:family w:val="roman"/>
    <w:pitch w:val="variable"/>
  </w:font>
</w:fonts>
</file>

<file path=word/settings.xml><?xml version="1.0" encoding="utf-8"?>
<w:settings xmlns:w="http://schemas.openxmlformats.org/wordprocessingml/2006/main">
  <w:zoom w:percent="100"/>
  <w:defaultTabStop w:val="420"/>
  <w:autoHyphenation w:val="true"/>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bidi="" w:eastAsia="zh-CN" w:val="en-U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asciiTheme="minorHAnsi" w:cs="" w:cstheme="minorBidi" w:eastAsia="宋体" w:eastAsiaTheme="minorEastAsia" w:hAnsi="Calibri" w:hAnsiTheme="minorHAnsi"/>
        <w:kern w:val="2"/>
        <w:sz w:val="21"/>
        <w:szCs w:val="22"/>
        <w:lang w:bidi="ar-SA" w:eastAsia="zh-CN" w:val="en-US"/>
      </w:rPr>
    </w:rPrDefault>
    <w:pPrDefault>
      <w:pPr>
        <w:suppressAutoHyphens w:val="true"/>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pPr>
      <w:widowControl w:val="false"/>
      <w:bidi w:val="0"/>
      <w:spacing w:after="0" w:before="0"/>
      <w:jc w:val="both"/>
    </w:pPr>
    <w:rPr>
      <w:rFonts w:ascii="Calibri" w:asciiTheme="minorHAnsi" w:cs="" w:cstheme="minorBidi" w:eastAsia="宋体" w:eastAsiaTheme="minorEastAsia" w:hAnsi="Calibri" w:hAnsiTheme="minorHAnsi"/>
      <w:color w:val="auto"/>
      <w:kern w:val="2"/>
      <w:sz w:val="21"/>
      <w:szCs w:val="22"/>
      <w:lang w:bidi="ar-SA" w:eastAsia="zh-CN" w:val="en-US"/>
    </w:rPr>
  </w:style>
  <w:style w:default="1" w:styleId="DefaultParagraphFont" w:type="character">
    <w:name w:val="Default Paragraph Font"/>
    <w:uiPriority w:val="1"/>
    <w:semiHidden/>
    <w:unhideWhenUsed/>
    <w:qFormat/>
    <w:rPr/>
  </w:style>
  <w:style w:styleId="Style14" w:type="paragraph">
    <w:name w:val="标题样式"/>
    <w:basedOn w:val="Normal"/>
    <w:next w:val="BodyText"/>
    <w:qFormat/>
    <w:pPr>
      <w:keepNext w:val="true"/>
      <w:spacing w:after="120" w:before="240"/>
    </w:pPr>
    <w:rPr>
      <w:rFonts w:ascii="Liberation Sans" w:cs="Arial" w:eastAsia="微软雅黑" w:hAnsi="Liberation Sans"/>
      <w:sz w:val="28"/>
      <w:szCs w:val="28"/>
    </w:rPr>
  </w:style>
  <w:style w:styleId="BodyText" w:type="paragraph">
    <w:name w:val="Body Text"/>
    <w:basedOn w:val="Normal"/>
    <w:pPr>
      <w:spacing w:after="140" w:before="0" w:line="276" w:lineRule="auto"/>
    </w:pPr>
    <w:rPr/>
  </w:style>
  <w:style w:styleId="List" w:type="paragraph">
    <w:name w:val="List"/>
    <w:basedOn w:val="BodyText"/>
    <w:pPr/>
    <w:rPr>
      <w:rFonts w:cs="Arial"/>
    </w:rPr>
  </w:style>
  <w:style w:styleId="Caption" w:type="paragraph">
    <w:name w:val="Caption"/>
    <w:basedOn w:val="Normal"/>
    <w:qFormat/>
    <w:pPr>
      <w:suppressLineNumbers/>
      <w:spacing w:after="120" w:before="120"/>
    </w:pPr>
    <w:rPr>
      <w:rFonts w:cs="Arial"/>
      <w:i/>
      <w:iCs/>
      <w:sz w:val="24"/>
      <w:szCs w:val="24"/>
    </w:rPr>
  </w:style>
  <w:style w:styleId="Style15" w:type="paragraph">
    <w:name w:val="索引"/>
    <w:basedOn w:val="Normal"/>
    <w:qFormat/>
    <w:pPr>
      <w:suppressLineNumbers/>
    </w:pPr>
    <w:rPr>
      <w:rFonts w:cs="Arial"/>
    </w:rPr>
  </w:style>
  <w:style w:styleId="NormalWeb" w:type="paragraph">
    <w:name w:val="Normal (Web)"/>
    <w:basedOn w:val="Normal"/>
    <w:uiPriority w:val="99"/>
    <w:semiHidden/>
    <w:unhideWhenUsed/>
    <w:qFormat/>
    <w:rsid w:val="008e1cad"/>
    <w:pPr>
      <w:widowControl/>
      <w:spacing w:afterAutospacing="1" w:beforeAutospacing="1"/>
      <w:jc w:val="left"/>
    </w:pPr>
    <w:rPr>
      <w:rFonts w:ascii="宋体" w:cs="宋体" w:eastAsia="宋体" w:hAnsi="宋体"/>
      <w:kern w:val="0"/>
      <w:sz w:val="24"/>
      <w:szCs w:val="24"/>
    </w:rPr>
  </w:style>
  <w:style w:default="1" w:styleId="NoList" w:type="numbering">
    <w:name w:val="No List"/>
    <w:uiPriority w:val="99"/>
    <w:semiHidden/>
    <w:unhideWhenUsed/>
    <w:qFormat/>
  </w:style>
  <w:style w:default="1" w:styleId="a1" w:type="table">
    <w:name w:val="Normal Table"/>
    <w:uiPriority w:val="99"/>
    <w:semiHidden/>
    <w:unhideWhenUsed/>
    <w:tblPr>
      <w:tblCellMar>
        <w:top w:type="dxa" w:w="0"/>
        <w:left w:type="dxa" w:w="108"/>
        <w:bottom w:type="dxa" w:w="0"/>
        <w:right w:type="dxa" w:w="108"/>
      </w:tblCellMar>
    </w:tbl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4" Target="theme/theme1.xml" Type="http://schemas.openxmlformats.org/officeDocument/2006/relationships/theme"/>
</Relationships>

</file>

<file path=word/theme/theme1.xml><?xml version="1.0" encoding="utf-8"?>
<a:theme xmlns:a="http://schemas.openxmlformats.org/drawingml/2006/main" xmlns:r="http://schemas.openxmlformats.org/officeDocument/2006/relationships" name="Office 主题​​">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LibreOffice/7.6.2.1$Windows_X86_64 LibreOffice_project/56f7684011345957bbf33a7ee678afaf4d2ba333</Application>
  <AppVersion>15.0000</AppVersion>
  <Pages>3</Pages>
  <Words>923</Words>
  <Characters>998</Characters>
  <CharactersWithSpaces>1010</CharactersWithSpaces>
  <Paragraphs>292</Paragraphs>
  <Company>China</Compan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2021-10-21T05:34:00Z</dcterms:created>
  <dc:creator>IdeaBank</dc:creator>
  <dc:language>zh-CN</dc:language>
  <dcterms:modified xsi:type="dcterms:W3CDTF">2024-01-13T19:48:24Z</dcterms:modified>
  <cp:revision>26</cp:revision>
</cp:coreProperties>
</file>

<file path=docProps/custom.xml><?xml version="1.0" encoding="utf-8"?>
<Properties xmlns="http://schemas.openxmlformats.org/officeDocument/2006/custom-properties" xmlns:vt="http://schemas.openxmlformats.org/officeDocument/2006/docPropsVTypes"/>
</file>