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永城市人民政府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2022年政府信息公开工作年度报告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2022年，永城市政府办公室认真贯彻落实国家、省、市部署要求，积极深化政府信息主动公开，切实加强政府信息管理，大力推进公开平台建设，政府信息公开工作标准化、规范化水平实现全面提升。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（一）主动公开情况。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主动解读市政府政策文件、政策性文件，解读率达100%，做到同步关联阅读。2022年市政府门户网站共发布信息5283条，“永城政府网”微信公众号发布信息219条，“永城市人民政府办公室”微博发布信息194条。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常态化开展业务培训和案例指导，督促、指导各级行政机关进一步规范政府信息公开申请办理，持续提升依申请公开办理质效。2022年，共收到申请政府信息公开件60件，全部及时高效办理，充分发挥行政复议制度优势和层级监督功能，妥善处理涉及依申请复议、诉讼案件，有效保障了人民群众的知情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（三）政府信息管理情况。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持续规范市政府、市政府办公室文件的公开及解读属性认定，紧紧围绕政务公开、政务服务、政民互动、解读回应等功能定位，进一步扩大主动公开范围，加大对政策性文件的宣传解读力度。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（四）政府信息公开平台建设情况。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优化和完善政府网站、政务新媒体等平台，对政府网站进行适老化改造，为老年人提供质量更高的政务公开服务。持续强化政务新媒体监督、管理，着力提高政务新媒体的传播力、影响力、公信力，目前全市共有28个政务新媒体，均运行良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（五）监督保障情况。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将政务公开工作列入年度绩效考核内容，进一步压实各级各部门工作责任；定期检查通报政府门户网站与政府系统政务新媒体运行情况。二是加强部门监督和业务指导，加大政府网站和政务新媒体常态化监测力度，开展季度、月度检查及年度考评，保障政务公开工作按指标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7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043"/>
        <w:gridCol w:w="20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0" w:type="auto"/>
            <w:gridSpan w:val="4"/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gridSpan w:val="4"/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gridSpan w:val="4"/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gridSpan w:val="4"/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本年收费金额（单位：万元，保留4位小数）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7702.8419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39"/>
        <w:gridCol w:w="2956"/>
        <w:gridCol w:w="501"/>
        <w:gridCol w:w="501"/>
        <w:gridCol w:w="501"/>
        <w:gridCol w:w="501"/>
        <w:gridCol w:w="501"/>
        <w:gridCol w:w="504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0" w:type="auto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55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7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11"/>
        <w:gridCol w:w="611"/>
        <w:gridCol w:w="611"/>
        <w:gridCol w:w="350"/>
        <w:gridCol w:w="611"/>
        <w:gridCol w:w="611"/>
        <w:gridCol w:w="612"/>
        <w:gridCol w:w="612"/>
        <w:gridCol w:w="360"/>
        <w:gridCol w:w="612"/>
        <w:gridCol w:w="612"/>
        <w:gridCol w:w="612"/>
        <w:gridCol w:w="612"/>
        <w:gridCol w:w="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2022年，永城市人民政府信息公开工作虽取得了一定成绩，仍存不足之处：一是基层政务公开工作专职人员较少，人员流动较快。二是个别领域信息公开更新时效性有待提高，部分工作落实难以达到预期效果。三是基层政务公开仍待加强，各单位按照目录标准进行信息公开还有一定差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2023年，永城市人民政府将深入学习贯彻落实党的二十大精神，继续认真贯彻执行《条例》，努力做好以下工作：一是切实提高政府主要领导对政务公开工作重视程度，积极从内部加强对政务信息公开工作的宣传引导，对基层单位新接手工作人员开展轮训工作实行以干代训。二是完善政府信息公开平台，不断提高企业和群众获取政府信息的便捷度，优化解读流程，创新解读方式，丰富解读内容，提升解读效果，切实提高公开的针对性和实效性。三是强化对基层政务公开工作的指导监督、通过集中培训、远程点对点指导等多种方式，加强政务公开队伍建设，提升政务公开业务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 w:firstLineChars="200"/>
        <w:jc w:val="both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2022年度全市未收取信息处理费。发出收费通知的件数和总金额，以及实际收取的总金额均为0。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zhhZDUwNzBjYmFmNDhjNDQ0NjczYzA5MTEyYjQifQ=="/>
  </w:docVars>
  <w:rsids>
    <w:rsidRoot w:val="38051243"/>
    <w:rsid w:val="0910058F"/>
    <w:rsid w:val="334F40FB"/>
    <w:rsid w:val="34D1244F"/>
    <w:rsid w:val="38051243"/>
    <w:rsid w:val="4FD73056"/>
    <w:rsid w:val="544669FD"/>
    <w:rsid w:val="572648C3"/>
    <w:rsid w:val="7C2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2035</Words>
  <Characters>2118</Characters>
  <Lines>0</Lines>
  <Paragraphs>0</Paragraphs>
  <TotalTime>5</TotalTime>
  <ScaleCrop>false</ScaleCrop>
  <LinksUpToDate>false</LinksUpToDate>
  <CharactersWithSpaces>2134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2023-02-28T23:24:00Z</dcterms:created>
  <dc:creator>增广贤文</dc:creator>
  <cp:lastModifiedBy>zfb</cp:lastModifiedBy>
  <dcterms:modified xsi:type="dcterms:W3CDTF">2023-03-03T07:52:05Z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7FF375A521534DCCA5E59D2C6B5EC439</vt:lpwstr>
  </property>
</Properties>
</file>