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ascii="黑体" w:hAnsi="黑体" w:eastAsia="黑体" w:cs="黑体"/>
          <w:sz w:val="52"/>
          <w:szCs w:val="52"/>
        </w:rPr>
        <w:t>2019</w:t>
      </w:r>
      <w:r>
        <w:rPr>
          <w:rFonts w:hint="eastAsia" w:ascii="黑体" w:hAnsi="黑体" w:eastAsia="黑体" w:cs="黑体"/>
          <w:sz w:val="52"/>
          <w:szCs w:val="52"/>
        </w:rPr>
        <w:t>年度</w:t>
      </w:r>
    </w:p>
    <w:p>
      <w:pPr>
        <w:jc w:val="center"/>
        <w:rPr>
          <w:rFonts w:ascii="黑体" w:hAnsi="黑体" w:eastAsia="黑体" w:cs="黑体"/>
          <w:sz w:val="52"/>
          <w:szCs w:val="52"/>
        </w:rPr>
      </w:pPr>
      <w:r>
        <w:rPr>
          <w:rFonts w:hint="eastAsia" w:ascii="黑体" w:hAnsi="黑体" w:eastAsia="黑体" w:cs="黑体"/>
          <w:sz w:val="52"/>
          <w:szCs w:val="52"/>
        </w:rPr>
        <w:t>永城市商务局部门决算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二〇二〇年九月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永城市商务局概况</w:t>
      </w:r>
    </w:p>
    <w:p>
      <w:pPr>
        <w:numPr>
          <w:ilvl w:val="0"/>
          <w:numId w:val="1"/>
        </w:numPr>
        <w:ind w:firstLine="640" w:firstLineChars="200"/>
        <w:jc w:val="left"/>
        <w:rPr>
          <w:rFonts w:asci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w:t>
      </w:r>
      <w:r>
        <w:rPr>
          <w:rFonts w:ascii="黑体" w:hAnsi="黑体" w:eastAsia="黑体" w:cs="黑体"/>
          <w:sz w:val="32"/>
          <w:szCs w:val="32"/>
        </w:rPr>
        <w:t>2019</w:t>
      </w:r>
      <w:r>
        <w:rPr>
          <w:rFonts w:hint="eastAsia" w:ascii="黑体" w:hAnsi="黑体" w:eastAsia="黑体" w:cs="黑体"/>
          <w:sz w:val="32"/>
          <w:szCs w:val="32"/>
        </w:rPr>
        <w:t>年度部门决算表</w:t>
      </w:r>
    </w:p>
    <w:p>
      <w:pPr>
        <w:ind w:firstLine="640" w:firstLineChars="200"/>
        <w:jc w:val="left"/>
        <w:rPr>
          <w:rFonts w:ascii="宋体" w:cs="宋体"/>
          <w:sz w:val="32"/>
          <w:szCs w:val="32"/>
        </w:rPr>
      </w:pPr>
      <w:r>
        <w:rPr>
          <w:rFonts w:hint="eastAsia" w:ascii="宋体" w:hAnsi="宋体" w:cs="宋体"/>
          <w:sz w:val="32"/>
          <w:szCs w:val="32"/>
        </w:rPr>
        <w:t>一、收入支出决算总表</w:t>
      </w:r>
    </w:p>
    <w:p>
      <w:pPr>
        <w:ind w:firstLine="640" w:firstLineChars="200"/>
        <w:jc w:val="left"/>
        <w:rPr>
          <w:rFonts w:ascii="宋体" w:cs="宋体"/>
          <w:sz w:val="32"/>
          <w:szCs w:val="32"/>
        </w:rPr>
      </w:pPr>
      <w:r>
        <w:rPr>
          <w:rFonts w:hint="eastAsia" w:ascii="宋体" w:hAnsi="宋体" w:cs="宋体"/>
          <w:sz w:val="32"/>
          <w:szCs w:val="32"/>
        </w:rPr>
        <w:t>二、收入决算表</w:t>
      </w:r>
    </w:p>
    <w:p>
      <w:pPr>
        <w:ind w:firstLine="640" w:firstLineChars="200"/>
        <w:jc w:val="left"/>
        <w:rPr>
          <w:rFonts w:ascii="宋体" w:cs="宋体"/>
          <w:sz w:val="32"/>
          <w:szCs w:val="32"/>
        </w:rPr>
      </w:pPr>
      <w:r>
        <w:rPr>
          <w:rFonts w:hint="eastAsia" w:ascii="宋体" w:hAnsi="宋体" w:cs="宋体"/>
          <w:sz w:val="32"/>
          <w:szCs w:val="32"/>
        </w:rPr>
        <w:t>三、支出决算表</w:t>
      </w:r>
    </w:p>
    <w:p>
      <w:pPr>
        <w:ind w:firstLine="640" w:firstLineChars="200"/>
        <w:jc w:val="left"/>
        <w:rPr>
          <w:rFonts w:asci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ascii="黑体" w:hAnsi="黑体" w:eastAsia="黑体" w:cs="黑体"/>
          <w:sz w:val="32"/>
          <w:szCs w:val="32"/>
        </w:rPr>
        <w:t>2019</w:t>
      </w:r>
      <w:r>
        <w:rPr>
          <w:rFonts w:hint="eastAsia" w:ascii="黑体" w:hAnsi="黑体" w:eastAsia="黑体" w:cs="黑体"/>
          <w:sz w:val="32"/>
          <w:szCs w:val="32"/>
        </w:rPr>
        <w:t>年度部门决算情况说明</w:t>
      </w:r>
    </w:p>
    <w:p>
      <w:pPr>
        <w:ind w:firstLine="640" w:firstLineChars="200"/>
        <w:jc w:val="left"/>
        <w:rPr>
          <w:rFonts w:asci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cs="宋体"/>
          <w:sz w:val="32"/>
          <w:szCs w:val="32"/>
        </w:rPr>
      </w:pPr>
      <w:r>
        <w:rPr>
          <w:rFonts w:hint="eastAsia" w:ascii="宋体" w:hAnsi="宋体" w:cs="宋体"/>
          <w:sz w:val="32"/>
          <w:szCs w:val="32"/>
        </w:rPr>
        <w:t>二、收入决算情况说明</w:t>
      </w:r>
    </w:p>
    <w:p>
      <w:pPr>
        <w:ind w:firstLine="640" w:firstLineChars="200"/>
        <w:jc w:val="left"/>
        <w:rPr>
          <w:rFonts w:ascii="宋体" w:cs="宋体"/>
          <w:sz w:val="32"/>
          <w:szCs w:val="32"/>
        </w:rPr>
      </w:pPr>
      <w:r>
        <w:rPr>
          <w:rFonts w:hint="eastAsia" w:ascii="宋体" w:hAnsi="宋体" w:cs="宋体"/>
          <w:sz w:val="32"/>
          <w:szCs w:val="32"/>
        </w:rPr>
        <w:t>三、支出决算情况说明</w:t>
      </w:r>
    </w:p>
    <w:p>
      <w:pPr>
        <w:ind w:firstLine="640" w:firstLineChars="200"/>
        <w:jc w:val="left"/>
        <w:rPr>
          <w:rFonts w:asci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cs="宋体"/>
          <w:sz w:val="32"/>
          <w:szCs w:val="32"/>
        </w:rPr>
      </w:pPr>
      <w:r>
        <w:rPr>
          <w:rFonts w:hint="eastAsia" w:ascii="宋体" w:hAnsi="宋体" w:cs="宋体"/>
          <w:sz w:val="32"/>
          <w:szCs w:val="32"/>
        </w:rPr>
        <w:t>八、预算绩效情况说明</w:t>
      </w:r>
    </w:p>
    <w:p>
      <w:pPr>
        <w:ind w:firstLine="640" w:firstLineChars="200"/>
        <w:jc w:val="left"/>
        <w:rPr>
          <w:rFonts w:asci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宋体" w:cs="宋体"/>
          <w:sz w:val="32"/>
          <w:szCs w:val="32"/>
        </w:rPr>
      </w:pPr>
    </w:p>
    <w:p>
      <w:pPr>
        <w:jc w:val="left"/>
        <w:rPr>
          <w:rFonts w:ascii="黑体" w:hAnsi="黑体" w:eastAsia="黑体" w:cs="黑体"/>
          <w:sz w:val="32"/>
          <w:szCs w:val="32"/>
        </w:rPr>
        <w:sectPr>
          <w:footerReference r:id="rId9" w:type="default"/>
          <w:footerReference r:id="rId10"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ascii="黑体" w:hAnsi="宋体" w:eastAsia="黑体" w:cs="宋体"/>
          <w:kern w:val="0"/>
          <w:sz w:val="28"/>
          <w:szCs w:val="28"/>
        </w:rPr>
      </w:pPr>
      <w:r>
        <w:rPr>
          <w:rFonts w:hint="eastAsia" w:ascii="黑体" w:hAnsi="黑体" w:eastAsia="黑体" w:cs="黑体"/>
          <w:sz w:val="48"/>
          <w:szCs w:val="48"/>
        </w:rPr>
        <w:t>第一部分</w:t>
      </w:r>
      <w:r>
        <w:rPr>
          <w:rFonts w:ascii="黑体" w:hAnsi="黑体" w:eastAsia="黑体" w:cs="黑体"/>
          <w:sz w:val="48"/>
          <w:szCs w:val="48"/>
        </w:rPr>
        <w:t xml:space="preserve">  </w:t>
      </w:r>
      <w:r>
        <w:rPr>
          <w:rFonts w:hint="eastAsia" w:ascii="黑体" w:hAnsi="黑体" w:eastAsia="黑体" w:cs="黑体"/>
          <w:sz w:val="48"/>
          <w:szCs w:val="48"/>
        </w:rPr>
        <w:t>永城市商务局概况</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widowControl/>
        <w:ind w:firstLine="560" w:firstLineChars="200"/>
        <w:jc w:val="left"/>
        <w:outlineLvl w:val="1"/>
        <w:rPr>
          <w:rFonts w:ascii="宋体" w:cs="宋体"/>
          <w:kern w:val="0"/>
          <w:sz w:val="28"/>
          <w:szCs w:val="28"/>
        </w:rPr>
      </w:pPr>
      <w:r>
        <w:rPr>
          <w:rFonts w:ascii="宋体" w:hAnsi="宋体" w:cs="宋体"/>
          <w:kern w:val="0"/>
          <w:sz w:val="28"/>
          <w:szCs w:val="28"/>
        </w:rPr>
        <w:t>(</w:t>
      </w:r>
      <w:r>
        <w:rPr>
          <w:rFonts w:hint="eastAsia" w:ascii="宋体" w:hAnsi="宋体" w:cs="宋体"/>
          <w:kern w:val="0"/>
          <w:sz w:val="28"/>
          <w:szCs w:val="28"/>
        </w:rPr>
        <w:t>一</w:t>
      </w:r>
      <w:r>
        <w:rPr>
          <w:rFonts w:ascii="宋体" w:hAnsi="宋体" w:cs="宋体"/>
          <w:kern w:val="0"/>
          <w:sz w:val="28"/>
          <w:szCs w:val="28"/>
        </w:rPr>
        <w:t>)</w:t>
      </w:r>
      <w:r>
        <w:rPr>
          <w:rFonts w:hint="eastAsia" w:ascii="宋体" w:hAnsi="宋体" w:cs="宋体"/>
          <w:kern w:val="0"/>
          <w:sz w:val="28"/>
          <w:szCs w:val="28"/>
        </w:rPr>
        <w:t>贯彻落实有关内外贸易、国际经济合作和招商引资的发展战略、方针、政策；制定商务领域规章、制度、标准和发展规划。</w:t>
      </w:r>
    </w:p>
    <w:p>
      <w:pPr>
        <w:widowControl/>
        <w:ind w:firstLine="420" w:firstLineChars="150"/>
        <w:jc w:val="left"/>
        <w:outlineLvl w:val="1"/>
        <w:rPr>
          <w:rFonts w:asci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二</w:t>
      </w:r>
      <w:r>
        <w:rPr>
          <w:rFonts w:ascii="宋体" w:hAnsi="宋体" w:cs="宋体"/>
          <w:kern w:val="0"/>
          <w:sz w:val="28"/>
          <w:szCs w:val="28"/>
        </w:rPr>
        <w:t>)</w:t>
      </w:r>
      <w:r>
        <w:rPr>
          <w:rFonts w:hint="eastAsia" w:ascii="宋体" w:hAnsi="宋体" w:cs="宋体"/>
          <w:kern w:val="0"/>
          <w:sz w:val="28"/>
          <w:szCs w:val="28"/>
        </w:rPr>
        <w:t>研究制定规范流通领域市场体系及流通秩序的政策，促进内外贸结合，建立统一、开放、竞争、有序的市场体系；监测、分析市场运行和重要商品供求状况；组织实施重要消费品市场的调控工作，负责重要商品储备、监督和管理；研究提出流通体制改革意见，培育发展城乡市场，推进流通产业结构调整及现代流通方式和组织形式现代化。</w:t>
      </w:r>
    </w:p>
    <w:p>
      <w:pPr>
        <w:widowControl/>
        <w:ind w:firstLine="560" w:firstLineChars="200"/>
        <w:jc w:val="left"/>
        <w:outlineLvl w:val="1"/>
        <w:rPr>
          <w:rFonts w:ascii="宋体" w:cs="宋体"/>
          <w:kern w:val="0"/>
          <w:sz w:val="28"/>
          <w:szCs w:val="28"/>
        </w:rPr>
      </w:pPr>
      <w:r>
        <w:rPr>
          <w:rFonts w:ascii="宋体" w:hAnsi="宋体" w:cs="宋体"/>
          <w:kern w:val="0"/>
          <w:sz w:val="28"/>
          <w:szCs w:val="28"/>
        </w:rPr>
        <w:t>(</w:t>
      </w:r>
      <w:r>
        <w:rPr>
          <w:rFonts w:hint="eastAsia" w:ascii="宋体" w:hAnsi="宋体" w:cs="宋体"/>
          <w:kern w:val="0"/>
          <w:sz w:val="28"/>
          <w:szCs w:val="28"/>
        </w:rPr>
        <w:t>三</w:t>
      </w:r>
      <w:r>
        <w:rPr>
          <w:rFonts w:ascii="宋体" w:hAnsi="宋体" w:cs="宋体"/>
          <w:kern w:val="0"/>
          <w:sz w:val="28"/>
          <w:szCs w:val="28"/>
        </w:rPr>
        <w:t>)</w:t>
      </w:r>
      <w:r>
        <w:rPr>
          <w:rFonts w:hint="eastAsia" w:ascii="宋体" w:hAnsi="宋体" w:cs="宋体"/>
          <w:kern w:val="0"/>
          <w:sz w:val="28"/>
          <w:szCs w:val="28"/>
        </w:rPr>
        <w:t>调查研究流通行业重大问题，提出政策建议；负责对成品油、等重要商品的流通管理；负责拍卖、典当、租赁、汽车、旧货流通活动的监督管理。</w:t>
      </w:r>
    </w:p>
    <w:p>
      <w:pPr>
        <w:widowControl/>
        <w:ind w:firstLine="560" w:firstLineChars="200"/>
        <w:jc w:val="left"/>
        <w:outlineLvl w:val="1"/>
        <w:rPr>
          <w:rFonts w:ascii="宋体" w:cs="宋体"/>
          <w:kern w:val="0"/>
          <w:sz w:val="28"/>
          <w:szCs w:val="28"/>
        </w:rPr>
      </w:pPr>
      <w:r>
        <w:rPr>
          <w:rFonts w:ascii="宋体" w:hAnsi="宋体" w:cs="宋体"/>
          <w:kern w:val="0"/>
          <w:sz w:val="28"/>
          <w:szCs w:val="28"/>
        </w:rPr>
        <w:t>(</w:t>
      </w:r>
      <w:r>
        <w:rPr>
          <w:rFonts w:hint="eastAsia" w:ascii="宋体" w:hAnsi="宋体" w:cs="宋体"/>
          <w:kern w:val="0"/>
          <w:sz w:val="28"/>
          <w:szCs w:val="28"/>
        </w:rPr>
        <w:t>四</w:t>
      </w:r>
      <w:r>
        <w:rPr>
          <w:rFonts w:ascii="宋体" w:hAnsi="宋体" w:cs="宋体"/>
          <w:kern w:val="0"/>
          <w:sz w:val="28"/>
          <w:szCs w:val="28"/>
        </w:rPr>
        <w:t>)</w:t>
      </w:r>
      <w:r>
        <w:rPr>
          <w:rFonts w:hint="eastAsia" w:ascii="宋体" w:hAnsi="宋体" w:cs="宋体"/>
          <w:kern w:val="0"/>
          <w:sz w:val="28"/>
          <w:szCs w:val="28"/>
        </w:rPr>
        <w:t>执行进出口商品管理办法、进出口商品目录和进出口商品配额招标政策；负责进出口配额计划的编报、下达和组织实施及配额、许可证管理工作。</w:t>
      </w:r>
    </w:p>
    <w:p>
      <w:pPr>
        <w:widowControl/>
        <w:ind w:firstLine="560" w:firstLineChars="200"/>
        <w:jc w:val="left"/>
        <w:outlineLvl w:val="1"/>
        <w:rPr>
          <w:rFonts w:ascii="宋体" w:cs="宋体"/>
          <w:kern w:val="0"/>
          <w:sz w:val="28"/>
          <w:szCs w:val="28"/>
        </w:rPr>
      </w:pPr>
      <w:r>
        <w:rPr>
          <w:rFonts w:ascii="宋体" w:hAnsi="宋体" w:cs="宋体"/>
          <w:kern w:val="0"/>
          <w:sz w:val="28"/>
          <w:szCs w:val="28"/>
        </w:rPr>
        <w:t>(</w:t>
      </w:r>
      <w:r>
        <w:rPr>
          <w:rFonts w:hint="eastAsia" w:ascii="宋体" w:hAnsi="宋体" w:cs="宋体"/>
          <w:kern w:val="0"/>
          <w:sz w:val="28"/>
          <w:szCs w:val="28"/>
        </w:rPr>
        <w:t>五</w:t>
      </w:r>
      <w:r>
        <w:rPr>
          <w:rFonts w:ascii="宋体" w:hAnsi="宋体" w:cs="宋体"/>
          <w:kern w:val="0"/>
          <w:sz w:val="28"/>
          <w:szCs w:val="28"/>
        </w:rPr>
        <w:t>)</w:t>
      </w:r>
      <w:r>
        <w:rPr>
          <w:rFonts w:hint="eastAsia" w:ascii="宋体" w:hAnsi="宋体" w:cs="宋体"/>
          <w:kern w:val="0"/>
          <w:sz w:val="28"/>
          <w:szCs w:val="28"/>
        </w:rPr>
        <w:t>负责组织科技兴贸战略在全市的实施；贯彻执行机电产品进出口战略和方针、政策。负责商务系统涉及世贸组织相关事务的研究、指导和服务工作；组织协调反倾销、反补贴、保障措施及其他与进出口公平贸易相关的工作；组织产业损害调查。</w:t>
      </w:r>
    </w:p>
    <w:p>
      <w:pPr>
        <w:widowControl/>
        <w:ind w:firstLine="560" w:firstLineChars="200"/>
        <w:jc w:val="left"/>
        <w:outlineLvl w:val="1"/>
        <w:rPr>
          <w:rFonts w:ascii="宋体" w:cs="宋体"/>
          <w:kern w:val="0"/>
          <w:sz w:val="28"/>
          <w:szCs w:val="28"/>
        </w:rPr>
      </w:pPr>
      <w:r>
        <w:rPr>
          <w:rFonts w:ascii="宋体" w:hAnsi="宋体" w:cs="宋体"/>
          <w:kern w:val="0"/>
          <w:sz w:val="28"/>
          <w:szCs w:val="28"/>
        </w:rPr>
        <w:t>(</w:t>
      </w:r>
      <w:r>
        <w:rPr>
          <w:rFonts w:hint="eastAsia" w:ascii="宋体" w:hAnsi="宋体" w:cs="宋体"/>
          <w:kern w:val="0"/>
          <w:sz w:val="28"/>
          <w:szCs w:val="28"/>
        </w:rPr>
        <w:t>六</w:t>
      </w:r>
      <w:r>
        <w:rPr>
          <w:rFonts w:ascii="宋体" w:hAnsi="宋体" w:cs="宋体"/>
          <w:kern w:val="0"/>
          <w:sz w:val="28"/>
          <w:szCs w:val="28"/>
        </w:rPr>
        <w:t>)</w:t>
      </w:r>
      <w:r>
        <w:rPr>
          <w:rFonts w:hint="eastAsia" w:ascii="宋体" w:hAnsi="宋体" w:cs="宋体"/>
          <w:kern w:val="0"/>
          <w:sz w:val="28"/>
          <w:szCs w:val="28"/>
        </w:rPr>
        <w:t>制订并实施外商投资政策，指导全市外商投资工作；参与制订利用外资的中长期规划；监督外商投资企业执行有关法律法规、规章及合同、章程的情况；指导和管理招商引资、投资促进及外商投资企业的审批和进出口工作；负责国外</w:t>
      </w:r>
      <w:r>
        <w:rPr>
          <w:rFonts w:ascii="宋体" w:hAnsi="宋体" w:cs="宋体"/>
          <w:kern w:val="0"/>
          <w:sz w:val="28"/>
          <w:szCs w:val="28"/>
        </w:rPr>
        <w:t>(</w:t>
      </w:r>
      <w:r>
        <w:rPr>
          <w:rFonts w:hint="eastAsia" w:ascii="宋体" w:hAnsi="宋体" w:cs="宋体"/>
          <w:kern w:val="0"/>
          <w:sz w:val="28"/>
          <w:szCs w:val="28"/>
        </w:rPr>
        <w:t>境外</w:t>
      </w:r>
      <w:r>
        <w:rPr>
          <w:rFonts w:ascii="宋体" w:hAnsi="宋体" w:cs="宋体"/>
          <w:kern w:val="0"/>
          <w:sz w:val="28"/>
          <w:szCs w:val="28"/>
        </w:rPr>
        <w:t>)</w:t>
      </w:r>
      <w:r>
        <w:rPr>
          <w:rFonts w:hint="eastAsia" w:ascii="宋体" w:hAnsi="宋体" w:cs="宋体"/>
          <w:kern w:val="0"/>
          <w:sz w:val="28"/>
          <w:szCs w:val="28"/>
        </w:rPr>
        <w:t>常驻商务代表机构的设立和管理工作；负责出国商务考察团组的审批。</w:t>
      </w:r>
    </w:p>
    <w:p>
      <w:pPr>
        <w:widowControl/>
        <w:ind w:firstLine="560" w:firstLineChars="200"/>
        <w:jc w:val="left"/>
        <w:outlineLvl w:val="1"/>
        <w:rPr>
          <w:rFonts w:ascii="宋体" w:cs="宋体"/>
          <w:kern w:val="0"/>
          <w:sz w:val="28"/>
          <w:szCs w:val="28"/>
        </w:rPr>
      </w:pPr>
      <w:r>
        <w:rPr>
          <w:rFonts w:ascii="宋体" w:hAnsi="宋体" w:cs="宋体"/>
          <w:kern w:val="0"/>
          <w:sz w:val="28"/>
          <w:szCs w:val="28"/>
        </w:rPr>
        <w:t>(</w:t>
      </w:r>
      <w:r>
        <w:rPr>
          <w:rFonts w:hint="eastAsia" w:ascii="宋体" w:hAnsi="宋体" w:cs="宋体"/>
          <w:kern w:val="0"/>
          <w:sz w:val="28"/>
          <w:szCs w:val="28"/>
        </w:rPr>
        <w:t>七</w:t>
      </w:r>
      <w:r>
        <w:rPr>
          <w:rFonts w:ascii="宋体" w:hAnsi="宋体" w:cs="宋体"/>
          <w:kern w:val="0"/>
          <w:sz w:val="28"/>
          <w:szCs w:val="28"/>
        </w:rPr>
        <w:t>)</w:t>
      </w:r>
      <w:r>
        <w:rPr>
          <w:rFonts w:hint="eastAsia" w:ascii="宋体" w:hAnsi="宋体" w:cs="宋体"/>
          <w:kern w:val="0"/>
          <w:sz w:val="28"/>
          <w:szCs w:val="28"/>
        </w:rPr>
        <w:t>负责对外经济合作工作；制订并执行对外经济合作政策，指导和监督对外承包工程、劳务合作、设计咨询等业务的管理；制订境外投资管理办法和具体政策；负责对外经济合作企业的经营资格认定和管理工作；审核或核准市内企业对外投资项目并实施监督管理；管理联合国及其他国际组织或外国政府、民间组织对无偿援助项目及赠款工作。</w:t>
      </w:r>
    </w:p>
    <w:p>
      <w:pPr>
        <w:widowControl/>
        <w:ind w:firstLine="560" w:firstLineChars="200"/>
        <w:jc w:val="left"/>
        <w:outlineLvl w:val="1"/>
        <w:rPr>
          <w:rFonts w:ascii="宋体" w:cs="宋体"/>
          <w:kern w:val="0"/>
          <w:sz w:val="28"/>
          <w:szCs w:val="28"/>
        </w:rPr>
      </w:pPr>
      <w:r>
        <w:rPr>
          <w:rFonts w:ascii="宋体" w:hAnsi="宋体" w:cs="宋体"/>
          <w:kern w:val="0"/>
          <w:sz w:val="28"/>
          <w:szCs w:val="28"/>
        </w:rPr>
        <w:t>(</w:t>
      </w:r>
      <w:r>
        <w:rPr>
          <w:rFonts w:hint="eastAsia" w:ascii="宋体" w:hAnsi="宋体" w:cs="宋体"/>
          <w:kern w:val="0"/>
          <w:sz w:val="28"/>
          <w:szCs w:val="28"/>
        </w:rPr>
        <w:t>八</w:t>
      </w:r>
      <w:r>
        <w:rPr>
          <w:rFonts w:ascii="宋体" w:hAnsi="宋体" w:cs="宋体"/>
          <w:kern w:val="0"/>
          <w:sz w:val="28"/>
          <w:szCs w:val="28"/>
        </w:rPr>
        <w:t>)</w:t>
      </w:r>
      <w:r>
        <w:rPr>
          <w:rFonts w:hint="eastAsia" w:ascii="宋体" w:hAnsi="宋体" w:cs="宋体"/>
          <w:kern w:val="0"/>
          <w:sz w:val="28"/>
          <w:szCs w:val="28"/>
        </w:rPr>
        <w:t>负责参加投资贸易洽谈会的组织和实施工作。</w:t>
      </w:r>
    </w:p>
    <w:p>
      <w:pPr>
        <w:widowControl/>
        <w:ind w:firstLine="560" w:firstLineChars="200"/>
        <w:jc w:val="left"/>
        <w:outlineLvl w:val="1"/>
        <w:rPr>
          <w:rFonts w:ascii="宋体" w:cs="宋体"/>
          <w:kern w:val="0"/>
          <w:sz w:val="28"/>
          <w:szCs w:val="28"/>
        </w:rPr>
      </w:pPr>
      <w:r>
        <w:rPr>
          <w:rFonts w:ascii="宋体" w:hAnsi="宋体" w:cs="宋体"/>
          <w:kern w:val="0"/>
          <w:sz w:val="28"/>
          <w:szCs w:val="28"/>
        </w:rPr>
        <w:t>(</w:t>
      </w:r>
      <w:r>
        <w:rPr>
          <w:rFonts w:hint="eastAsia" w:ascii="宋体" w:hAnsi="宋体" w:cs="宋体"/>
          <w:kern w:val="0"/>
          <w:sz w:val="28"/>
          <w:szCs w:val="28"/>
        </w:rPr>
        <w:t>九</w:t>
      </w:r>
      <w:r>
        <w:rPr>
          <w:rFonts w:ascii="宋体" w:hAnsi="宋体" w:cs="宋体"/>
          <w:kern w:val="0"/>
          <w:sz w:val="28"/>
          <w:szCs w:val="28"/>
        </w:rPr>
        <w:t>)</w:t>
      </w:r>
      <w:r>
        <w:rPr>
          <w:rFonts w:hint="eastAsia" w:ascii="宋体" w:hAnsi="宋体" w:cs="宋体"/>
          <w:kern w:val="0"/>
          <w:sz w:val="28"/>
          <w:szCs w:val="28"/>
        </w:rPr>
        <w:t>负责中国国际贸易促进委员会的日常管理工作</w:t>
      </w:r>
    </w:p>
    <w:p>
      <w:pPr>
        <w:widowControl/>
        <w:ind w:firstLine="560" w:firstLineChars="200"/>
        <w:jc w:val="left"/>
        <w:outlineLvl w:val="1"/>
        <w:rPr>
          <w:rFonts w:ascii="宋体" w:cs="宋体"/>
          <w:kern w:val="0"/>
          <w:sz w:val="28"/>
          <w:szCs w:val="28"/>
        </w:rPr>
      </w:pPr>
      <w:r>
        <w:rPr>
          <w:rFonts w:ascii="宋体" w:hAnsi="宋体" w:cs="宋体"/>
          <w:kern w:val="0"/>
          <w:sz w:val="28"/>
          <w:szCs w:val="28"/>
        </w:rPr>
        <w:t>(</w:t>
      </w:r>
      <w:r>
        <w:rPr>
          <w:rFonts w:hint="eastAsia" w:ascii="宋体" w:hAnsi="宋体" w:cs="宋体"/>
          <w:kern w:val="0"/>
          <w:sz w:val="28"/>
          <w:szCs w:val="28"/>
        </w:rPr>
        <w:t>十</w:t>
      </w:r>
      <w:r>
        <w:rPr>
          <w:rFonts w:ascii="宋体" w:hAnsi="宋体" w:cs="宋体"/>
          <w:kern w:val="0"/>
          <w:sz w:val="28"/>
          <w:szCs w:val="28"/>
        </w:rPr>
        <w:t>)</w:t>
      </w:r>
      <w:r>
        <w:rPr>
          <w:rFonts w:hint="eastAsia" w:ascii="宋体" w:hAnsi="宋体" w:cs="宋体"/>
          <w:kern w:val="0"/>
          <w:sz w:val="28"/>
          <w:szCs w:val="28"/>
        </w:rPr>
        <w:t>指导商贸流通行业协会、学会等社团组织工作。</w:t>
      </w:r>
    </w:p>
    <w:p>
      <w:pPr>
        <w:widowControl/>
        <w:ind w:firstLine="560" w:firstLineChars="200"/>
        <w:jc w:val="left"/>
        <w:outlineLvl w:val="1"/>
        <w:rPr>
          <w:rFonts w:ascii="宋体" w:cs="宋体"/>
          <w:kern w:val="0"/>
          <w:sz w:val="28"/>
          <w:szCs w:val="28"/>
        </w:rPr>
      </w:pPr>
      <w:r>
        <w:rPr>
          <w:rFonts w:ascii="宋体" w:hAnsi="宋体" w:cs="宋体"/>
          <w:kern w:val="0"/>
          <w:sz w:val="28"/>
          <w:szCs w:val="28"/>
        </w:rPr>
        <w:t>(</w:t>
      </w:r>
      <w:r>
        <w:rPr>
          <w:rFonts w:hint="eastAsia" w:ascii="宋体" w:hAnsi="宋体" w:cs="宋体"/>
          <w:kern w:val="0"/>
          <w:sz w:val="28"/>
          <w:szCs w:val="28"/>
        </w:rPr>
        <w:t>十一</w:t>
      </w:r>
      <w:r>
        <w:rPr>
          <w:rFonts w:ascii="宋体" w:hAnsi="宋体" w:cs="宋体"/>
          <w:kern w:val="0"/>
          <w:sz w:val="28"/>
          <w:szCs w:val="28"/>
        </w:rPr>
        <w:t>)</w:t>
      </w:r>
      <w:r>
        <w:rPr>
          <w:rFonts w:hint="eastAsia" w:ascii="宋体" w:hAnsi="宋体" w:cs="宋体"/>
          <w:kern w:val="0"/>
          <w:sz w:val="28"/>
          <w:szCs w:val="28"/>
        </w:rPr>
        <w:t>承办政府交办的其他事项。</w:t>
      </w:r>
    </w:p>
    <w:p>
      <w:pPr>
        <w:widowControl/>
        <w:ind w:firstLine="560" w:firstLineChars="200"/>
        <w:jc w:val="left"/>
        <w:outlineLvl w:val="1"/>
        <w:rPr>
          <w:rFonts w:ascii="宋体" w:cs="宋体"/>
          <w:kern w:val="0"/>
          <w:sz w:val="28"/>
          <w:szCs w:val="28"/>
        </w:rPr>
      </w:pPr>
      <w:r>
        <w:rPr>
          <w:rFonts w:hint="eastAsia" w:ascii="宋体" w:hAnsi="宋体" w:cs="宋体"/>
          <w:kern w:val="0"/>
          <w:sz w:val="28"/>
          <w:szCs w:val="28"/>
        </w:rPr>
        <w:t>二、机构设置</w:t>
      </w:r>
    </w:p>
    <w:p>
      <w:pPr>
        <w:widowControl/>
        <w:ind w:firstLine="560" w:firstLineChars="200"/>
        <w:jc w:val="left"/>
        <w:outlineLvl w:val="1"/>
        <w:rPr>
          <w:rFonts w:ascii="宋体" w:cs="宋体"/>
          <w:kern w:val="0"/>
          <w:sz w:val="28"/>
          <w:szCs w:val="28"/>
        </w:rPr>
      </w:pPr>
      <w:r>
        <w:rPr>
          <w:rFonts w:hint="eastAsia" w:ascii="宋体" w:hAnsi="宋体" w:cs="宋体"/>
          <w:kern w:val="0"/>
          <w:sz w:val="28"/>
          <w:szCs w:val="28"/>
        </w:rPr>
        <w:t>根据上述职责，商务局内设</w:t>
      </w:r>
      <w:r>
        <w:rPr>
          <w:rFonts w:ascii="宋体" w:hAnsi="宋体" w:cs="宋体"/>
          <w:kern w:val="0"/>
          <w:sz w:val="28"/>
          <w:szCs w:val="28"/>
        </w:rPr>
        <w:t>10</w:t>
      </w:r>
      <w:r>
        <w:rPr>
          <w:rFonts w:hint="eastAsia" w:ascii="宋体" w:hAnsi="宋体" w:cs="宋体"/>
          <w:kern w:val="0"/>
          <w:sz w:val="28"/>
          <w:szCs w:val="28"/>
        </w:rPr>
        <w:t>个科室及一个二级机构，分别是办公室（政策法规科）、流通业发展科、市场建设科（电子商务发展科）、市场运行科、招商联络和督查科、市场秩序科、对外贸易科（服务贸易科）、外商投资服务科（对外开放服务办公室）、对外投资和经济合作科（开发区管理科）、市场秩序和监督管理科（</w:t>
      </w:r>
      <w:r>
        <w:rPr>
          <w:rFonts w:ascii="宋体" w:hAnsi="宋体" w:cs="宋体"/>
          <w:kern w:val="0"/>
          <w:sz w:val="28"/>
          <w:szCs w:val="28"/>
        </w:rPr>
        <w:t>12312</w:t>
      </w:r>
      <w:r>
        <w:rPr>
          <w:rFonts w:hint="eastAsia" w:ascii="宋体" w:hAnsi="宋体" w:cs="宋体"/>
          <w:kern w:val="0"/>
          <w:sz w:val="28"/>
          <w:szCs w:val="28"/>
        </w:rPr>
        <w:t>商务举报投诉服务中心）、商务稽查大队。</w:t>
      </w:r>
    </w:p>
    <w:p>
      <w:pPr>
        <w:widowControl/>
        <w:jc w:val="left"/>
        <w:rPr>
          <w:rFonts w:hint="eastAsia" w:ascii="黑体" w:hAnsi="宋体" w:eastAsia="宋体" w:cs="宋体"/>
          <w:kern w:val="0"/>
          <w:sz w:val="28"/>
          <w:szCs w:val="28"/>
          <w:lang w:eastAsia="zh-CN"/>
        </w:rPr>
        <w:sectPr>
          <w:pgSz w:w="11906" w:h="16838"/>
          <w:pgMar w:top="1440" w:right="1800" w:bottom="1440" w:left="1800" w:header="720" w:footer="720" w:gutter="0"/>
          <w:pgNumType w:fmt="numberInDash"/>
          <w:cols w:space="720" w:num="1"/>
          <w:docGrid w:type="lines" w:linePitch="312" w:charSpace="0"/>
        </w:sectPr>
      </w:pPr>
      <w:r>
        <w:rPr>
          <w:rFonts w:hint="eastAsia" w:ascii="宋体" w:hAnsi="宋体"/>
          <w:sz w:val="28"/>
          <w:szCs w:val="28"/>
        </w:rPr>
        <w:t>从决算单位构成看，永城市</w:t>
      </w:r>
      <w:r>
        <w:rPr>
          <w:rFonts w:hint="eastAsia" w:ascii="宋体" w:hAnsi="宋体"/>
          <w:sz w:val="28"/>
          <w:szCs w:val="28"/>
          <w:lang w:val="en-US" w:eastAsia="zh-CN"/>
        </w:rPr>
        <w:t>商务</w:t>
      </w:r>
      <w:r>
        <w:rPr>
          <w:rFonts w:hint="eastAsia" w:ascii="宋体" w:hAnsi="宋体"/>
          <w:sz w:val="28"/>
          <w:szCs w:val="28"/>
        </w:rPr>
        <w:t>局部门决算包括：本级决算</w:t>
      </w:r>
      <w:r>
        <w:rPr>
          <w:rFonts w:hint="eastAsia" w:ascii="宋体" w:hAnsi="宋体"/>
          <w:sz w:val="28"/>
          <w:szCs w:val="28"/>
          <w:lang w:eastAsia="zh-CN"/>
        </w:rPr>
        <w:t>。</w:t>
      </w:r>
      <w:bookmarkStart w:id="0" w:name="_GoBack"/>
      <w:bookmarkEnd w:id="0"/>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w:t>
      </w:r>
      <w:r>
        <w:rPr>
          <w:rFonts w:ascii="黑体" w:hAnsi="黑体" w:eastAsia="黑体" w:cs="黑体"/>
          <w:sz w:val="48"/>
          <w:szCs w:val="48"/>
        </w:rPr>
        <w:t xml:space="preserve">  2019</w:t>
      </w:r>
      <w:r>
        <w:rPr>
          <w:rFonts w:hint="eastAsia" w:ascii="黑体" w:hAnsi="黑体" w:eastAsia="黑体" w:cs="黑体"/>
          <w:sz w:val="48"/>
          <w:szCs w:val="48"/>
        </w:rPr>
        <w:t>年度部门决算表</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8"/>
        <w:tblW w:w="0" w:type="auto"/>
        <w:tblInd w:w="0" w:type="dxa"/>
        <w:tblLayout w:type="fixed"/>
        <w:tblCellMar>
          <w:top w:w="0" w:type="dxa"/>
          <w:left w:w="0" w:type="dxa"/>
          <w:bottom w:w="0" w:type="dxa"/>
          <w:right w:w="0" w:type="dxa"/>
        </w:tblCellMar>
      </w:tblPr>
      <w:tblGrid>
        <w:gridCol w:w="4279"/>
        <w:gridCol w:w="825"/>
        <w:gridCol w:w="1764"/>
        <w:gridCol w:w="4671"/>
        <w:gridCol w:w="750"/>
        <w:gridCol w:w="1699"/>
      </w:tblGrid>
      <w:tr>
        <w:tblPrEx>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tblPrEx>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01</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282"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部门：永城市商务局</w:t>
            </w: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43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支出</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w:t>
            </w:r>
            <w:r>
              <w:rPr>
                <w:rFonts w:ascii="宋体" w:hAnsi="宋体" w:cs="宋体"/>
                <w:color w:val="000000"/>
                <w:kern w:val="0"/>
                <w:sz w:val="20"/>
                <w:szCs w:val="20"/>
              </w:rPr>
              <w:t xml:space="preserve">    </w:t>
            </w:r>
            <w:r>
              <w:rPr>
                <w:rFonts w:hint="eastAsia" w:ascii="宋体" w:hAnsi="宋体" w:cs="宋体"/>
                <w:color w:val="000000"/>
                <w:kern w:val="0"/>
                <w:sz w:val="20"/>
                <w:szCs w:val="20"/>
              </w:rPr>
              <w:t>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w:t>
            </w:r>
            <w:r>
              <w:rPr>
                <w:rFonts w:ascii="宋体" w:hAnsi="宋体" w:cs="宋体"/>
                <w:color w:val="000000"/>
                <w:kern w:val="0"/>
                <w:sz w:val="20"/>
                <w:szCs w:val="20"/>
              </w:rPr>
              <w:t xml:space="preserve">    </w:t>
            </w:r>
            <w:r>
              <w:rPr>
                <w:rFonts w:hint="eastAsia" w:ascii="宋体" w:hAnsi="宋体" w:cs="宋体"/>
                <w:color w:val="000000"/>
                <w:kern w:val="0"/>
                <w:sz w:val="20"/>
                <w:szCs w:val="20"/>
              </w:rPr>
              <w:t>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决算数</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w:t>
            </w:r>
            <w:r>
              <w:rPr>
                <w:rFonts w:ascii="宋体" w:hAnsi="宋体" w:cs="宋体"/>
                <w:color w:val="000000"/>
                <w:kern w:val="0"/>
                <w:sz w:val="20"/>
                <w:szCs w:val="20"/>
              </w:rPr>
              <w:t xml:space="preserve">    </w:t>
            </w:r>
            <w:r>
              <w:rPr>
                <w:rFonts w:hint="eastAsia" w:ascii="宋体" w:hAnsi="宋体" w:cs="宋体"/>
                <w:color w:val="000000"/>
                <w:kern w:val="0"/>
                <w:sz w:val="20"/>
                <w:szCs w:val="20"/>
              </w:rPr>
              <w:t>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w:t>
            </w:r>
            <w:r>
              <w:rPr>
                <w:rFonts w:ascii="宋体" w:hAnsi="宋体" w:cs="宋体"/>
                <w:color w:val="000000"/>
                <w:kern w:val="0"/>
                <w:sz w:val="20"/>
                <w:szCs w:val="20"/>
              </w:rPr>
              <w:t xml:space="preserve">    </w:t>
            </w:r>
            <w:r>
              <w:rPr>
                <w:rFonts w:hint="eastAsia" w:ascii="宋体" w:hAnsi="宋体" w:cs="宋体"/>
                <w:color w:val="000000"/>
                <w:kern w:val="0"/>
                <w:sz w:val="20"/>
                <w:szCs w:val="20"/>
              </w:rPr>
              <w:t>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一、财政拨款收入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629.43</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14</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850.43</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二、外交支出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15</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384"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三、事业收入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三、国防支出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16</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294"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四、经营收入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四、公共安全支出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17</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354"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五、附属单位上缴收入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五、教育支出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18</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六、其他收入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六、科学技术支出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19</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287"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7</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七、社会保障和就业支出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20</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197" w:hRule="atLeast"/>
        </w:trPr>
        <w:tc>
          <w:tcPr>
            <w:tcW w:w="4279"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8</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ascii="宋体" w:cs="宋体"/>
                <w:color w:val="000000"/>
                <w:sz w:val="20"/>
                <w:szCs w:val="20"/>
              </w:rPr>
            </w:pPr>
            <w:r>
              <w:rPr>
                <w:rFonts w:hint="eastAsia" w:ascii="宋体" w:hAnsi="宋体" w:cs="宋体"/>
                <w:color w:val="000000"/>
                <w:sz w:val="20"/>
                <w:szCs w:val="20"/>
              </w:rPr>
              <w:t>八、城乡社区支出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21</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239" w:hRule="atLeast"/>
        </w:trPr>
        <w:tc>
          <w:tcPr>
            <w:tcW w:w="4279"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9</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629.43</w:t>
            </w:r>
          </w:p>
        </w:tc>
        <w:tc>
          <w:tcPr>
            <w:tcW w:w="467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22</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仿宋" w:hAnsi="仿宋" w:eastAsia="仿宋" w:cs="仿宋"/>
                <w:b/>
                <w:color w:val="000000"/>
                <w:sz w:val="20"/>
                <w:szCs w:val="20"/>
              </w:rPr>
            </w:pPr>
            <w:r>
              <w:rPr>
                <w:rFonts w:ascii="宋体" w:hAnsi="宋体" w:cs="宋体"/>
                <w:color w:val="000000"/>
                <w:sz w:val="20"/>
                <w:szCs w:val="20"/>
              </w:rPr>
              <w:t>850.43</w:t>
            </w:r>
          </w:p>
        </w:tc>
      </w:tr>
      <w:tr>
        <w:tblPrEx>
          <w:tblCellMar>
            <w:top w:w="0" w:type="dxa"/>
            <w:left w:w="0" w:type="dxa"/>
            <w:bottom w:w="0" w:type="dxa"/>
            <w:right w:w="0" w:type="dxa"/>
          </w:tblCellMar>
        </w:tblPrEx>
        <w:trPr>
          <w:trHeight w:val="369" w:hRule="atLeast"/>
        </w:trPr>
        <w:tc>
          <w:tcPr>
            <w:tcW w:w="4279"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用事业基金弥补收支差额</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23</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324" w:hRule="atLeast"/>
        </w:trPr>
        <w:tc>
          <w:tcPr>
            <w:tcW w:w="4279"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11</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221</w:t>
            </w:r>
          </w:p>
        </w:tc>
        <w:tc>
          <w:tcPr>
            <w:tcW w:w="467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24</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274" w:hRule="atLeast"/>
        </w:trPr>
        <w:tc>
          <w:tcPr>
            <w:tcW w:w="4279" w:type="dxa"/>
            <w:tcBorders>
              <w:top w:val="single" w:color="000000" w:sz="4" w:space="0"/>
              <w:left w:val="single" w:color="000000" w:sz="8" w:space="0"/>
              <w:bottom w:val="nil"/>
              <w:right w:val="nil"/>
            </w:tcBorders>
            <w:noWrap/>
            <w:tcMar>
              <w:top w:w="15" w:type="dxa"/>
              <w:left w:w="15" w:type="dxa"/>
              <w:right w:w="15" w:type="dxa"/>
            </w:tcMar>
            <w:vAlign w:val="center"/>
          </w:tcPr>
          <w:p>
            <w:pPr>
              <w:jc w:val="left"/>
              <w:rPr>
                <w:rFonts w:asci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12</w:t>
            </w:r>
          </w:p>
        </w:tc>
        <w:tc>
          <w:tcPr>
            <w:tcW w:w="176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nil"/>
              <w:right w:val="nil"/>
            </w:tcBorders>
            <w:noWrap/>
            <w:tcMar>
              <w:top w:w="15" w:type="dxa"/>
              <w:left w:w="15" w:type="dxa"/>
              <w:right w:w="15" w:type="dxa"/>
            </w:tcMar>
            <w:vAlign w:val="center"/>
          </w:tcPr>
          <w:p>
            <w:pPr>
              <w:jc w:val="center"/>
              <w:rPr>
                <w:rFonts w:asci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25</w:t>
            </w:r>
          </w:p>
        </w:tc>
        <w:tc>
          <w:tcPr>
            <w:tcW w:w="1699" w:type="dxa"/>
            <w:tcBorders>
              <w:top w:val="single" w:color="000000" w:sz="4" w:space="0"/>
              <w:left w:val="nil"/>
              <w:bottom w:val="nil"/>
              <w:right w:val="single" w:color="000000" w:sz="8" w:space="0"/>
            </w:tcBorders>
            <w:noWrap/>
            <w:tcMar>
              <w:top w:w="15" w:type="dxa"/>
              <w:left w:w="15" w:type="dxa"/>
              <w:right w:w="15"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90" w:hRule="atLeast"/>
        </w:trPr>
        <w:tc>
          <w:tcPr>
            <w:tcW w:w="4279"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13</w:t>
            </w:r>
          </w:p>
        </w:tc>
        <w:tc>
          <w:tcPr>
            <w:tcW w:w="1764"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850.43</w:t>
            </w:r>
          </w:p>
        </w:tc>
        <w:tc>
          <w:tcPr>
            <w:tcW w:w="4671"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26</w:t>
            </w:r>
          </w:p>
        </w:tc>
        <w:tc>
          <w:tcPr>
            <w:tcW w:w="1699"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jc w:val="center"/>
              <w:rPr>
                <w:rFonts w:ascii="仿宋" w:hAnsi="仿宋" w:eastAsia="仿宋" w:cs="仿宋"/>
                <w:b/>
                <w:color w:val="000000"/>
                <w:sz w:val="20"/>
                <w:szCs w:val="20"/>
              </w:rPr>
            </w:pPr>
            <w:r>
              <w:rPr>
                <w:rFonts w:ascii="宋体" w:hAnsi="宋体" w:cs="宋体"/>
                <w:color w:val="000000"/>
                <w:sz w:val="20"/>
                <w:szCs w:val="20"/>
              </w:rPr>
              <w:t>850.43</w:t>
            </w:r>
          </w:p>
        </w:tc>
      </w:tr>
      <w:tr>
        <w:tblPrEx>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注：本表反映部门本年度的总收支和年末结转结余情况。本表金额转换为万元时，因四舍五入可能存在尾差。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0" w:type="auto"/>
        <w:tblInd w:w="0" w:type="dxa"/>
        <w:tblLayout w:type="fixed"/>
        <w:tblCellMar>
          <w:top w:w="0" w:type="dxa"/>
          <w:left w:w="0" w:type="dxa"/>
          <w:bottom w:w="0" w:type="dxa"/>
          <w:right w:w="0" w:type="dxa"/>
        </w:tblCellMar>
      </w:tblPr>
      <w:tblGrid>
        <w:gridCol w:w="846"/>
        <w:gridCol w:w="240"/>
        <w:gridCol w:w="1271"/>
        <w:gridCol w:w="1553"/>
        <w:gridCol w:w="88"/>
        <w:gridCol w:w="1465"/>
        <w:gridCol w:w="176"/>
        <w:gridCol w:w="1377"/>
        <w:gridCol w:w="264"/>
        <w:gridCol w:w="1289"/>
        <w:gridCol w:w="352"/>
        <w:gridCol w:w="1201"/>
        <w:gridCol w:w="440"/>
        <w:gridCol w:w="1113"/>
        <w:gridCol w:w="528"/>
        <w:gridCol w:w="1642"/>
      </w:tblGrid>
      <w:tr>
        <w:tblPrEx>
          <w:tblCellMar>
            <w:top w:w="0" w:type="dxa"/>
            <w:left w:w="0" w:type="dxa"/>
            <w:bottom w:w="0" w:type="dxa"/>
            <w:right w:w="0" w:type="dxa"/>
          </w:tblCellMar>
        </w:tblPrEx>
        <w:trPr>
          <w:trHeight w:val="435" w:hRule="atLeast"/>
        </w:trPr>
        <w:tc>
          <w:tcPr>
            <w:tcW w:w="13845" w:type="dxa"/>
            <w:gridSpan w:val="1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收入决算表</w:t>
            </w:r>
          </w:p>
        </w:tc>
      </w:tr>
      <w:tr>
        <w:tblPrEx>
          <w:tblCellMar>
            <w:top w:w="0" w:type="dxa"/>
            <w:left w:w="0" w:type="dxa"/>
            <w:bottom w:w="0" w:type="dxa"/>
            <w:right w:w="0" w:type="dxa"/>
          </w:tblCellMar>
        </w:tblPrEx>
        <w:trPr>
          <w:trHeight w:val="285" w:hRule="atLeast"/>
        </w:trPr>
        <w:tc>
          <w:tcPr>
            <w:tcW w:w="846"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24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27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55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02</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300" w:hRule="atLeast"/>
        </w:trPr>
        <w:tc>
          <w:tcPr>
            <w:tcW w:w="846" w:type="dxa"/>
            <w:tcBorders>
              <w:top w:val="nil"/>
              <w:left w:val="nil"/>
              <w:bottom w:val="nil"/>
              <w:right w:val="nil"/>
            </w:tcBorders>
            <w:shd w:val="clear" w:color="auto" w:fill="FFFFFF"/>
            <w:noWrap/>
            <w:tcMar>
              <w:top w:w="15" w:type="dxa"/>
              <w:left w:w="15" w:type="dxa"/>
              <w:right w:w="15" w:type="dxa"/>
            </w:tcMar>
            <w:vAlign w:val="center"/>
          </w:tcPr>
          <w:p>
            <w:pPr>
              <w:widowControl/>
              <w:tabs>
                <w:tab w:val="center" w:pos="498"/>
              </w:tabs>
              <w:jc w:val="left"/>
              <w:textAlignment w:val="center"/>
              <w:rPr>
                <w:rFonts w:ascii="宋体" w:cs="宋体"/>
                <w:color w:val="000000"/>
                <w:sz w:val="20"/>
                <w:szCs w:val="20"/>
              </w:rPr>
            </w:pPr>
            <w:r>
              <w:rPr>
                <w:rFonts w:hint="eastAsia" w:ascii="宋体" w:hAnsi="宋体" w:cs="宋体"/>
                <w:color w:val="000000"/>
                <w:kern w:val="0"/>
                <w:sz w:val="20"/>
                <w:szCs w:val="20"/>
              </w:rPr>
              <w:t>部门：</w:t>
            </w:r>
          </w:p>
        </w:tc>
        <w:tc>
          <w:tcPr>
            <w:tcW w:w="24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27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eastAsia="宋体" w:cs="宋体"/>
                <w:color w:val="000000"/>
                <w:sz w:val="20"/>
                <w:szCs w:val="20"/>
                <w:lang w:eastAsia="zh-CN"/>
              </w:rPr>
            </w:pPr>
            <w:r>
              <w:rPr>
                <w:rFonts w:hint="eastAsia" w:ascii="宋体" w:cs="宋体"/>
                <w:color w:val="000000"/>
                <w:sz w:val="20"/>
                <w:szCs w:val="20"/>
                <w:lang w:eastAsia="zh-CN"/>
              </w:rPr>
              <w:t>永城市商务局</w:t>
            </w:r>
          </w:p>
        </w:tc>
        <w:tc>
          <w:tcPr>
            <w:tcW w:w="155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450" w:hRule="atLeast"/>
        </w:trPr>
        <w:tc>
          <w:tcPr>
            <w:tcW w:w="2357" w:type="dxa"/>
            <w:gridSpan w:val="3"/>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w:t>
            </w:r>
            <w:r>
              <w:rPr>
                <w:rFonts w:ascii="宋体" w:hAnsi="宋体" w:cs="宋体"/>
                <w:color w:val="000000"/>
                <w:kern w:val="0"/>
                <w:sz w:val="20"/>
                <w:szCs w:val="20"/>
              </w:rPr>
              <w:t xml:space="preserve">    </w:t>
            </w:r>
            <w:r>
              <w:rPr>
                <w:rFonts w:hint="eastAsia" w:ascii="宋体" w:hAnsi="宋体" w:cs="宋体"/>
                <w:color w:val="000000"/>
                <w:kern w:val="0"/>
                <w:sz w:val="20"/>
                <w:szCs w:val="20"/>
              </w:rPr>
              <w:t>目</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本年收入合计</w:t>
            </w:r>
          </w:p>
        </w:tc>
        <w:tc>
          <w:tcPr>
            <w:tcW w:w="1641" w:type="dxa"/>
            <w:gridSpan w:val="2"/>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其他收入</w:t>
            </w:r>
          </w:p>
        </w:tc>
      </w:tr>
      <w:tr>
        <w:tblPrEx>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科目编码</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235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7</w:t>
            </w:r>
          </w:p>
        </w:tc>
      </w:tr>
      <w:tr>
        <w:tblPrEx>
          <w:tblCellMar>
            <w:top w:w="0" w:type="dxa"/>
            <w:left w:w="0" w:type="dxa"/>
            <w:bottom w:w="0" w:type="dxa"/>
            <w:right w:w="0" w:type="dxa"/>
          </w:tblCellMar>
        </w:tblPrEx>
        <w:trPr>
          <w:trHeight w:val="450" w:hRule="atLeast"/>
        </w:trPr>
        <w:tc>
          <w:tcPr>
            <w:tcW w:w="2357"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r>
              <w:rPr>
                <w:rFonts w:ascii="宋体" w:hAnsi="宋体" w:cs="宋体"/>
                <w:color w:val="000000"/>
                <w:sz w:val="20"/>
                <w:szCs w:val="20"/>
              </w:rPr>
              <w:t>201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r>
              <w:rPr>
                <w:rFonts w:hint="eastAsia" w:ascii="宋体" w:hAnsi="宋体" w:cs="宋体"/>
                <w:color w:val="000000"/>
                <w:sz w:val="20"/>
                <w:szCs w:val="20"/>
              </w:rPr>
              <w:t>一般公共服务支出</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629.43</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629.43</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r>
              <w:rPr>
                <w:rFonts w:ascii="宋体" w:hAnsi="宋体" w:cs="宋体"/>
                <w:color w:val="000000"/>
                <w:sz w:val="20"/>
                <w:szCs w:val="20"/>
              </w:rPr>
              <w:t>20113</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r>
              <w:rPr>
                <w:rFonts w:hint="eastAsia" w:ascii="宋体" w:hAnsi="宋体" w:cs="宋体"/>
                <w:color w:val="000000"/>
                <w:sz w:val="20"/>
                <w:szCs w:val="20"/>
              </w:rPr>
              <w:t>商贸事务</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华文中宋" w:hAnsi="华文中宋" w:eastAsia="华文中宋" w:cs="华文中宋"/>
                <w:color w:val="000000"/>
                <w:sz w:val="20"/>
                <w:szCs w:val="20"/>
              </w:rPr>
            </w:pPr>
            <w:r>
              <w:rPr>
                <w:rFonts w:ascii="宋体" w:hAnsi="宋体" w:cs="宋体"/>
                <w:color w:val="000000"/>
                <w:sz w:val="20"/>
                <w:szCs w:val="20"/>
              </w:rPr>
              <w:t>629.43</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429"/>
              </w:tabs>
              <w:jc w:val="center"/>
              <w:rPr>
                <w:rFonts w:ascii="宋体" w:cs="宋体"/>
                <w:color w:val="000000"/>
                <w:sz w:val="20"/>
                <w:szCs w:val="20"/>
              </w:rPr>
            </w:pPr>
            <w:r>
              <w:rPr>
                <w:rFonts w:ascii="宋体" w:hAnsi="宋体" w:cs="宋体"/>
                <w:color w:val="000000"/>
                <w:sz w:val="20"/>
                <w:szCs w:val="20"/>
              </w:rPr>
              <w:t>629.43</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r>
              <w:rPr>
                <w:rFonts w:ascii="宋体" w:hAnsi="宋体" w:cs="宋体"/>
                <w:color w:val="000000"/>
                <w:sz w:val="20"/>
                <w:szCs w:val="20"/>
              </w:rPr>
              <w:t>2011301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r>
              <w:rPr>
                <w:rFonts w:hint="eastAsia" w:ascii="宋体" w:hAnsi="宋体" w:cs="宋体"/>
                <w:color w:val="000000"/>
                <w:sz w:val="20"/>
                <w:szCs w:val="20"/>
              </w:rPr>
              <w:t>行政运行</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629.43</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629.43</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trHeight w:val="615" w:hRule="atLeast"/>
        </w:trPr>
        <w:tc>
          <w:tcPr>
            <w:tcW w:w="13845" w:type="dxa"/>
            <w:gridSpan w:val="16"/>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注：本表反映部门本年度取得的各项收入情况。本表金额转换为万元时，因四舍五入可能存在尾差。</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0" w:type="auto"/>
        <w:tblInd w:w="0" w:type="dxa"/>
        <w:tblLayout w:type="fixed"/>
        <w:tblCellMar>
          <w:top w:w="0" w:type="dxa"/>
          <w:left w:w="0" w:type="dxa"/>
          <w:bottom w:w="0" w:type="dxa"/>
          <w:right w:w="0" w:type="dxa"/>
        </w:tblCellMar>
      </w:tblPr>
      <w:tblGrid>
        <w:gridCol w:w="1120"/>
        <w:gridCol w:w="63"/>
        <w:gridCol w:w="27"/>
        <w:gridCol w:w="1349"/>
        <w:gridCol w:w="1774"/>
        <w:gridCol w:w="130"/>
        <w:gridCol w:w="1672"/>
        <w:gridCol w:w="232"/>
        <w:gridCol w:w="1569"/>
        <w:gridCol w:w="335"/>
        <w:gridCol w:w="1467"/>
        <w:gridCol w:w="437"/>
        <w:gridCol w:w="1364"/>
        <w:gridCol w:w="540"/>
        <w:gridCol w:w="1909"/>
      </w:tblGrid>
      <w:tr>
        <w:tblPrEx>
          <w:tblCellMar>
            <w:top w:w="0" w:type="dxa"/>
            <w:left w:w="0" w:type="dxa"/>
            <w:bottom w:w="0" w:type="dxa"/>
            <w:right w:w="0" w:type="dxa"/>
          </w:tblCellMar>
        </w:tblPrEx>
        <w:trPr>
          <w:trHeight w:val="435" w:hRule="atLeast"/>
        </w:trPr>
        <w:tc>
          <w:tcPr>
            <w:tcW w:w="13988" w:type="dxa"/>
            <w:gridSpan w:val="15"/>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支出决算表</w:t>
            </w:r>
          </w:p>
        </w:tc>
      </w:tr>
      <w:tr>
        <w:tblPrEx>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9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34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77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03</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300" w:hRule="atLeast"/>
        </w:trPr>
        <w:tc>
          <w:tcPr>
            <w:tcW w:w="1120"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部门：</w:t>
            </w:r>
          </w:p>
        </w:tc>
        <w:tc>
          <w:tcPr>
            <w:tcW w:w="9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34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eastAsia="宋体" w:cs="宋体"/>
                <w:color w:val="000000"/>
                <w:sz w:val="20"/>
                <w:szCs w:val="20"/>
                <w:lang w:eastAsia="zh-CN"/>
              </w:rPr>
            </w:pPr>
            <w:r>
              <w:rPr>
                <w:rFonts w:hint="eastAsia" w:ascii="宋体" w:cs="宋体"/>
                <w:color w:val="000000"/>
                <w:sz w:val="20"/>
                <w:szCs w:val="20"/>
                <w:lang w:eastAsia="zh-CN"/>
              </w:rPr>
              <w:t>永城市商务局</w:t>
            </w:r>
          </w:p>
        </w:tc>
        <w:tc>
          <w:tcPr>
            <w:tcW w:w="177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450" w:hRule="atLeast"/>
        </w:trPr>
        <w:tc>
          <w:tcPr>
            <w:tcW w:w="2559" w:type="dxa"/>
            <w:gridSpan w:val="4"/>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w:t>
            </w:r>
            <w:r>
              <w:rPr>
                <w:rFonts w:ascii="宋体" w:hAnsi="宋体" w:cs="宋体"/>
                <w:color w:val="000000"/>
                <w:kern w:val="0"/>
                <w:sz w:val="20"/>
                <w:szCs w:val="20"/>
              </w:rPr>
              <w:t xml:space="preserve">    </w:t>
            </w:r>
            <w:r>
              <w:rPr>
                <w:rFonts w:hint="eastAsia" w:ascii="宋体" w:hAnsi="宋体" w:cs="宋体"/>
                <w:color w:val="000000"/>
                <w:kern w:val="0"/>
                <w:sz w:val="20"/>
                <w:szCs w:val="20"/>
              </w:rPr>
              <w:t>目</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本年支出合计</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上缴上级支出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经营支出</w:t>
            </w:r>
          </w:p>
        </w:tc>
        <w:tc>
          <w:tcPr>
            <w:tcW w:w="1909"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对附属单位补助支出</w:t>
            </w:r>
          </w:p>
        </w:tc>
      </w:tr>
      <w:tr>
        <w:tblPrEx>
          <w:tblCellMar>
            <w:top w:w="0" w:type="dxa"/>
            <w:left w:w="0" w:type="dxa"/>
            <w:bottom w:w="0" w:type="dxa"/>
            <w:right w:w="0" w:type="dxa"/>
          </w:tblCellMar>
        </w:tblPrEx>
        <w:trPr>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科目编码</w:t>
            </w:r>
          </w:p>
        </w:tc>
        <w:tc>
          <w:tcPr>
            <w:tcW w:w="13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3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2559" w:type="dxa"/>
            <w:gridSpan w:val="4"/>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190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w:t>
            </w:r>
          </w:p>
        </w:tc>
      </w:tr>
      <w:tr>
        <w:tblPrEx>
          <w:tblCellMar>
            <w:top w:w="0" w:type="dxa"/>
            <w:left w:w="0" w:type="dxa"/>
            <w:bottom w:w="0" w:type="dxa"/>
            <w:right w:w="0" w:type="dxa"/>
          </w:tblCellMar>
        </w:tblPrEx>
        <w:trPr>
          <w:trHeight w:val="450" w:hRule="atLeast"/>
        </w:trPr>
        <w:tc>
          <w:tcPr>
            <w:tcW w:w="2559" w:type="dxa"/>
            <w:gridSpan w:val="4"/>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ascii="宋体" w:cs="宋体"/>
                <w:color w:val="000000"/>
                <w:sz w:val="20"/>
                <w:szCs w:val="20"/>
              </w:rPr>
            </w:pPr>
            <w:r>
              <w:rPr>
                <w:rFonts w:ascii="宋体" w:hAnsi="宋体" w:cs="宋体"/>
                <w:color w:val="000000"/>
                <w:sz w:val="20"/>
                <w:szCs w:val="20"/>
              </w:rPr>
              <w:t>201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r>
              <w:rPr>
                <w:rFonts w:hint="eastAsia" w:ascii="宋体" w:hAnsi="宋体" w:cs="宋体"/>
                <w:color w:val="000000"/>
                <w:sz w:val="20"/>
                <w:szCs w:val="20"/>
              </w:rPr>
              <w:t>一般公共服务支出</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850.43</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850.43</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ascii="宋体" w:cs="宋体"/>
                <w:color w:val="000000"/>
                <w:sz w:val="20"/>
                <w:szCs w:val="20"/>
              </w:rPr>
            </w:pPr>
            <w:r>
              <w:rPr>
                <w:rFonts w:ascii="宋体" w:hAnsi="宋体" w:cs="宋体"/>
                <w:color w:val="000000"/>
                <w:sz w:val="20"/>
                <w:szCs w:val="20"/>
              </w:rPr>
              <w:t>20113</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r>
              <w:rPr>
                <w:rFonts w:hint="eastAsia" w:ascii="宋体" w:hAnsi="宋体" w:cs="宋体"/>
                <w:color w:val="000000"/>
                <w:sz w:val="20"/>
                <w:szCs w:val="20"/>
              </w:rPr>
              <w:t>商贸事务</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华文中宋" w:hAnsi="华文中宋" w:eastAsia="华文中宋" w:cs="华文中宋"/>
                <w:color w:val="000000"/>
                <w:sz w:val="20"/>
                <w:szCs w:val="20"/>
              </w:rPr>
            </w:pPr>
            <w:r>
              <w:rPr>
                <w:rFonts w:ascii="宋体" w:hAnsi="宋体" w:cs="宋体"/>
                <w:color w:val="000000"/>
                <w:sz w:val="20"/>
                <w:szCs w:val="20"/>
              </w:rPr>
              <w:t>850.43</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429"/>
              </w:tabs>
              <w:jc w:val="center"/>
              <w:rPr>
                <w:rFonts w:ascii="宋体" w:cs="宋体"/>
                <w:color w:val="000000"/>
                <w:sz w:val="20"/>
                <w:szCs w:val="20"/>
              </w:rPr>
            </w:pPr>
            <w:r>
              <w:rPr>
                <w:rFonts w:ascii="宋体" w:hAnsi="宋体" w:cs="宋体"/>
                <w:color w:val="000000"/>
                <w:sz w:val="20"/>
                <w:szCs w:val="20"/>
              </w:rPr>
              <w:t>850.43</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ascii="宋体" w:cs="宋体"/>
                <w:color w:val="000000"/>
                <w:sz w:val="20"/>
                <w:szCs w:val="20"/>
              </w:rPr>
            </w:pPr>
            <w:r>
              <w:rPr>
                <w:rFonts w:ascii="宋体" w:hAnsi="宋体" w:cs="宋体"/>
                <w:color w:val="000000"/>
                <w:sz w:val="20"/>
                <w:szCs w:val="20"/>
              </w:rPr>
              <w:t>2011301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r>
              <w:rPr>
                <w:rFonts w:hint="eastAsia" w:ascii="宋体" w:hAnsi="宋体" w:cs="宋体"/>
                <w:color w:val="000000"/>
                <w:sz w:val="20"/>
                <w:szCs w:val="20"/>
              </w:rPr>
              <w:t>行政运行</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850.43</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850.43</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trHeight w:val="630" w:hRule="atLeast"/>
        </w:trPr>
        <w:tc>
          <w:tcPr>
            <w:tcW w:w="13988" w:type="dxa"/>
            <w:gridSpan w:val="15"/>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注：本表反映部门本年度各项支出情况。本表金额转换为万元时，因四舍五入可能存在尾差。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0" w:type="auto"/>
        <w:tblInd w:w="0" w:type="dxa"/>
        <w:tblLayout w:type="fixed"/>
        <w:tblCellMar>
          <w:top w:w="0" w:type="dxa"/>
          <w:left w:w="0" w:type="dxa"/>
          <w:bottom w:w="0" w:type="dxa"/>
          <w:right w:w="0" w:type="dxa"/>
        </w:tblCellMar>
      </w:tblPr>
      <w:tblGrid>
        <w:gridCol w:w="3994"/>
        <w:gridCol w:w="720"/>
        <w:gridCol w:w="1210"/>
        <w:gridCol w:w="3400"/>
        <w:gridCol w:w="597"/>
        <w:gridCol w:w="708"/>
        <w:gridCol w:w="1343"/>
        <w:gridCol w:w="336"/>
        <w:gridCol w:w="1680"/>
      </w:tblGrid>
      <w:tr>
        <w:tblPrEx>
          <w:tblCellMar>
            <w:top w:w="0" w:type="dxa"/>
            <w:left w:w="0" w:type="dxa"/>
            <w:bottom w:w="0" w:type="dxa"/>
            <w:right w:w="0" w:type="dxa"/>
          </w:tblCellMar>
        </w:tblPrEx>
        <w:trPr>
          <w:trHeight w:val="360"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财政拨款收入支出决算总表</w:t>
            </w:r>
          </w:p>
        </w:tc>
      </w:tr>
      <w:tr>
        <w:tblPrEx>
          <w:tblCellMar>
            <w:top w:w="0" w:type="dxa"/>
            <w:left w:w="0" w:type="dxa"/>
            <w:bottom w:w="0" w:type="dxa"/>
            <w:right w:w="0" w:type="dxa"/>
          </w:tblCellMar>
        </w:tblPrEx>
        <w:trPr>
          <w:trHeight w:val="199" w:hRule="atLeast"/>
        </w:trPr>
        <w:tc>
          <w:tcPr>
            <w:tcW w:w="399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72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340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59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708"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34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04</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300" w:hRule="atLeast"/>
        </w:trPr>
        <w:tc>
          <w:tcPr>
            <w:tcW w:w="3994"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部门：永城市商务局</w:t>
            </w:r>
          </w:p>
        </w:tc>
        <w:tc>
          <w:tcPr>
            <w:tcW w:w="72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340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59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708"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34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402"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收入</w:t>
            </w:r>
          </w:p>
        </w:tc>
        <w:tc>
          <w:tcPr>
            <w:tcW w:w="8064" w:type="dxa"/>
            <w:gridSpan w:val="6"/>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支出</w:t>
            </w:r>
          </w:p>
        </w:tc>
      </w:tr>
      <w:tr>
        <w:tblPrEx>
          <w:tblCellMar>
            <w:top w:w="0" w:type="dxa"/>
            <w:left w:w="0" w:type="dxa"/>
            <w:bottom w:w="0" w:type="dxa"/>
            <w:right w:w="0" w:type="dxa"/>
          </w:tblCellMar>
        </w:tblPrEx>
        <w:trPr>
          <w:trHeight w:val="630"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w:t>
            </w:r>
            <w:r>
              <w:rPr>
                <w:rFonts w:ascii="宋体" w:hAnsi="宋体" w:cs="宋体"/>
                <w:color w:val="000000"/>
                <w:kern w:val="0"/>
                <w:sz w:val="20"/>
                <w:szCs w:val="20"/>
              </w:rPr>
              <w:t xml:space="preserve">    </w:t>
            </w:r>
            <w:r>
              <w:rPr>
                <w:rFonts w:hint="eastAsia" w:ascii="宋体" w:hAnsi="宋体" w:cs="宋体"/>
                <w:color w:val="000000"/>
                <w:kern w:val="0"/>
                <w:sz w:val="20"/>
                <w:szCs w:val="20"/>
              </w:rPr>
              <w:t>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金额</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w:t>
            </w:r>
            <w:r>
              <w:rPr>
                <w:rFonts w:ascii="宋体" w:hAnsi="宋体" w:cs="宋体"/>
                <w:color w:val="000000"/>
                <w:kern w:val="0"/>
                <w:sz w:val="20"/>
                <w:szCs w:val="20"/>
              </w:rPr>
              <w:t xml:space="preserve">    </w:t>
            </w:r>
            <w:r>
              <w:rPr>
                <w:rFonts w:hint="eastAsia" w:ascii="宋体" w:hAnsi="宋体" w:cs="宋体"/>
                <w:color w:val="000000"/>
                <w:kern w:val="0"/>
                <w:sz w:val="20"/>
                <w:szCs w:val="20"/>
              </w:rPr>
              <w:t>目</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行次</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16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一般公共预算财政拨款</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政府性基金预算财政拨款</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w:t>
            </w:r>
            <w:r>
              <w:rPr>
                <w:rFonts w:ascii="宋体" w:hAnsi="宋体" w:cs="宋体"/>
                <w:color w:val="000000"/>
                <w:kern w:val="0"/>
                <w:sz w:val="20"/>
                <w:szCs w:val="20"/>
              </w:rPr>
              <w:t xml:space="preserve">    </w:t>
            </w:r>
            <w:r>
              <w:rPr>
                <w:rFonts w:hint="eastAsia" w:ascii="宋体" w:hAnsi="宋体" w:cs="宋体"/>
                <w:color w:val="000000"/>
                <w:kern w:val="0"/>
                <w:sz w:val="20"/>
                <w:szCs w:val="20"/>
              </w:rPr>
              <w:t>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w:t>
            </w:r>
            <w:r>
              <w:rPr>
                <w:rFonts w:ascii="宋体" w:hAnsi="宋体" w:cs="宋体"/>
                <w:color w:val="000000"/>
                <w:kern w:val="0"/>
                <w:sz w:val="20"/>
                <w:szCs w:val="20"/>
              </w:rPr>
              <w:t xml:space="preserve">    </w:t>
            </w:r>
            <w:r>
              <w:rPr>
                <w:rFonts w:hint="eastAsia" w:ascii="宋体" w:hAnsi="宋体" w:cs="宋体"/>
                <w:color w:val="000000"/>
                <w:kern w:val="0"/>
                <w:sz w:val="20"/>
                <w:szCs w:val="20"/>
              </w:rPr>
              <w:t>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168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493"/>
              </w:tabs>
              <w:jc w:val="center"/>
              <w:rPr>
                <w:rFonts w:ascii="宋体" w:cs="宋体"/>
                <w:color w:val="000000"/>
                <w:sz w:val="20"/>
                <w:szCs w:val="20"/>
              </w:rPr>
            </w:pPr>
            <w:r>
              <w:rPr>
                <w:rFonts w:ascii="宋体" w:hAnsi="宋体" w:cs="宋体"/>
                <w:color w:val="000000"/>
                <w:sz w:val="20"/>
                <w:szCs w:val="20"/>
              </w:rPr>
              <w:t>629.43</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一、一般公共服务支出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15</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850.43</w:t>
            </w: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tabs>
                <w:tab w:val="left" w:pos="428"/>
              </w:tabs>
              <w:jc w:val="center"/>
              <w:rPr>
                <w:rFonts w:ascii="宋体" w:cs="宋体"/>
                <w:color w:val="000000"/>
                <w:sz w:val="20"/>
                <w:szCs w:val="20"/>
              </w:rPr>
            </w:pPr>
            <w:r>
              <w:rPr>
                <w:rFonts w:ascii="宋体" w:hAnsi="宋体" w:cs="宋体"/>
                <w:color w:val="000000"/>
                <w:sz w:val="20"/>
                <w:szCs w:val="20"/>
              </w:rPr>
              <w:t>850.43</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二、外交支出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16</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三、国防支出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17</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四、公共安全支出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18</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五、教育支出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19</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六、科学技术支出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20</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本年收入合计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9</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463"/>
              </w:tabs>
              <w:jc w:val="center"/>
              <w:rPr>
                <w:rFonts w:ascii="宋体" w:cs="宋体"/>
                <w:color w:val="000000"/>
                <w:sz w:val="20"/>
                <w:szCs w:val="20"/>
              </w:rPr>
            </w:pPr>
            <w:r>
              <w:rPr>
                <w:rFonts w:ascii="宋体" w:hAnsi="宋体" w:cs="宋体"/>
                <w:color w:val="000000"/>
                <w:sz w:val="20"/>
                <w:szCs w:val="20"/>
              </w:rPr>
              <w:t>629.43</w:t>
            </w: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本年支出合计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23</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rPr>
                <w:rFonts w:ascii="宋体" w:cs="宋体"/>
                <w:color w:val="000000"/>
                <w:sz w:val="20"/>
                <w:szCs w:val="20"/>
              </w:rPr>
            </w:pPr>
            <w:r>
              <w:rPr>
                <w:rFonts w:ascii="宋体" w:hAnsi="宋体" w:cs="宋体"/>
                <w:color w:val="000000"/>
                <w:sz w:val="20"/>
                <w:szCs w:val="20"/>
              </w:rPr>
              <w:t>850.43</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850.43</w:t>
            </w: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b/>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221</w:t>
            </w: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年末财政拨款结转和结余</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24</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11</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asci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25</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12</w:t>
            </w:r>
          </w:p>
        </w:tc>
        <w:tc>
          <w:tcPr>
            <w:tcW w:w="121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3400" w:type="dxa"/>
            <w:tcBorders>
              <w:top w:val="single" w:color="000000" w:sz="4" w:space="0"/>
              <w:left w:val="single" w:color="000000" w:sz="4" w:space="0"/>
              <w:bottom w:val="nil"/>
              <w:right w:val="nil"/>
            </w:tcBorders>
            <w:noWrap/>
            <w:tcMar>
              <w:top w:w="15" w:type="dxa"/>
              <w:left w:w="15" w:type="dxa"/>
              <w:right w:w="15" w:type="dxa"/>
            </w:tcMar>
            <w:vAlign w:val="center"/>
          </w:tcPr>
          <w:p>
            <w:pPr>
              <w:jc w:val="center"/>
              <w:rPr>
                <w:rFonts w:asci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26</w:t>
            </w:r>
          </w:p>
        </w:tc>
        <w:tc>
          <w:tcPr>
            <w:tcW w:w="708"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nil"/>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14</w:t>
            </w:r>
          </w:p>
        </w:tc>
        <w:tc>
          <w:tcPr>
            <w:tcW w:w="1210"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850.43</w:t>
            </w:r>
          </w:p>
        </w:tc>
        <w:tc>
          <w:tcPr>
            <w:tcW w:w="3400"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总计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28</w:t>
            </w:r>
          </w:p>
        </w:tc>
        <w:tc>
          <w:tcPr>
            <w:tcW w:w="708"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850.43</w:t>
            </w:r>
          </w:p>
        </w:tc>
        <w:tc>
          <w:tcPr>
            <w:tcW w:w="1679"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850.43</w:t>
            </w:r>
          </w:p>
        </w:tc>
        <w:tc>
          <w:tcPr>
            <w:tcW w:w="1680"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jc w:val="center"/>
              <w:rPr>
                <w:rFonts w:ascii="宋体" w:cs="宋体"/>
                <w:b/>
                <w:color w:val="000000"/>
                <w:sz w:val="20"/>
                <w:szCs w:val="20"/>
              </w:rPr>
            </w:pPr>
          </w:p>
        </w:tc>
      </w:tr>
      <w:tr>
        <w:tblPrEx>
          <w:tblCellMar>
            <w:top w:w="0" w:type="dxa"/>
            <w:left w:w="0" w:type="dxa"/>
            <w:bottom w:w="0" w:type="dxa"/>
            <w:right w:w="0" w:type="dxa"/>
          </w:tblCellMar>
        </w:tblPrEx>
        <w:trPr>
          <w:trHeight w:val="58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注：本表反映部门本年度一般公共预算财政拨款和政府性基金预算财政拨款的总收支和年末结转结余情况。本表金额转换为万元时，因四舍五入可能存在尾差。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0" w:type="auto"/>
        <w:tblInd w:w="0" w:type="dxa"/>
        <w:tblLayout w:type="fixed"/>
        <w:tblCellMar>
          <w:top w:w="0" w:type="dxa"/>
          <w:left w:w="0" w:type="dxa"/>
          <w:bottom w:w="0" w:type="dxa"/>
          <w:right w:w="0" w:type="dxa"/>
        </w:tblCellMar>
      </w:tblPr>
      <w:tblGrid>
        <w:gridCol w:w="726"/>
        <w:gridCol w:w="688"/>
        <w:gridCol w:w="2225"/>
        <w:gridCol w:w="3449"/>
        <w:gridCol w:w="3449"/>
        <w:gridCol w:w="3451"/>
      </w:tblGrid>
      <w:tr>
        <w:tblPrEx>
          <w:tblCellMar>
            <w:top w:w="0" w:type="dxa"/>
            <w:left w:w="0" w:type="dxa"/>
            <w:bottom w:w="0" w:type="dxa"/>
            <w:right w:w="0" w:type="dxa"/>
          </w:tblCellMar>
        </w:tblPrEx>
        <w:trPr>
          <w:trHeight w:val="600" w:hRule="atLeast"/>
        </w:trPr>
        <w:tc>
          <w:tcPr>
            <w:tcW w:w="13988" w:type="dxa"/>
            <w:gridSpan w:val="6"/>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一般公共预算财政拨款支出决算表</w:t>
            </w:r>
          </w:p>
        </w:tc>
      </w:tr>
      <w:tr>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688" w:type="dxa"/>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2225" w:type="dxa"/>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cs="宋体"/>
                <w:color w:val="000000"/>
                <w:kern w:val="0"/>
                <w:sz w:val="20"/>
                <w:szCs w:val="20"/>
              </w:rPr>
              <w:t>0</w:t>
            </w:r>
            <w:r>
              <w:rPr>
                <w:rStyle w:val="21"/>
              </w:rPr>
              <w:t>5</w:t>
            </w:r>
            <w:r>
              <w:rPr>
                <w:rStyle w:val="21"/>
                <w:rFonts w:hint="eastAsia"/>
              </w:rPr>
              <w:t>表</w:t>
            </w:r>
          </w:p>
        </w:tc>
      </w:tr>
      <w:tr>
        <w:tblPrEx>
          <w:tblCellMar>
            <w:top w:w="0" w:type="dxa"/>
            <w:left w:w="0" w:type="dxa"/>
            <w:bottom w:w="0" w:type="dxa"/>
            <w:right w:w="0" w:type="dxa"/>
          </w:tblCellMar>
        </w:tblPrEx>
        <w:trPr>
          <w:trHeight w:val="300" w:hRule="atLeast"/>
        </w:trPr>
        <w:tc>
          <w:tcPr>
            <w:tcW w:w="726"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部门：</w:t>
            </w:r>
          </w:p>
        </w:tc>
        <w:tc>
          <w:tcPr>
            <w:tcW w:w="688" w:type="dxa"/>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2225" w:type="dxa"/>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20"/>
                <w:szCs w:val="20"/>
              </w:rPr>
            </w:pPr>
            <w:r>
              <w:rPr>
                <w:rFonts w:hint="eastAsia" w:ascii="宋体" w:hAnsi="宋体" w:cs="宋体"/>
                <w:color w:val="000000"/>
                <w:sz w:val="20"/>
                <w:szCs w:val="20"/>
              </w:rPr>
              <w:t>永城市商务局</w:t>
            </w:r>
          </w:p>
        </w:tc>
        <w:tc>
          <w:tcPr>
            <w:tcW w:w="3449"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405" w:hRule="atLeast"/>
        </w:trPr>
        <w:tc>
          <w:tcPr>
            <w:tcW w:w="3639"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w:t>
            </w:r>
            <w:r>
              <w:rPr>
                <w:rFonts w:ascii="宋体" w:hAnsi="宋体" w:cs="宋体"/>
                <w:color w:val="000000"/>
                <w:kern w:val="0"/>
                <w:sz w:val="20"/>
                <w:szCs w:val="20"/>
              </w:rPr>
              <w:t xml:space="preserve"> </w:t>
            </w:r>
            <w:r>
              <w:rPr>
                <w:rStyle w:val="20"/>
                <w:sz w:val="20"/>
                <w:szCs w:val="20"/>
              </w:rPr>
              <w:t xml:space="preserve">   </w:t>
            </w:r>
            <w:r>
              <w:rPr>
                <w:rStyle w:val="22"/>
                <w:rFonts w:hint="eastAsia"/>
                <w:sz w:val="20"/>
                <w:szCs w:val="20"/>
              </w:rPr>
              <w:t>目</w:t>
            </w:r>
          </w:p>
        </w:tc>
        <w:tc>
          <w:tcPr>
            <w:tcW w:w="10349" w:type="dxa"/>
            <w:gridSpan w:val="3"/>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本年支出</w:t>
            </w:r>
          </w:p>
        </w:tc>
      </w:tr>
      <w:tr>
        <w:tblPrEx>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科目编码</w:t>
            </w:r>
          </w:p>
        </w:tc>
        <w:tc>
          <w:tcPr>
            <w:tcW w:w="22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344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小计</w:t>
            </w:r>
          </w:p>
        </w:tc>
        <w:tc>
          <w:tcPr>
            <w:tcW w:w="344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基本支出</w:t>
            </w:r>
          </w:p>
        </w:tc>
        <w:tc>
          <w:tcPr>
            <w:tcW w:w="3451" w:type="dxa"/>
            <w:vMerge w:val="restart"/>
            <w:tcBorders>
              <w:top w:val="nil"/>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项目支出</w:t>
            </w:r>
          </w:p>
        </w:tc>
      </w:tr>
      <w:tr>
        <w:tblPrEx>
          <w:tblCellMar>
            <w:top w:w="0" w:type="dxa"/>
            <w:left w:w="0" w:type="dxa"/>
            <w:bottom w:w="0" w:type="dxa"/>
            <w:right w:w="0" w:type="dxa"/>
          </w:tblCellMar>
        </w:tblPrEx>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r>
      <w:tr>
        <w:tblPrEx>
          <w:tblCellMar>
            <w:top w:w="0" w:type="dxa"/>
            <w:left w:w="0" w:type="dxa"/>
            <w:bottom w:w="0" w:type="dxa"/>
            <w:right w:w="0" w:type="dxa"/>
          </w:tblCellMar>
        </w:tblPrEx>
        <w:trPr>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ascii="宋体" w:cs="宋体"/>
                <w:color w:val="000000"/>
                <w:sz w:val="20"/>
                <w:szCs w:val="20"/>
              </w:rPr>
            </w:pPr>
            <w:r>
              <w:rPr>
                <w:rFonts w:ascii="宋体" w:hAnsi="宋体" w:cs="宋体"/>
                <w:color w:val="000000"/>
                <w:sz w:val="20"/>
                <w:szCs w:val="20"/>
              </w:rPr>
              <w:t>201</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宋体"/>
                <w:color w:val="000000"/>
                <w:sz w:val="20"/>
                <w:szCs w:val="20"/>
              </w:rPr>
            </w:pPr>
            <w:r>
              <w:rPr>
                <w:rFonts w:hint="eastAsia" w:ascii="宋体" w:hAnsi="宋体" w:cs="宋体"/>
                <w:color w:val="000000"/>
                <w:sz w:val="20"/>
                <w:szCs w:val="20"/>
              </w:rPr>
              <w:t>一般公共服务支出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850.43</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850.43</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ascii="宋体" w:cs="宋体"/>
                <w:color w:val="000000"/>
                <w:sz w:val="20"/>
                <w:szCs w:val="20"/>
              </w:rPr>
            </w:pPr>
            <w:r>
              <w:rPr>
                <w:rFonts w:ascii="宋体" w:hAnsi="宋体" w:cs="宋体"/>
                <w:color w:val="000000"/>
                <w:sz w:val="20"/>
                <w:szCs w:val="20"/>
              </w:rPr>
              <w:t>20113</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宋体"/>
                <w:color w:val="000000"/>
                <w:sz w:val="20"/>
                <w:szCs w:val="20"/>
              </w:rPr>
            </w:pPr>
            <w:r>
              <w:rPr>
                <w:rFonts w:hint="eastAsia" w:ascii="宋体" w:hAnsi="宋体" w:cs="宋体"/>
                <w:color w:val="000000"/>
                <w:sz w:val="20"/>
                <w:szCs w:val="20"/>
              </w:rPr>
              <w:t>商贸事务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华文中宋" w:hAnsi="华文中宋" w:eastAsia="华文中宋" w:cs="华文中宋"/>
                <w:color w:val="000000"/>
                <w:sz w:val="20"/>
                <w:szCs w:val="20"/>
              </w:rPr>
            </w:pPr>
            <w:r>
              <w:rPr>
                <w:rFonts w:ascii="宋体" w:hAnsi="宋体" w:cs="宋体"/>
                <w:color w:val="000000"/>
                <w:sz w:val="20"/>
                <w:szCs w:val="20"/>
              </w:rPr>
              <w:t>850.43</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429"/>
              </w:tabs>
              <w:jc w:val="center"/>
              <w:rPr>
                <w:rFonts w:ascii="宋体" w:cs="宋体"/>
                <w:color w:val="000000"/>
                <w:sz w:val="20"/>
                <w:szCs w:val="20"/>
              </w:rPr>
            </w:pPr>
            <w:r>
              <w:rPr>
                <w:rFonts w:ascii="宋体" w:hAnsi="宋体" w:cs="宋体"/>
                <w:color w:val="000000"/>
                <w:sz w:val="20"/>
                <w:szCs w:val="20"/>
              </w:rPr>
              <w:t>850.43</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ascii="宋体" w:cs="宋体"/>
                <w:color w:val="000000"/>
                <w:sz w:val="20"/>
                <w:szCs w:val="20"/>
              </w:rPr>
            </w:pPr>
            <w:r>
              <w:rPr>
                <w:rFonts w:ascii="宋体" w:hAnsi="宋体" w:cs="宋体"/>
                <w:color w:val="000000"/>
                <w:sz w:val="20"/>
                <w:szCs w:val="20"/>
              </w:rPr>
              <w:t>2011301</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宋体"/>
                <w:color w:val="000000"/>
                <w:sz w:val="20"/>
                <w:szCs w:val="20"/>
              </w:rPr>
            </w:pPr>
            <w:r>
              <w:rPr>
                <w:rFonts w:hint="eastAsia" w:ascii="宋体" w:hAnsi="宋体" w:cs="宋体"/>
                <w:color w:val="000000"/>
                <w:sz w:val="20"/>
                <w:szCs w:val="20"/>
              </w:rPr>
              <w:t>行政运行</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850.43</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850.43</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6"/>
            <w:tcBorders>
              <w:top w:val="nil"/>
              <w:left w:val="nil"/>
              <w:bottom w:val="nil"/>
              <w:right w:val="nil"/>
            </w:tcBorders>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注：本表反映部门本年度一般公共预算财政拨款支出情况。本表金额转换为万元时，因四舍五入可能存在尾差。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0" w:type="auto"/>
        <w:tblInd w:w="0" w:type="dxa"/>
        <w:tblLayout w:type="fixed"/>
        <w:tblCellMar>
          <w:top w:w="0" w:type="dxa"/>
          <w:left w:w="0" w:type="dxa"/>
          <w:bottom w:w="0" w:type="dxa"/>
          <w:right w:w="0" w:type="dxa"/>
        </w:tblCellMar>
      </w:tblPr>
      <w:tblGrid>
        <w:gridCol w:w="870"/>
        <w:gridCol w:w="2923"/>
        <w:gridCol w:w="938"/>
        <w:gridCol w:w="870"/>
        <w:gridCol w:w="2066"/>
        <w:gridCol w:w="938"/>
        <w:gridCol w:w="870"/>
        <w:gridCol w:w="3575"/>
        <w:gridCol w:w="938"/>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一般公共预算财政拨款基本支出决算表</w:t>
            </w:r>
          </w:p>
        </w:tc>
      </w:tr>
      <w:tr>
        <w:tblPrEx>
          <w:tblCellMar>
            <w:top w:w="0" w:type="dxa"/>
            <w:left w:w="0" w:type="dxa"/>
            <w:bottom w:w="0" w:type="dxa"/>
            <w:right w:w="0" w:type="dxa"/>
          </w:tblCellMar>
        </w:tblPrEx>
        <w:trPr>
          <w:trHeight w:val="405" w:hRule="atLeast"/>
        </w:trPr>
        <w:tc>
          <w:tcPr>
            <w:tcW w:w="870" w:type="dxa"/>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2923" w:type="dxa"/>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938" w:type="dxa"/>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870"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2066"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938"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870"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3575"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938"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06</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300" w:hRule="atLeast"/>
        </w:trPr>
        <w:tc>
          <w:tcPr>
            <w:tcW w:w="870" w:type="dxa"/>
            <w:tcBorders>
              <w:top w:val="nil"/>
              <w:left w:val="nil"/>
              <w:bottom w:val="nil"/>
              <w:right w:val="nil"/>
            </w:tcBorders>
            <w:noWrap/>
            <w:tcMar>
              <w:top w:w="15" w:type="dxa"/>
              <w:left w:w="15" w:type="dxa"/>
              <w:right w:w="15" w:type="dxa"/>
            </w:tcMar>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部门：</w:t>
            </w:r>
          </w:p>
        </w:tc>
        <w:tc>
          <w:tcPr>
            <w:tcW w:w="2923"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r>
              <w:rPr>
                <w:rFonts w:hint="eastAsia" w:ascii="Arial" w:hAnsi="Arial" w:cs="Arial"/>
                <w:color w:val="000000"/>
                <w:sz w:val="20"/>
                <w:szCs w:val="20"/>
              </w:rPr>
              <w:t>永城市商务局</w:t>
            </w: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2066"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3575"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615" w:hRule="atLeast"/>
        </w:trPr>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经济分类科目编码</w:t>
            </w:r>
          </w:p>
        </w:tc>
        <w:tc>
          <w:tcPr>
            <w:tcW w:w="2923"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经济分类科目编码</w:t>
            </w:r>
          </w:p>
        </w:tc>
        <w:tc>
          <w:tcPr>
            <w:tcW w:w="2066"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经济分类科目编码</w:t>
            </w:r>
          </w:p>
        </w:tc>
        <w:tc>
          <w:tcPr>
            <w:tcW w:w="357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938" w:type="dxa"/>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决算数</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456.07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394.36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189.97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95.26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房屋建筑物购建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30102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152.11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79.97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办公设备购置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8.2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专用设备购置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30106</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基础设施建设</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30107</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大型修缮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30108</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32.77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3.22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信息网络及软件购置更新</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30109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3.54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物资储备</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30110</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7.83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土地补偿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30111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安置补助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30112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82.1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地上附着物和青苗补偿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30113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拆迁补偿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30114</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公务用车购置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30199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61.65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其他交通工具购置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38.8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文物和陈列品购置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无形资产购置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其他资本性支出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30304</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资本金注入</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30305</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政府投资基金股权投资</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30306</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费用补贴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30307</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利息补贴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30308</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对社会保障基金补助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30310</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对社会保险基金补助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30399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补充全国社会保障基金</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89.01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赠与</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国家赔偿费用支出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对民间非营利组织和群众性自治组织补贴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人员经费合计</w:t>
            </w:r>
          </w:p>
        </w:tc>
        <w:tc>
          <w:tcPr>
            <w:tcW w:w="93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rPr>
                <w:rFonts w:ascii="宋体" w:cs="宋体"/>
                <w:color w:val="000000"/>
                <w:sz w:val="20"/>
                <w:szCs w:val="20"/>
              </w:rPr>
            </w:pPr>
            <w:r>
              <w:rPr>
                <w:rFonts w:ascii="宋体" w:hAnsi="宋体" w:cs="宋体"/>
                <w:color w:val="000000"/>
                <w:sz w:val="20"/>
                <w:szCs w:val="20"/>
              </w:rPr>
              <w:t>456.07</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公用经费合计</w:t>
            </w:r>
          </w:p>
        </w:tc>
        <w:tc>
          <w:tcPr>
            <w:tcW w:w="93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rPr>
                <w:rFonts w:ascii="宋体" w:cs="宋体"/>
                <w:color w:val="000000"/>
                <w:sz w:val="20"/>
                <w:szCs w:val="20"/>
              </w:rPr>
            </w:pPr>
            <w:r>
              <w:rPr>
                <w:rFonts w:ascii="宋体" w:hAnsi="宋体" w:cs="宋体"/>
                <w:color w:val="000000"/>
                <w:sz w:val="20"/>
                <w:szCs w:val="20"/>
              </w:rPr>
              <w:t>394.36</w:t>
            </w:r>
          </w:p>
        </w:tc>
      </w:tr>
      <w:tr>
        <w:tblPrEx>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注：本表反映部门本年度一般公共预算财政拨款基本支出明细情况。本表金额转换为万元时，因四舍五入可能存在尾差。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0" w:type="auto"/>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149"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07</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300" w:hRule="atLeast"/>
        </w:trPr>
        <w:tc>
          <w:tcPr>
            <w:tcW w:w="230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部门：</w:t>
            </w:r>
            <w:r>
              <w:rPr>
                <w:rFonts w:hint="eastAsia" w:ascii="宋体" w:cs="宋体"/>
                <w:color w:val="000000"/>
                <w:sz w:val="20"/>
                <w:szCs w:val="20"/>
              </w:rPr>
              <w:t>永城市商务局</w:t>
            </w: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预算数</w:t>
            </w:r>
          </w:p>
        </w:tc>
        <w:tc>
          <w:tcPr>
            <w:tcW w:w="6906" w:type="dxa"/>
            <w:gridSpan w:val="6"/>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公务接待费</w:t>
            </w:r>
          </w:p>
        </w:tc>
        <w:tc>
          <w:tcPr>
            <w:tcW w:w="11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11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小计</w:t>
            </w: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公务用车</w:t>
            </w:r>
            <w:r>
              <w:rPr>
                <w:rFonts w:ascii="宋体" w:cs="宋体"/>
                <w:color w:val="000000"/>
                <w:kern w:val="0"/>
                <w:sz w:val="20"/>
                <w:szCs w:val="20"/>
              </w:rPr>
              <w:br w:type="textWrapping"/>
            </w:r>
            <w:r>
              <w:rPr>
                <w:rFonts w:hint="eastAsia" w:ascii="宋体" w:hAnsi="宋体" w:cs="宋体"/>
                <w:color w:val="000000"/>
                <w:kern w:val="0"/>
                <w:sz w:val="20"/>
                <w:szCs w:val="20"/>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公务用车</w:t>
            </w:r>
            <w:r>
              <w:rPr>
                <w:rFonts w:ascii="宋体" w:cs="宋体"/>
                <w:color w:val="000000"/>
                <w:kern w:val="0"/>
                <w:sz w:val="20"/>
                <w:szCs w:val="20"/>
              </w:rPr>
              <w:br w:type="textWrapping"/>
            </w:r>
            <w:r>
              <w:rPr>
                <w:rFonts w:hint="eastAsia" w:ascii="宋体" w:hAnsi="宋体" w:cs="宋体"/>
                <w:color w:val="000000"/>
                <w:kern w:val="0"/>
                <w:sz w:val="20"/>
                <w:szCs w:val="20"/>
              </w:rPr>
              <w:t>运行费</w:t>
            </w:r>
          </w:p>
        </w:tc>
        <w:tc>
          <w:tcPr>
            <w:tcW w:w="11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小计</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公务用车</w:t>
            </w:r>
            <w:r>
              <w:rPr>
                <w:rFonts w:ascii="宋体" w:cs="宋体"/>
                <w:color w:val="000000"/>
                <w:kern w:val="0"/>
                <w:sz w:val="20"/>
                <w:szCs w:val="20"/>
              </w:rPr>
              <w:br w:type="textWrapping"/>
            </w:r>
            <w:r>
              <w:rPr>
                <w:rFonts w:hint="eastAsia" w:ascii="宋体" w:hAnsi="宋体" w:cs="宋体"/>
                <w:color w:val="000000"/>
                <w:kern w:val="0"/>
                <w:sz w:val="20"/>
                <w:szCs w:val="20"/>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公务用车</w:t>
            </w:r>
            <w:r>
              <w:rPr>
                <w:rFonts w:ascii="宋体" w:cs="宋体"/>
                <w:color w:val="000000"/>
                <w:kern w:val="0"/>
                <w:sz w:val="20"/>
                <w:szCs w:val="20"/>
              </w:rPr>
              <w:br w:type="textWrapping"/>
            </w:r>
            <w:r>
              <w:rPr>
                <w:rFonts w:hint="eastAsia" w:ascii="宋体" w:hAnsi="宋体" w:cs="宋体"/>
                <w:color w:val="000000"/>
                <w:kern w:val="0"/>
                <w:sz w:val="20"/>
                <w:szCs w:val="20"/>
              </w:rPr>
              <w:t>运行费</w:t>
            </w:r>
          </w:p>
        </w:tc>
        <w:tc>
          <w:tcPr>
            <w:tcW w:w="1151"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7</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8</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9</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11</w:t>
            </w:r>
          </w:p>
        </w:tc>
        <w:tc>
          <w:tcPr>
            <w:tcW w:w="11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cs="宋体"/>
                <w:color w:val="000000"/>
                <w:sz w:val="20"/>
                <w:szCs w:val="20"/>
              </w:rPr>
              <w:t>0</w:t>
            </w:r>
          </w:p>
        </w:tc>
        <w:tc>
          <w:tcPr>
            <w:tcW w:w="11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cs="宋体"/>
                <w:color w:val="000000"/>
                <w:sz w:val="20"/>
                <w:szCs w:val="20"/>
              </w:rPr>
              <w:t>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cs="宋体"/>
                <w:color w:val="000000"/>
                <w:sz w:val="20"/>
                <w:szCs w:val="20"/>
              </w:rPr>
              <w:t>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cs="宋体"/>
                <w:color w:val="00000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cs="宋体"/>
                <w:color w:val="000000"/>
                <w:sz w:val="20"/>
                <w:szCs w:val="20"/>
              </w:rPr>
              <w:t>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cs="宋体"/>
                <w:color w:val="00000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cs="宋体"/>
                <w:color w:val="00000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cs="宋体"/>
                <w:color w:val="00000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cs="宋体"/>
                <w:color w:val="00000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cs="宋体"/>
                <w:color w:val="000000"/>
                <w:sz w:val="20"/>
                <w:szCs w:val="20"/>
              </w:rPr>
              <w:t>0</w:t>
            </w:r>
          </w:p>
        </w:tc>
        <w:tc>
          <w:tcPr>
            <w:tcW w:w="1151"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jc w:val="center"/>
              <w:rPr>
                <w:rFonts w:ascii="宋体" w:cs="宋体"/>
                <w:color w:val="000000"/>
                <w:sz w:val="20"/>
                <w:szCs w:val="20"/>
              </w:rPr>
            </w:pPr>
            <w:r>
              <w:rPr>
                <w:rFonts w:ascii="宋体" w:cs="宋体"/>
                <w:color w:val="000000"/>
                <w:sz w:val="20"/>
                <w:szCs w:val="20"/>
              </w:rPr>
              <w:t>0</w:t>
            </w:r>
          </w:p>
        </w:tc>
        <w:tc>
          <w:tcPr>
            <w:tcW w:w="11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cs="宋体"/>
                <w:color w:val="000000"/>
                <w:sz w:val="20"/>
                <w:szCs w:val="20"/>
              </w:rPr>
            </w:pPr>
            <w:r>
              <w:rPr>
                <w:rFonts w:ascii="宋体" w:cs="宋体"/>
                <w:color w:val="000000"/>
                <w:sz w:val="20"/>
                <w:szCs w:val="20"/>
              </w:rPr>
              <w:t>0</w:t>
            </w: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注：本表反映部门本年度“三公”经费支出预决算情况。其中，</w:t>
            </w:r>
            <w:r>
              <w:rPr>
                <w:rStyle w:val="23"/>
                <w:rFonts w:hint="eastAsia"/>
                <w:sz w:val="20"/>
                <w:szCs w:val="20"/>
              </w:rPr>
              <w:t>预算数为</w:t>
            </w:r>
            <w:r>
              <w:rPr>
                <w:rStyle w:val="23"/>
                <w:rFonts w:hint="eastAsia" w:hAnsi="Calibri"/>
                <w:sz w:val="20"/>
                <w:szCs w:val="20"/>
              </w:rPr>
              <w:t>“</w:t>
            </w:r>
            <w:r>
              <w:rPr>
                <w:rStyle w:val="23"/>
                <w:rFonts w:hint="eastAsia"/>
                <w:sz w:val="20"/>
                <w:szCs w:val="20"/>
              </w:rPr>
              <w:t>三公</w:t>
            </w:r>
            <w:r>
              <w:rPr>
                <w:rStyle w:val="23"/>
                <w:rFonts w:hint="eastAsia" w:hAnsi="Calibri"/>
                <w:sz w:val="20"/>
                <w:szCs w:val="20"/>
              </w:rPr>
              <w:t>”</w:t>
            </w:r>
            <w:r>
              <w:rPr>
                <w:rStyle w:val="23"/>
                <w:rFonts w:hint="eastAsia"/>
                <w:sz w:val="20"/>
                <w:szCs w:val="20"/>
              </w:rPr>
              <w:t>经费年初预算数，决算数是包括当年一般公共预算财政拨款和以前年度结转资金安排的实际支出。</w:t>
            </w:r>
            <w:r>
              <w:rPr>
                <w:rFonts w:hint="eastAsia" w:ascii="宋体" w:hAnsi="宋体" w:cs="宋体"/>
                <w:color w:val="000000"/>
                <w:kern w:val="0"/>
                <w:sz w:val="20"/>
                <w:szCs w:val="20"/>
              </w:rPr>
              <w:t>本表金额转换为万元时，因四舍五入可能存在尾差。</w:t>
            </w:r>
          </w:p>
        </w:tc>
      </w:tr>
    </w:tbl>
    <w:p>
      <w:pPr>
        <w:ind w:firstLine="2880" w:firstLineChars="900"/>
        <w:rPr>
          <w:rFonts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说明：我部门无三公经费支出，故本表无数据。</w:t>
      </w:r>
    </w:p>
    <w:tbl>
      <w:tblPr>
        <w:tblStyle w:val="8"/>
        <w:tblW w:w="0" w:type="auto"/>
        <w:tblInd w:w="0" w:type="dxa"/>
        <w:tblLayout w:type="fixed"/>
        <w:tblCellMar>
          <w:top w:w="0" w:type="dxa"/>
          <w:left w:w="0" w:type="dxa"/>
          <w:bottom w:w="0" w:type="dxa"/>
          <w:right w:w="0" w:type="dxa"/>
        </w:tblCellMar>
      </w:tblPr>
      <w:tblGrid>
        <w:gridCol w:w="612"/>
        <w:gridCol w:w="536"/>
        <w:gridCol w:w="1276"/>
        <w:gridCol w:w="1926"/>
        <w:gridCol w:w="1926"/>
        <w:gridCol w:w="1926"/>
        <w:gridCol w:w="1927"/>
        <w:gridCol w:w="1926"/>
        <w:gridCol w:w="1933"/>
      </w:tblGrid>
      <w:tr>
        <w:tblPrEx>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08</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300" w:hRule="atLeast"/>
        </w:trPr>
        <w:tc>
          <w:tcPr>
            <w:tcW w:w="2424" w:type="dxa"/>
            <w:gridSpan w:val="3"/>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部门：</w:t>
            </w:r>
            <w:r>
              <w:rPr>
                <w:rFonts w:hint="eastAsia" w:ascii="宋体" w:hAnsi="宋体" w:cs="宋体"/>
                <w:color w:val="000000"/>
                <w:sz w:val="20"/>
                <w:szCs w:val="20"/>
              </w:rPr>
              <w:t>永城市商务局</w:t>
            </w: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927"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w:t>
            </w:r>
            <w:r>
              <w:rPr>
                <w:rFonts w:ascii="宋体" w:hAnsi="宋体" w:cs="宋体"/>
                <w:color w:val="000000"/>
                <w:kern w:val="0"/>
                <w:sz w:val="20"/>
                <w:szCs w:val="20"/>
              </w:rPr>
              <w:t xml:space="preserve">    </w:t>
            </w:r>
            <w:r>
              <w:rPr>
                <w:rFonts w:hint="eastAsia" w:ascii="宋体" w:hAnsi="宋体" w:cs="宋体"/>
                <w:color w:val="000000"/>
                <w:kern w:val="0"/>
                <w:sz w:val="20"/>
                <w:szCs w:val="20"/>
              </w:rPr>
              <w:t>目</w:t>
            </w:r>
          </w:p>
        </w:tc>
        <w:tc>
          <w:tcPr>
            <w:tcW w:w="1926" w:type="dxa"/>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本年收入</w:t>
            </w:r>
          </w:p>
        </w:tc>
        <w:tc>
          <w:tcPr>
            <w:tcW w:w="5779" w:type="dxa"/>
            <w:gridSpan w:val="3"/>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年末结转和结余</w:t>
            </w:r>
          </w:p>
        </w:tc>
      </w:tr>
      <w:tr>
        <w:tblPrEx>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92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小计</w:t>
            </w:r>
          </w:p>
        </w:tc>
        <w:tc>
          <w:tcPr>
            <w:tcW w:w="192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基本支出</w:t>
            </w:r>
          </w:p>
        </w:tc>
        <w:tc>
          <w:tcPr>
            <w:tcW w:w="1926" w:type="dxa"/>
            <w:vMerge w:val="restart"/>
            <w:tcBorders>
              <w:top w:val="nil"/>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w:t>
            </w:r>
          </w:p>
        </w:tc>
      </w:tr>
      <w:tr>
        <w:tblPrEx>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cs="宋体"/>
                <w:color w:val="000000"/>
                <w:sz w:val="20"/>
                <w:szCs w:val="20"/>
              </w:rPr>
              <w:t>0</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cs="宋体"/>
                <w:color w:val="000000"/>
                <w:sz w:val="20"/>
                <w:szCs w:val="20"/>
              </w:rPr>
              <w:t>0</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cs="宋体"/>
                <w:color w:val="000000"/>
                <w:sz w:val="20"/>
                <w:szCs w:val="20"/>
              </w:rPr>
              <w:t>0</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cs="宋体"/>
                <w:color w:val="000000"/>
                <w:sz w:val="20"/>
                <w:szCs w:val="20"/>
              </w:rPr>
              <w:t>0</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cs="宋体"/>
                <w:color w:val="000000"/>
                <w:sz w:val="20"/>
                <w:szCs w:val="20"/>
              </w:rPr>
            </w:pPr>
            <w:r>
              <w:rPr>
                <w:rFonts w:ascii="宋体" w:cs="宋体"/>
                <w:color w:val="000000"/>
                <w:sz w:val="20"/>
                <w:szCs w:val="20"/>
              </w:rPr>
              <w:t>0</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0"/>
                <w:szCs w:val="20"/>
              </w:rPr>
            </w:pPr>
            <w:r>
              <w:rPr>
                <w:rFonts w:ascii="宋体" w:cs="宋体"/>
                <w:color w:val="000000"/>
                <w:sz w:val="20"/>
                <w:szCs w:val="20"/>
              </w:rPr>
              <w:t>0</w:t>
            </w: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7"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cs="宋体"/>
                <w:color w:val="000000"/>
                <w:sz w:val="20"/>
                <w:szCs w:val="20"/>
              </w:rPr>
            </w:pPr>
          </w:p>
        </w:tc>
        <w:tc>
          <w:tcPr>
            <w:tcW w:w="1926"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rPr>
                <w:rFonts w:ascii="宋体" w:cs="宋体"/>
                <w:color w:val="000000"/>
                <w:sz w:val="20"/>
                <w:szCs w:val="20"/>
              </w:rPr>
            </w:pPr>
          </w:p>
        </w:tc>
        <w:tc>
          <w:tcPr>
            <w:tcW w:w="193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注：本表反映部门本年度政府性基金预算财政拨款收入、支出及结转和结余情况。</w:t>
            </w:r>
          </w:p>
        </w:tc>
      </w:tr>
    </w:tbl>
    <w:p>
      <w:pPr>
        <w:jc w:val="cente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rPr>
        <w:t>说明：我部门没有政府性基金收入，也没有使用政府性基金安排的支出，故本表无数据。</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r>
        <w:rPr>
          <w:rFonts w:hint="eastAsia" w:ascii="黑体" w:hAnsi="黑体" w:eastAsia="黑体" w:cs="黑体"/>
          <w:sz w:val="48"/>
          <w:szCs w:val="48"/>
        </w:rPr>
        <w:t>第三部分</w:t>
      </w:r>
      <w:r>
        <w:rPr>
          <w:rFonts w:ascii="黑体" w:hAnsi="黑体" w:eastAsia="黑体" w:cs="黑体"/>
          <w:sz w:val="48"/>
          <w:szCs w:val="48"/>
        </w:rPr>
        <w:t xml:space="preserve">  2019</w:t>
      </w:r>
      <w:r>
        <w:rPr>
          <w:rFonts w:hint="eastAsia" w:ascii="黑体" w:hAnsi="黑体" w:eastAsia="黑体" w:cs="黑体"/>
          <w:sz w:val="48"/>
          <w:szCs w:val="48"/>
        </w:rPr>
        <w:t>年度部门决算情况说明</w:t>
      </w:r>
    </w:p>
    <w:p>
      <w:pPr>
        <w:autoSpaceDE w:val="0"/>
        <w:autoSpaceDN w:val="0"/>
        <w:adjustRightInd w:val="0"/>
        <w:jc w:val="left"/>
        <w:rPr>
          <w:rFonts w:ascii="宋体" w:hAnsi="Times New Roman" w:cs="宋体"/>
          <w:szCs w:val="21"/>
        </w:rPr>
      </w:pP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一、收入支出决算总体情况说明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年度收、支总计均为</w:t>
      </w:r>
      <w:r>
        <w:rPr>
          <w:rFonts w:ascii="宋体" w:hAnsi="Times New Roman" w:cs="宋体"/>
          <w:sz w:val="28"/>
          <w:szCs w:val="21"/>
        </w:rPr>
        <w:t>850.43</w:t>
      </w:r>
      <w:r>
        <w:rPr>
          <w:rFonts w:hint="eastAsia" w:ascii="宋体" w:hAnsi="Times New Roman" w:cs="宋体"/>
          <w:sz w:val="28"/>
          <w:szCs w:val="21"/>
        </w:rPr>
        <w:t>万元。与上年度相比，收、支总计各减少</w:t>
      </w:r>
      <w:r>
        <w:rPr>
          <w:rFonts w:ascii="宋体" w:hAnsi="Times New Roman" w:cs="宋体"/>
          <w:sz w:val="28"/>
          <w:szCs w:val="21"/>
        </w:rPr>
        <w:t xml:space="preserve">111.03 </w:t>
      </w:r>
      <w:r>
        <w:rPr>
          <w:rFonts w:hint="eastAsia" w:ascii="宋体" w:hAnsi="Times New Roman" w:cs="宋体"/>
          <w:sz w:val="28"/>
          <w:szCs w:val="21"/>
        </w:rPr>
        <w:t>万元，下降</w:t>
      </w:r>
      <w:r>
        <w:rPr>
          <w:rFonts w:ascii="宋体" w:hAnsi="Times New Roman" w:cs="宋体"/>
          <w:sz w:val="28"/>
          <w:szCs w:val="21"/>
        </w:rPr>
        <w:t>15%</w:t>
      </w:r>
      <w:r>
        <w:rPr>
          <w:rFonts w:hint="eastAsia" w:ascii="宋体" w:hAnsi="Times New Roman" w:cs="宋体"/>
          <w:sz w:val="28"/>
          <w:szCs w:val="21"/>
        </w:rPr>
        <w:t>。主要原因是人员</w:t>
      </w:r>
      <w:r>
        <w:rPr>
          <w:rFonts w:hint="eastAsia" w:ascii="宋体" w:hAnsi="Times New Roman" w:cs="宋体"/>
          <w:sz w:val="28"/>
          <w:szCs w:val="21"/>
          <w:lang w:val="en-US" w:eastAsia="zh-CN"/>
        </w:rPr>
        <w:t>经费和项目经费</w:t>
      </w:r>
      <w:r>
        <w:rPr>
          <w:rFonts w:hint="eastAsia" w:ascii="宋体" w:hAnsi="Times New Roman" w:cs="宋体"/>
          <w:sz w:val="28"/>
          <w:szCs w:val="21"/>
        </w:rPr>
        <w:t>开支缩减。</w:t>
      </w: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二、收入决算情况说明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年度收入合计</w:t>
      </w:r>
      <w:r>
        <w:rPr>
          <w:rFonts w:ascii="宋体" w:hAnsi="Times New Roman" w:cs="宋体"/>
          <w:sz w:val="28"/>
          <w:szCs w:val="21"/>
        </w:rPr>
        <w:t>850.43</w:t>
      </w:r>
      <w:r>
        <w:rPr>
          <w:rFonts w:hint="eastAsia" w:ascii="宋体" w:hAnsi="Times New Roman" w:cs="宋体"/>
          <w:sz w:val="28"/>
          <w:szCs w:val="21"/>
        </w:rPr>
        <w:t>万元，其中：财政拨款收入</w:t>
      </w:r>
      <w:r>
        <w:rPr>
          <w:rFonts w:ascii="宋体" w:hAnsi="Times New Roman" w:cs="宋体"/>
          <w:sz w:val="28"/>
          <w:szCs w:val="21"/>
        </w:rPr>
        <w:t>629.43</w:t>
      </w:r>
      <w:r>
        <w:rPr>
          <w:rFonts w:hint="eastAsia" w:ascii="宋体" w:hAnsi="Times New Roman" w:cs="宋体"/>
          <w:sz w:val="28"/>
          <w:szCs w:val="21"/>
        </w:rPr>
        <w:t>万元，占</w:t>
      </w:r>
      <w:r>
        <w:rPr>
          <w:rFonts w:ascii="宋体" w:hAnsi="Times New Roman" w:cs="宋体"/>
          <w:sz w:val="28"/>
          <w:szCs w:val="21"/>
        </w:rPr>
        <w:t>74%</w:t>
      </w:r>
      <w:r>
        <w:rPr>
          <w:rFonts w:hint="eastAsia" w:ascii="宋体" w:hAnsi="Times New Roman" w:cs="宋体"/>
          <w:sz w:val="28"/>
          <w:szCs w:val="21"/>
        </w:rPr>
        <w:t>，年初结转和结余</w:t>
      </w:r>
      <w:r>
        <w:rPr>
          <w:rFonts w:ascii="宋体" w:hAnsi="Times New Roman" w:cs="宋体"/>
          <w:sz w:val="28"/>
          <w:szCs w:val="21"/>
        </w:rPr>
        <w:t>221</w:t>
      </w:r>
      <w:r>
        <w:rPr>
          <w:rFonts w:hint="eastAsia" w:ascii="宋体" w:hAnsi="Times New Roman" w:cs="宋体"/>
          <w:sz w:val="28"/>
          <w:szCs w:val="21"/>
        </w:rPr>
        <w:t>万元，占</w:t>
      </w:r>
      <w:r>
        <w:rPr>
          <w:rFonts w:ascii="宋体" w:hAnsi="Times New Roman" w:cs="宋体"/>
          <w:sz w:val="28"/>
          <w:szCs w:val="21"/>
        </w:rPr>
        <w:t>26%</w:t>
      </w:r>
      <w:r>
        <w:rPr>
          <w:rFonts w:hint="eastAsia" w:ascii="宋体" w:hAnsi="Times New Roman" w:cs="宋体"/>
          <w:sz w:val="28"/>
          <w:szCs w:val="21"/>
        </w:rPr>
        <w:t>。</w:t>
      </w: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三、支出决算情况说明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年度支出合计</w:t>
      </w:r>
      <w:r>
        <w:rPr>
          <w:rFonts w:ascii="宋体" w:hAnsi="Times New Roman" w:cs="宋体"/>
          <w:sz w:val="28"/>
          <w:szCs w:val="21"/>
        </w:rPr>
        <w:t>850.43</w:t>
      </w:r>
      <w:r>
        <w:rPr>
          <w:rFonts w:hint="eastAsia" w:ascii="宋体" w:hAnsi="Times New Roman" w:cs="宋体"/>
          <w:sz w:val="28"/>
          <w:szCs w:val="21"/>
        </w:rPr>
        <w:t>万元，其中：基本支出</w:t>
      </w:r>
      <w:r>
        <w:rPr>
          <w:rFonts w:ascii="宋体" w:hAnsi="Times New Roman" w:cs="宋体"/>
          <w:sz w:val="28"/>
          <w:szCs w:val="21"/>
        </w:rPr>
        <w:t>850.43</w:t>
      </w:r>
      <w:r>
        <w:rPr>
          <w:rFonts w:hint="eastAsia" w:ascii="宋体" w:hAnsi="Times New Roman" w:cs="宋体"/>
          <w:sz w:val="28"/>
          <w:szCs w:val="21"/>
        </w:rPr>
        <w:t>万元，占</w:t>
      </w:r>
      <w:r>
        <w:rPr>
          <w:rFonts w:ascii="宋体" w:hAnsi="Times New Roman" w:cs="宋体"/>
          <w:sz w:val="28"/>
          <w:szCs w:val="21"/>
        </w:rPr>
        <w:t>100%</w:t>
      </w:r>
      <w:r>
        <w:rPr>
          <w:rFonts w:hint="eastAsia" w:ascii="宋体" w:hAnsi="Times New Roman" w:cs="宋体"/>
          <w:sz w:val="28"/>
          <w:szCs w:val="21"/>
        </w:rPr>
        <w:t>。</w:t>
      </w: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四、财政拨款收入支出决算总体情况说明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年度财政拨款收、支总计均为</w:t>
      </w:r>
      <w:r>
        <w:rPr>
          <w:rFonts w:ascii="宋体" w:hAnsi="Times New Roman" w:cs="宋体"/>
          <w:sz w:val="28"/>
          <w:szCs w:val="21"/>
        </w:rPr>
        <w:t>850.43</w:t>
      </w:r>
      <w:r>
        <w:rPr>
          <w:rFonts w:hint="eastAsia" w:ascii="宋体" w:hAnsi="Times New Roman" w:cs="宋体"/>
          <w:sz w:val="28"/>
          <w:szCs w:val="21"/>
        </w:rPr>
        <w:t>万元。与上年度相比，财政拨款收、支总计各减少</w:t>
      </w:r>
      <w:r>
        <w:rPr>
          <w:rFonts w:ascii="宋体" w:hAnsi="Times New Roman" w:cs="宋体"/>
          <w:sz w:val="28"/>
          <w:szCs w:val="21"/>
        </w:rPr>
        <w:t xml:space="preserve">111.03 </w:t>
      </w:r>
      <w:r>
        <w:rPr>
          <w:rFonts w:hint="eastAsia" w:ascii="宋体" w:hAnsi="Times New Roman" w:cs="宋体"/>
          <w:sz w:val="28"/>
          <w:szCs w:val="21"/>
        </w:rPr>
        <w:t>万元，下降</w:t>
      </w:r>
      <w:r>
        <w:rPr>
          <w:rFonts w:ascii="宋体" w:hAnsi="Times New Roman" w:cs="宋体"/>
          <w:sz w:val="28"/>
          <w:szCs w:val="21"/>
        </w:rPr>
        <w:t>15%</w:t>
      </w:r>
      <w:r>
        <w:rPr>
          <w:rFonts w:hint="eastAsia" w:ascii="宋体" w:hAnsi="Times New Roman" w:cs="宋体"/>
          <w:sz w:val="28"/>
          <w:szCs w:val="21"/>
        </w:rPr>
        <w:t>。主要原因是人员</w:t>
      </w:r>
      <w:r>
        <w:rPr>
          <w:rFonts w:hint="eastAsia" w:ascii="宋体" w:hAnsi="Times New Roman" w:cs="宋体"/>
          <w:sz w:val="28"/>
          <w:szCs w:val="21"/>
          <w:lang w:val="en-US" w:eastAsia="zh-CN"/>
        </w:rPr>
        <w:t>经费和项目经费</w:t>
      </w:r>
      <w:r>
        <w:rPr>
          <w:rFonts w:hint="eastAsia" w:ascii="宋体" w:hAnsi="Times New Roman" w:cs="宋体"/>
          <w:sz w:val="28"/>
          <w:szCs w:val="21"/>
        </w:rPr>
        <w:t>开支缩减。</w:t>
      </w: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五、一般公共预算财政拨款支出决算情况说明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（一）总体情况。</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年度一般公共预算财政拨款支出</w:t>
      </w:r>
      <w:r>
        <w:rPr>
          <w:rFonts w:ascii="宋体" w:hAnsi="Times New Roman" w:cs="宋体"/>
          <w:sz w:val="28"/>
          <w:szCs w:val="21"/>
        </w:rPr>
        <w:t>850.43</w:t>
      </w:r>
      <w:r>
        <w:rPr>
          <w:rFonts w:hint="eastAsia" w:ascii="宋体" w:hAnsi="Times New Roman" w:cs="宋体"/>
          <w:sz w:val="28"/>
          <w:szCs w:val="21"/>
        </w:rPr>
        <w:t>万元，占本年支出合计的</w:t>
      </w:r>
      <w:r>
        <w:rPr>
          <w:rFonts w:ascii="宋体" w:hAnsi="Times New Roman" w:cs="宋体"/>
          <w:sz w:val="28"/>
          <w:szCs w:val="21"/>
        </w:rPr>
        <w:t>100%</w:t>
      </w:r>
      <w:r>
        <w:rPr>
          <w:rFonts w:hint="eastAsia" w:ascii="宋体" w:hAnsi="Times New Roman" w:cs="宋体"/>
          <w:sz w:val="28"/>
          <w:szCs w:val="21"/>
        </w:rPr>
        <w:t>。与上年度相比，一般公共预算财政拨款支出减少</w:t>
      </w:r>
      <w:r>
        <w:rPr>
          <w:rFonts w:ascii="宋体" w:hAnsi="Times New Roman" w:cs="宋体"/>
          <w:sz w:val="28"/>
          <w:szCs w:val="21"/>
        </w:rPr>
        <w:t>152.87</w:t>
      </w:r>
      <w:r>
        <w:rPr>
          <w:rFonts w:hint="eastAsia" w:ascii="宋体" w:hAnsi="Times New Roman" w:cs="宋体"/>
          <w:sz w:val="28"/>
          <w:szCs w:val="21"/>
        </w:rPr>
        <w:t>万元，下降</w:t>
      </w:r>
      <w:r>
        <w:rPr>
          <w:rFonts w:ascii="宋体" w:hAnsi="Times New Roman" w:cs="宋体"/>
          <w:sz w:val="28"/>
          <w:szCs w:val="21"/>
        </w:rPr>
        <w:t>22%</w:t>
      </w:r>
      <w:r>
        <w:rPr>
          <w:rFonts w:hint="eastAsia" w:ascii="宋体" w:hAnsi="Times New Roman" w:cs="宋体"/>
          <w:sz w:val="28"/>
          <w:szCs w:val="21"/>
        </w:rPr>
        <w:t>。主要原因是人员减少，经费开支缩减。</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（二）结构情况。</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年度一般公共预算财政拨款支出</w:t>
      </w:r>
      <w:r>
        <w:rPr>
          <w:rFonts w:ascii="宋体" w:hAnsi="Times New Roman" w:cs="宋体"/>
          <w:sz w:val="28"/>
          <w:szCs w:val="21"/>
        </w:rPr>
        <w:t>850.43</w:t>
      </w:r>
      <w:r>
        <w:rPr>
          <w:rFonts w:hint="eastAsia" w:ascii="宋体" w:hAnsi="Times New Roman" w:cs="宋体"/>
          <w:sz w:val="28"/>
          <w:szCs w:val="21"/>
        </w:rPr>
        <w:t>万元，主要用于以下方面：一般公共服务（类）支出</w:t>
      </w:r>
      <w:r>
        <w:rPr>
          <w:rFonts w:ascii="宋体" w:hAnsi="Times New Roman" w:cs="宋体"/>
          <w:sz w:val="28"/>
          <w:szCs w:val="21"/>
        </w:rPr>
        <w:t>850.43</w:t>
      </w:r>
      <w:r>
        <w:rPr>
          <w:rFonts w:hint="eastAsia" w:ascii="宋体" w:hAnsi="Times New Roman" w:cs="宋体"/>
          <w:sz w:val="28"/>
          <w:szCs w:val="21"/>
        </w:rPr>
        <w:t>万元，占</w:t>
      </w:r>
      <w:r>
        <w:rPr>
          <w:rFonts w:ascii="宋体" w:hAnsi="Times New Roman" w:cs="宋体"/>
          <w:sz w:val="28"/>
          <w:szCs w:val="21"/>
        </w:rPr>
        <w:t>100%</w:t>
      </w:r>
      <w:r>
        <w:rPr>
          <w:rFonts w:hint="eastAsia" w:ascii="宋体" w:hAnsi="Times New Roman" w:cs="宋体"/>
          <w:sz w:val="28"/>
          <w:szCs w:val="21"/>
        </w:rPr>
        <w:t>。</w:t>
      </w:r>
      <w:r>
        <w:rPr>
          <w:rFonts w:ascii="宋体" w:hAnsi="Times New Roman" w:cs="宋体"/>
          <w:sz w:val="28"/>
          <w:szCs w:val="21"/>
        </w:rPr>
        <w:t xml:space="preserve"> </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（三）具体情况。</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年度一般公共预算财政拨款支出年初预算为</w:t>
      </w:r>
      <w:r>
        <w:rPr>
          <w:rFonts w:ascii="宋体" w:hAnsi="Times New Roman" w:cs="宋体"/>
          <w:sz w:val="28"/>
          <w:szCs w:val="21"/>
        </w:rPr>
        <w:t>850.43</w:t>
      </w:r>
      <w:r>
        <w:rPr>
          <w:rFonts w:hint="eastAsia" w:ascii="宋体" w:hAnsi="Times New Roman" w:cs="宋体"/>
          <w:sz w:val="28"/>
          <w:szCs w:val="21"/>
        </w:rPr>
        <w:t>万元，支出决算为</w:t>
      </w:r>
      <w:r>
        <w:rPr>
          <w:rFonts w:ascii="宋体" w:hAnsi="Times New Roman" w:cs="宋体"/>
          <w:sz w:val="28"/>
          <w:szCs w:val="21"/>
        </w:rPr>
        <w:t>850.43</w:t>
      </w:r>
      <w:r>
        <w:rPr>
          <w:rFonts w:hint="eastAsia" w:ascii="宋体" w:hAnsi="Times New Roman" w:cs="宋体"/>
          <w:sz w:val="28"/>
          <w:szCs w:val="21"/>
        </w:rPr>
        <w:t>万元，完成年初预算的</w:t>
      </w:r>
      <w:r>
        <w:rPr>
          <w:rFonts w:ascii="宋体" w:hAnsi="Times New Roman" w:cs="宋体"/>
          <w:sz w:val="28"/>
          <w:szCs w:val="21"/>
        </w:rPr>
        <w:t>100%</w:t>
      </w:r>
      <w:r>
        <w:rPr>
          <w:rFonts w:hint="eastAsia" w:ascii="宋体" w:hAnsi="Times New Roman" w:cs="宋体"/>
          <w:sz w:val="28"/>
          <w:szCs w:val="21"/>
        </w:rPr>
        <w:t>。其中：</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1</w:t>
      </w:r>
      <w:r>
        <w:rPr>
          <w:rFonts w:hint="eastAsia" w:ascii="宋体" w:hAnsi="Times New Roman" w:cs="宋体"/>
          <w:sz w:val="28"/>
          <w:szCs w:val="21"/>
        </w:rPr>
        <w:t>．一般公共服务支出（类）商贸事务（款）行政运行（项）。年初预算为</w:t>
      </w:r>
      <w:r>
        <w:rPr>
          <w:rFonts w:ascii="宋体" w:hAnsi="Times New Roman" w:cs="宋体"/>
          <w:sz w:val="28"/>
          <w:szCs w:val="21"/>
        </w:rPr>
        <w:t>850.43</w:t>
      </w:r>
      <w:r>
        <w:rPr>
          <w:rFonts w:hint="eastAsia" w:ascii="宋体" w:hAnsi="Times New Roman" w:cs="宋体"/>
          <w:sz w:val="28"/>
          <w:szCs w:val="21"/>
        </w:rPr>
        <w:t>万元，支出决算为</w:t>
      </w:r>
      <w:r>
        <w:rPr>
          <w:rFonts w:ascii="宋体" w:hAnsi="Times New Roman" w:cs="宋体"/>
          <w:sz w:val="28"/>
          <w:szCs w:val="21"/>
        </w:rPr>
        <w:t>850.43</w:t>
      </w:r>
      <w:r>
        <w:rPr>
          <w:rFonts w:hint="eastAsia" w:ascii="宋体" w:hAnsi="Times New Roman" w:cs="宋体"/>
          <w:sz w:val="28"/>
          <w:szCs w:val="21"/>
        </w:rPr>
        <w:t>万元，完成年初预算的</w:t>
      </w:r>
      <w:r>
        <w:rPr>
          <w:rFonts w:ascii="宋体" w:hAnsi="Times New Roman" w:cs="宋体"/>
          <w:sz w:val="28"/>
          <w:szCs w:val="21"/>
        </w:rPr>
        <w:t>100%</w:t>
      </w:r>
      <w:r>
        <w:rPr>
          <w:rFonts w:hint="eastAsia" w:ascii="宋体" w:hAnsi="Times New Roman" w:cs="宋体"/>
          <w:sz w:val="28"/>
          <w:szCs w:val="21"/>
        </w:rPr>
        <w:t>。</w:t>
      </w: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六、一般公共预算财政拨款基本支出决算情况说明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年度一般公共预算财政拨款基本支出</w:t>
      </w:r>
      <w:r>
        <w:rPr>
          <w:rFonts w:ascii="宋体" w:hAnsi="Times New Roman" w:cs="宋体"/>
          <w:sz w:val="28"/>
          <w:szCs w:val="21"/>
        </w:rPr>
        <w:t>850.43</w:t>
      </w:r>
      <w:r>
        <w:rPr>
          <w:rFonts w:hint="eastAsia" w:ascii="宋体" w:hAnsi="Times New Roman" w:cs="宋体"/>
          <w:sz w:val="28"/>
          <w:szCs w:val="21"/>
        </w:rPr>
        <w:t>万元。其中：人员经费</w:t>
      </w:r>
      <w:r>
        <w:rPr>
          <w:rFonts w:ascii="宋体" w:hAnsi="Times New Roman" w:cs="宋体"/>
          <w:sz w:val="28"/>
          <w:szCs w:val="21"/>
        </w:rPr>
        <w:t>456.07</w:t>
      </w:r>
      <w:r>
        <w:rPr>
          <w:rFonts w:hint="eastAsia" w:ascii="宋体" w:hAnsi="Times New Roman" w:cs="宋体"/>
          <w:sz w:val="28"/>
          <w:szCs w:val="21"/>
        </w:rPr>
        <w:t>万元，主要包括：基本工资、津贴补贴、奖金、机关事业单位基本养老保险缴费、职业年金缴费、职工基本医疗保险缴费、其他工资福利支出；公用经费</w:t>
      </w:r>
      <w:r>
        <w:rPr>
          <w:rFonts w:ascii="宋体" w:hAnsi="Times New Roman" w:cs="宋体"/>
          <w:sz w:val="28"/>
          <w:szCs w:val="21"/>
        </w:rPr>
        <w:t>394.36</w:t>
      </w:r>
      <w:r>
        <w:rPr>
          <w:rFonts w:hint="eastAsia" w:ascii="宋体" w:hAnsi="Times New Roman" w:cs="宋体"/>
          <w:sz w:val="28"/>
          <w:szCs w:val="21"/>
        </w:rPr>
        <w:t>万元，主要包括：办公费、印刷费、电费、邮电费、差旅费、其他商品和服务支出。</w:t>
      </w: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七、一般公共预算财政拨款“三公”经费支出决算情况说明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（一）</w:t>
      </w:r>
      <w:r>
        <w:rPr>
          <w:rFonts w:ascii="宋体" w:hAnsi="Times New Roman" w:cs="宋体"/>
          <w:sz w:val="28"/>
          <w:szCs w:val="21"/>
        </w:rPr>
        <w:t>“</w:t>
      </w:r>
      <w:r>
        <w:rPr>
          <w:rFonts w:hint="eastAsia" w:ascii="宋体" w:hAnsi="Times New Roman" w:cs="宋体"/>
          <w:sz w:val="28"/>
          <w:szCs w:val="21"/>
        </w:rPr>
        <w:t>三公</w:t>
      </w:r>
      <w:r>
        <w:rPr>
          <w:rFonts w:ascii="宋体" w:hAnsi="Times New Roman" w:cs="宋体"/>
          <w:sz w:val="28"/>
          <w:szCs w:val="21"/>
        </w:rPr>
        <w:t>”</w:t>
      </w:r>
      <w:r>
        <w:rPr>
          <w:rFonts w:hint="eastAsia" w:ascii="宋体" w:hAnsi="Times New Roman" w:cs="宋体"/>
          <w:sz w:val="28"/>
          <w:szCs w:val="21"/>
        </w:rPr>
        <w:t>经费财政拨款支出决算总体情况说明。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w:t>
      </w:r>
      <w:r>
        <w:rPr>
          <w:rFonts w:ascii="宋体" w:hAnsi="Times New Roman" w:cs="宋体"/>
          <w:sz w:val="28"/>
          <w:szCs w:val="21"/>
        </w:rPr>
        <w:t>“</w:t>
      </w:r>
      <w:r>
        <w:rPr>
          <w:rFonts w:hint="eastAsia" w:ascii="宋体" w:hAnsi="Times New Roman" w:cs="宋体"/>
          <w:sz w:val="28"/>
          <w:szCs w:val="21"/>
        </w:rPr>
        <w:t>三公</w:t>
      </w:r>
      <w:r>
        <w:rPr>
          <w:rFonts w:ascii="宋体" w:hAnsi="Times New Roman" w:cs="宋体"/>
          <w:sz w:val="28"/>
          <w:szCs w:val="21"/>
        </w:rPr>
        <w:t>”</w:t>
      </w:r>
      <w:r>
        <w:rPr>
          <w:rFonts w:hint="eastAsia" w:ascii="宋体" w:hAnsi="Times New Roman" w:cs="宋体"/>
          <w:sz w:val="28"/>
          <w:szCs w:val="21"/>
        </w:rPr>
        <w:t>经费财政拨款支出预算为</w:t>
      </w:r>
      <w:r>
        <w:rPr>
          <w:rFonts w:ascii="宋体" w:hAnsi="Times New Roman" w:cs="宋体"/>
          <w:sz w:val="28"/>
          <w:szCs w:val="21"/>
        </w:rPr>
        <w:t>0</w:t>
      </w:r>
      <w:r>
        <w:rPr>
          <w:rFonts w:hint="eastAsia" w:ascii="宋体" w:hAnsi="Times New Roman" w:cs="宋体"/>
          <w:sz w:val="28"/>
          <w:szCs w:val="21"/>
        </w:rPr>
        <w:t>万元，支出决算为</w:t>
      </w:r>
      <w:r>
        <w:rPr>
          <w:rFonts w:ascii="宋体" w:hAnsi="Times New Roman" w:cs="宋体"/>
          <w:sz w:val="28"/>
          <w:szCs w:val="21"/>
        </w:rPr>
        <w:t>0</w:t>
      </w:r>
      <w:r>
        <w:rPr>
          <w:rFonts w:hint="eastAsia" w:ascii="宋体" w:hAnsi="Times New Roman" w:cs="宋体"/>
          <w:sz w:val="28"/>
          <w:szCs w:val="21"/>
        </w:rPr>
        <w:t>万元，完成预算的</w:t>
      </w:r>
      <w:r>
        <w:rPr>
          <w:rFonts w:ascii="宋体" w:hAnsi="Times New Roman" w:cs="宋体"/>
          <w:sz w:val="28"/>
          <w:szCs w:val="21"/>
        </w:rPr>
        <w:t>0%</w:t>
      </w:r>
      <w:r>
        <w:rPr>
          <w:rFonts w:hint="eastAsia" w:ascii="宋体" w:hAnsi="Times New Roman" w:cs="宋体"/>
          <w:sz w:val="28"/>
          <w:szCs w:val="21"/>
        </w:rPr>
        <w:t>。</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（二）</w:t>
      </w:r>
      <w:r>
        <w:rPr>
          <w:rFonts w:ascii="宋体" w:hAnsi="Times New Roman" w:cs="宋体"/>
          <w:sz w:val="28"/>
          <w:szCs w:val="21"/>
        </w:rPr>
        <w:t>“</w:t>
      </w:r>
      <w:r>
        <w:rPr>
          <w:rFonts w:hint="eastAsia" w:ascii="宋体" w:hAnsi="Times New Roman" w:cs="宋体"/>
          <w:sz w:val="28"/>
          <w:szCs w:val="21"/>
        </w:rPr>
        <w:t>三公</w:t>
      </w:r>
      <w:r>
        <w:rPr>
          <w:rFonts w:ascii="宋体" w:hAnsi="Times New Roman" w:cs="宋体"/>
          <w:sz w:val="28"/>
          <w:szCs w:val="21"/>
        </w:rPr>
        <w:t>”</w:t>
      </w:r>
      <w:r>
        <w:rPr>
          <w:rFonts w:hint="eastAsia" w:ascii="宋体" w:hAnsi="Times New Roman" w:cs="宋体"/>
          <w:sz w:val="28"/>
          <w:szCs w:val="21"/>
        </w:rPr>
        <w:t>经费财政拨款支出决算具体情况说明。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w:t>
      </w:r>
      <w:r>
        <w:rPr>
          <w:rFonts w:ascii="宋体" w:hAnsi="Times New Roman" w:cs="宋体"/>
          <w:sz w:val="28"/>
          <w:szCs w:val="21"/>
        </w:rPr>
        <w:t>“</w:t>
      </w:r>
      <w:r>
        <w:rPr>
          <w:rFonts w:hint="eastAsia" w:ascii="宋体" w:hAnsi="Times New Roman" w:cs="宋体"/>
          <w:sz w:val="28"/>
          <w:szCs w:val="21"/>
        </w:rPr>
        <w:t>三公</w:t>
      </w:r>
      <w:r>
        <w:rPr>
          <w:rFonts w:ascii="宋体" w:hAnsi="Times New Roman" w:cs="宋体"/>
          <w:sz w:val="28"/>
          <w:szCs w:val="21"/>
        </w:rPr>
        <w:t>”</w:t>
      </w:r>
      <w:r>
        <w:rPr>
          <w:rFonts w:hint="eastAsia" w:ascii="宋体" w:hAnsi="Times New Roman" w:cs="宋体"/>
          <w:sz w:val="28"/>
          <w:szCs w:val="21"/>
        </w:rPr>
        <w:t>经费财政拨款支出决算中，因公出国（境）费支出决算</w:t>
      </w:r>
      <w:r>
        <w:rPr>
          <w:rFonts w:ascii="宋体" w:hAnsi="Times New Roman" w:cs="宋体"/>
          <w:sz w:val="28"/>
          <w:szCs w:val="21"/>
        </w:rPr>
        <w:t>0</w:t>
      </w:r>
      <w:r>
        <w:rPr>
          <w:rFonts w:hint="eastAsia" w:ascii="宋体" w:hAnsi="Times New Roman" w:cs="宋体"/>
          <w:sz w:val="28"/>
          <w:szCs w:val="21"/>
        </w:rPr>
        <w:t>万元，完成预算的</w:t>
      </w:r>
      <w:r>
        <w:rPr>
          <w:rFonts w:ascii="宋体" w:hAnsi="Times New Roman" w:cs="宋体"/>
          <w:sz w:val="28"/>
          <w:szCs w:val="21"/>
        </w:rPr>
        <w:t>0%</w:t>
      </w:r>
      <w:r>
        <w:rPr>
          <w:rFonts w:hint="eastAsia" w:ascii="宋体" w:hAnsi="Times New Roman" w:cs="宋体"/>
          <w:sz w:val="28"/>
          <w:szCs w:val="21"/>
        </w:rPr>
        <w:t>，占</w:t>
      </w:r>
      <w:r>
        <w:rPr>
          <w:rFonts w:ascii="宋体" w:hAnsi="Times New Roman" w:cs="宋体"/>
          <w:sz w:val="28"/>
          <w:szCs w:val="21"/>
        </w:rPr>
        <w:t>0%</w:t>
      </w:r>
      <w:r>
        <w:rPr>
          <w:rFonts w:hint="eastAsia" w:ascii="宋体" w:hAnsi="Times New Roman" w:cs="宋体"/>
          <w:sz w:val="28"/>
          <w:szCs w:val="21"/>
        </w:rPr>
        <w:t>；公务用车购置及运行费支出决算</w:t>
      </w:r>
      <w:r>
        <w:rPr>
          <w:rFonts w:ascii="宋体" w:hAnsi="Times New Roman" w:cs="宋体"/>
          <w:sz w:val="28"/>
          <w:szCs w:val="21"/>
        </w:rPr>
        <w:t>0</w:t>
      </w:r>
      <w:r>
        <w:rPr>
          <w:rFonts w:hint="eastAsia" w:ascii="宋体" w:hAnsi="Times New Roman" w:cs="宋体"/>
          <w:sz w:val="28"/>
          <w:szCs w:val="21"/>
        </w:rPr>
        <w:t>万元，完成预算的</w:t>
      </w:r>
      <w:r>
        <w:rPr>
          <w:rFonts w:ascii="宋体" w:hAnsi="Times New Roman" w:cs="宋体"/>
          <w:sz w:val="28"/>
          <w:szCs w:val="21"/>
        </w:rPr>
        <w:t>0%</w:t>
      </w:r>
      <w:r>
        <w:rPr>
          <w:rFonts w:hint="eastAsia" w:ascii="宋体" w:hAnsi="Times New Roman" w:cs="宋体"/>
          <w:sz w:val="28"/>
          <w:szCs w:val="21"/>
        </w:rPr>
        <w:t>，占</w:t>
      </w:r>
      <w:r>
        <w:rPr>
          <w:rFonts w:ascii="宋体" w:hAnsi="Times New Roman" w:cs="宋体"/>
          <w:sz w:val="28"/>
          <w:szCs w:val="21"/>
        </w:rPr>
        <w:t>0%</w:t>
      </w:r>
      <w:r>
        <w:rPr>
          <w:rFonts w:hint="eastAsia" w:ascii="宋体" w:hAnsi="Times New Roman" w:cs="宋体"/>
          <w:sz w:val="28"/>
          <w:szCs w:val="21"/>
        </w:rPr>
        <w:t>；公务接待费支出决算</w:t>
      </w:r>
      <w:r>
        <w:rPr>
          <w:rFonts w:ascii="宋体" w:hAnsi="Times New Roman" w:cs="宋体"/>
          <w:sz w:val="28"/>
          <w:szCs w:val="21"/>
        </w:rPr>
        <w:t>0</w:t>
      </w:r>
      <w:r>
        <w:rPr>
          <w:rFonts w:hint="eastAsia" w:ascii="宋体" w:hAnsi="Times New Roman" w:cs="宋体"/>
          <w:sz w:val="28"/>
          <w:szCs w:val="21"/>
        </w:rPr>
        <w:t>万元，完成预算的</w:t>
      </w:r>
      <w:r>
        <w:rPr>
          <w:rFonts w:ascii="宋体" w:hAnsi="Times New Roman" w:cs="宋体"/>
          <w:sz w:val="28"/>
          <w:szCs w:val="21"/>
        </w:rPr>
        <w:t>0%</w:t>
      </w:r>
      <w:r>
        <w:rPr>
          <w:rFonts w:hint="eastAsia" w:ascii="宋体" w:hAnsi="Times New Roman" w:cs="宋体"/>
          <w:sz w:val="28"/>
          <w:szCs w:val="21"/>
        </w:rPr>
        <w:t>，占</w:t>
      </w:r>
      <w:r>
        <w:rPr>
          <w:rFonts w:ascii="宋体" w:hAnsi="Times New Roman" w:cs="宋体"/>
          <w:sz w:val="28"/>
          <w:szCs w:val="21"/>
        </w:rPr>
        <w:t>0%</w:t>
      </w:r>
      <w:r>
        <w:rPr>
          <w:rFonts w:hint="eastAsia" w:ascii="宋体" w:hAnsi="Times New Roman" w:cs="宋体"/>
          <w:sz w:val="28"/>
          <w:szCs w:val="21"/>
        </w:rPr>
        <w:t>。具体情况如下：</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1</w:t>
      </w:r>
      <w:r>
        <w:rPr>
          <w:rFonts w:hint="eastAsia" w:ascii="宋体" w:hAnsi="Times New Roman" w:cs="宋体"/>
          <w:sz w:val="28"/>
          <w:szCs w:val="21"/>
        </w:rPr>
        <w:t>．因公出国（境）费预算为</w:t>
      </w:r>
      <w:r>
        <w:rPr>
          <w:rFonts w:ascii="宋体" w:hAnsi="Times New Roman" w:cs="宋体"/>
          <w:sz w:val="28"/>
          <w:szCs w:val="21"/>
        </w:rPr>
        <w:t>0</w:t>
      </w:r>
      <w:r>
        <w:rPr>
          <w:rFonts w:hint="eastAsia" w:ascii="宋体" w:hAnsi="Times New Roman" w:cs="宋体"/>
          <w:sz w:val="28"/>
          <w:szCs w:val="21"/>
        </w:rPr>
        <w:t>万元，支出决算为</w:t>
      </w:r>
      <w:r>
        <w:rPr>
          <w:rFonts w:ascii="宋体" w:hAnsi="Times New Roman" w:cs="宋体"/>
          <w:sz w:val="28"/>
          <w:szCs w:val="21"/>
        </w:rPr>
        <w:t>0</w:t>
      </w:r>
      <w:r>
        <w:rPr>
          <w:rFonts w:hint="eastAsia" w:ascii="宋体" w:hAnsi="Times New Roman" w:cs="宋体"/>
          <w:sz w:val="28"/>
          <w:szCs w:val="21"/>
        </w:rPr>
        <w:t>万元，完成预算的</w:t>
      </w:r>
      <w:r>
        <w:rPr>
          <w:rFonts w:ascii="宋体" w:hAnsi="Times New Roman" w:cs="宋体"/>
          <w:sz w:val="28"/>
          <w:szCs w:val="21"/>
        </w:rPr>
        <w:t>0%</w:t>
      </w:r>
      <w:r>
        <w:rPr>
          <w:rFonts w:hint="eastAsia" w:ascii="宋体" w:hAnsi="Times New Roman" w:cs="宋体"/>
          <w:sz w:val="28"/>
          <w:szCs w:val="21"/>
        </w:rPr>
        <w:t>。全年因公出国（境）团组</w:t>
      </w:r>
      <w:r>
        <w:rPr>
          <w:rFonts w:ascii="宋体" w:hAnsi="Times New Roman" w:cs="宋体"/>
          <w:sz w:val="28"/>
          <w:szCs w:val="21"/>
        </w:rPr>
        <w:t>0</w:t>
      </w:r>
      <w:r>
        <w:rPr>
          <w:rFonts w:hint="eastAsia" w:ascii="宋体" w:hAnsi="Times New Roman" w:cs="宋体"/>
          <w:sz w:val="28"/>
          <w:szCs w:val="21"/>
        </w:rPr>
        <w:t>个，累计</w:t>
      </w:r>
      <w:r>
        <w:rPr>
          <w:rFonts w:ascii="宋体" w:hAnsi="Times New Roman" w:cs="宋体"/>
          <w:sz w:val="28"/>
          <w:szCs w:val="21"/>
        </w:rPr>
        <w:t>0</w:t>
      </w:r>
      <w:r>
        <w:rPr>
          <w:rFonts w:hint="eastAsia" w:ascii="宋体" w:hAnsi="Times New Roman" w:cs="宋体"/>
          <w:sz w:val="28"/>
          <w:szCs w:val="21"/>
        </w:rPr>
        <w:t>人次。</w:t>
      </w:r>
    </w:p>
    <w:p>
      <w:pPr>
        <w:autoSpaceDE w:val="0"/>
        <w:autoSpaceDN w:val="0"/>
        <w:adjustRightInd w:val="0"/>
        <w:spacing w:beforeLines="50" w:afterLines="50" w:line="360" w:lineRule="auto"/>
        <w:ind w:firstLine="560" w:firstLineChars="200"/>
        <w:jc w:val="left"/>
        <w:rPr>
          <w:rFonts w:hint="default" w:ascii="宋体" w:hAnsi="Times New Roman" w:eastAsia="宋体" w:cs="宋体"/>
          <w:sz w:val="28"/>
          <w:szCs w:val="21"/>
          <w:lang w:val="en-US" w:eastAsia="zh-CN"/>
        </w:rPr>
      </w:pPr>
      <w:r>
        <w:rPr>
          <w:rFonts w:ascii="宋体" w:hAnsi="Times New Roman" w:cs="宋体"/>
          <w:sz w:val="28"/>
          <w:szCs w:val="21"/>
        </w:rPr>
        <w:t>2</w:t>
      </w:r>
      <w:r>
        <w:rPr>
          <w:rFonts w:hint="eastAsia" w:ascii="宋体" w:hAnsi="Times New Roman" w:cs="宋体"/>
          <w:sz w:val="28"/>
          <w:szCs w:val="21"/>
        </w:rPr>
        <w:t>．公务用车购置及运行费预算为</w:t>
      </w:r>
      <w:r>
        <w:rPr>
          <w:rFonts w:ascii="宋体" w:hAnsi="Times New Roman" w:cs="宋体"/>
          <w:sz w:val="28"/>
          <w:szCs w:val="21"/>
        </w:rPr>
        <w:t>0</w:t>
      </w:r>
      <w:r>
        <w:rPr>
          <w:rFonts w:hint="eastAsia" w:ascii="宋体" w:hAnsi="Times New Roman" w:cs="宋体"/>
          <w:sz w:val="28"/>
          <w:szCs w:val="21"/>
        </w:rPr>
        <w:t>万元，支出决算为</w:t>
      </w:r>
      <w:r>
        <w:rPr>
          <w:rFonts w:ascii="宋体" w:hAnsi="Times New Roman" w:cs="宋体"/>
          <w:sz w:val="28"/>
          <w:szCs w:val="21"/>
        </w:rPr>
        <w:t>0</w:t>
      </w:r>
      <w:r>
        <w:rPr>
          <w:rFonts w:hint="eastAsia" w:ascii="宋体" w:hAnsi="Times New Roman" w:cs="宋体"/>
          <w:sz w:val="28"/>
          <w:szCs w:val="21"/>
        </w:rPr>
        <w:t>万元，完成预算的</w:t>
      </w:r>
      <w:r>
        <w:rPr>
          <w:rFonts w:ascii="宋体" w:hAnsi="Times New Roman" w:cs="宋体"/>
          <w:sz w:val="28"/>
          <w:szCs w:val="21"/>
        </w:rPr>
        <w:t>0%</w:t>
      </w:r>
      <w:r>
        <w:rPr>
          <w:rFonts w:hint="eastAsia" w:ascii="宋体" w:hAnsi="Times New Roman" w:cs="宋体"/>
          <w:sz w:val="28"/>
          <w:szCs w:val="21"/>
        </w:rPr>
        <w:t>。</w:t>
      </w:r>
      <w:r>
        <w:rPr>
          <w:rFonts w:hint="eastAsia" w:ascii="宋体" w:hAnsi="Times New Roman" w:cs="宋体"/>
          <w:sz w:val="28"/>
          <w:szCs w:val="21"/>
          <w:lang w:val="en-US" w:eastAsia="zh-CN"/>
        </w:rPr>
        <w:t>公务用车保有量为0辆。</w:t>
      </w:r>
    </w:p>
    <w:p>
      <w:pPr>
        <w:numPr>
          <w:ilvl w:val="0"/>
          <w:numId w:val="0"/>
        </w:numPr>
        <w:autoSpaceDE w:val="0"/>
        <w:autoSpaceDN w:val="0"/>
        <w:adjustRightInd w:val="0"/>
        <w:spacing w:before="158" w:beforeLines="50" w:after="158" w:afterLines="50" w:line="360" w:lineRule="auto"/>
        <w:ind w:firstLine="560" w:firstLineChars="200"/>
        <w:jc w:val="left"/>
        <w:rPr>
          <w:rFonts w:hint="eastAsia" w:ascii="宋体" w:hAnsi="Times New Roman" w:cs="宋体"/>
          <w:sz w:val="28"/>
          <w:szCs w:val="21"/>
        </w:rPr>
      </w:pPr>
      <w:r>
        <w:rPr>
          <w:rFonts w:hint="eastAsia" w:ascii="宋体" w:hAnsi="Times New Roman" w:cs="宋体"/>
          <w:sz w:val="28"/>
          <w:szCs w:val="21"/>
          <w:lang w:val="en-US" w:eastAsia="zh-CN"/>
        </w:rPr>
        <w:t>3.</w:t>
      </w:r>
      <w:r>
        <w:rPr>
          <w:rFonts w:hint="eastAsia" w:ascii="宋体" w:hAnsi="Times New Roman" w:cs="宋体"/>
          <w:sz w:val="28"/>
          <w:szCs w:val="21"/>
        </w:rPr>
        <w:t>公务接待费预算为</w:t>
      </w:r>
      <w:r>
        <w:rPr>
          <w:rFonts w:ascii="宋体" w:hAnsi="Times New Roman" w:cs="宋体"/>
          <w:sz w:val="28"/>
          <w:szCs w:val="21"/>
        </w:rPr>
        <w:t>0</w:t>
      </w:r>
      <w:r>
        <w:rPr>
          <w:rFonts w:hint="eastAsia" w:ascii="宋体" w:hAnsi="Times New Roman" w:cs="宋体"/>
          <w:sz w:val="28"/>
          <w:szCs w:val="21"/>
        </w:rPr>
        <w:t>万元，支出决算为</w:t>
      </w:r>
      <w:r>
        <w:rPr>
          <w:rFonts w:ascii="宋体" w:hAnsi="Times New Roman" w:cs="宋体"/>
          <w:sz w:val="28"/>
          <w:szCs w:val="21"/>
        </w:rPr>
        <w:t>0</w:t>
      </w:r>
      <w:r>
        <w:rPr>
          <w:rFonts w:hint="eastAsia" w:ascii="宋体" w:hAnsi="Times New Roman" w:cs="宋体"/>
          <w:sz w:val="28"/>
          <w:szCs w:val="21"/>
        </w:rPr>
        <w:t>万元，完成预算的</w:t>
      </w:r>
      <w:r>
        <w:rPr>
          <w:rFonts w:ascii="宋体" w:hAnsi="Times New Roman" w:cs="宋体"/>
          <w:sz w:val="28"/>
          <w:szCs w:val="21"/>
        </w:rPr>
        <w:t>0%</w:t>
      </w:r>
      <w:r>
        <w:rPr>
          <w:rFonts w:hint="eastAsia" w:ascii="宋体" w:hAnsi="Times New Roman" w:cs="宋体"/>
          <w:sz w:val="28"/>
          <w:szCs w:val="21"/>
        </w:rPr>
        <w:t>。全年因公</w:t>
      </w:r>
      <w:r>
        <w:rPr>
          <w:rFonts w:hint="eastAsia" w:ascii="宋体" w:hAnsi="Times New Roman" w:cs="宋体"/>
          <w:sz w:val="28"/>
          <w:szCs w:val="21"/>
          <w:lang w:val="en-US" w:eastAsia="zh-CN"/>
        </w:rPr>
        <w:t>接待</w:t>
      </w:r>
      <w:r>
        <w:rPr>
          <w:rFonts w:hint="eastAsia" w:ascii="宋体" w:hAnsi="Times New Roman" w:cs="宋体"/>
          <w:sz w:val="28"/>
          <w:szCs w:val="21"/>
        </w:rPr>
        <w:t>团组</w:t>
      </w:r>
      <w:r>
        <w:rPr>
          <w:rFonts w:hint="eastAsia" w:ascii="宋体" w:hAnsi="Times New Roman" w:cs="宋体"/>
          <w:sz w:val="28"/>
          <w:szCs w:val="21"/>
          <w:lang w:val="en-US" w:eastAsia="zh-CN"/>
        </w:rPr>
        <w:t>0</w:t>
      </w:r>
      <w:r>
        <w:rPr>
          <w:rFonts w:hint="eastAsia" w:ascii="宋体" w:hAnsi="Times New Roman" w:cs="宋体"/>
          <w:sz w:val="28"/>
          <w:szCs w:val="21"/>
        </w:rPr>
        <w:t>个，累计</w:t>
      </w:r>
      <w:r>
        <w:rPr>
          <w:rFonts w:hint="eastAsia" w:ascii="宋体" w:hAnsi="Times New Roman" w:cs="宋体"/>
          <w:sz w:val="28"/>
          <w:szCs w:val="21"/>
          <w:lang w:val="en-US" w:eastAsia="zh-CN"/>
        </w:rPr>
        <w:t>0</w:t>
      </w:r>
      <w:r>
        <w:rPr>
          <w:rFonts w:hint="eastAsia" w:ascii="宋体" w:hAnsi="Times New Roman" w:cs="宋体"/>
          <w:sz w:val="28"/>
          <w:szCs w:val="21"/>
        </w:rPr>
        <w:t>人次。</w:t>
      </w:r>
    </w:p>
    <w:p>
      <w:pPr>
        <w:numPr>
          <w:ilvl w:val="0"/>
          <w:numId w:val="0"/>
        </w:numPr>
        <w:autoSpaceDE w:val="0"/>
        <w:autoSpaceDN w:val="0"/>
        <w:adjustRightInd w:val="0"/>
        <w:spacing w:before="158" w:beforeLines="50" w:after="158" w:afterLines="50" w:line="360" w:lineRule="auto"/>
        <w:ind w:firstLine="560" w:firstLineChars="200"/>
        <w:jc w:val="left"/>
        <w:rPr>
          <w:rFonts w:hint="eastAsia" w:ascii="宋体" w:hAnsi="Times New Roman" w:cs="宋体"/>
          <w:sz w:val="28"/>
          <w:szCs w:val="21"/>
        </w:rPr>
      </w:pPr>
      <w:r>
        <w:rPr>
          <w:rFonts w:hint="eastAsia" w:ascii="宋体" w:hAnsi="Times New Roman" w:cs="宋体"/>
          <w:sz w:val="28"/>
          <w:szCs w:val="21"/>
          <w:lang w:val="en-US" w:eastAsia="zh-CN"/>
        </w:rPr>
        <w:t>4.</w:t>
      </w:r>
      <w:r>
        <w:rPr>
          <w:rFonts w:hint="eastAsia" w:ascii="宋体" w:hAnsi="Times New Roman" w:cs="宋体"/>
          <w:sz w:val="28"/>
          <w:szCs w:val="21"/>
        </w:rPr>
        <w:t>外宾接待支出0万元。</w:t>
      </w:r>
      <w:r>
        <w:rPr>
          <w:rFonts w:ascii="宋体" w:hAnsi="Times New Roman" w:cs="宋体"/>
          <w:sz w:val="28"/>
          <w:szCs w:val="21"/>
        </w:rPr>
        <w:t>2019</w:t>
      </w:r>
      <w:r>
        <w:rPr>
          <w:rFonts w:hint="eastAsia" w:ascii="宋体" w:hAnsi="Times New Roman" w:cs="宋体"/>
          <w:sz w:val="28"/>
          <w:szCs w:val="21"/>
        </w:rPr>
        <w:t>年共接待国（境）外来访团组0个、来访外宾0人次（不包括陪同人员）。</w:t>
      </w:r>
    </w:p>
    <w:p>
      <w:pPr>
        <w:autoSpaceDE w:val="0"/>
        <w:autoSpaceDN w:val="0"/>
        <w:adjustRightInd w:val="0"/>
        <w:spacing w:before="158" w:beforeLines="50" w:after="158" w:afterLines="50" w:line="360" w:lineRule="auto"/>
        <w:ind w:firstLine="560" w:firstLineChars="200"/>
        <w:jc w:val="left"/>
        <w:rPr>
          <w:rFonts w:hint="default" w:ascii="宋体" w:hAnsi="Times New Roman" w:eastAsia="宋体" w:cs="宋体"/>
          <w:sz w:val="28"/>
          <w:szCs w:val="21"/>
          <w:lang w:val="en-US" w:eastAsia="zh-CN"/>
        </w:rPr>
      </w:pPr>
      <w:r>
        <w:rPr>
          <w:rFonts w:hint="eastAsia" w:ascii="宋体" w:hAnsi="Times New Roman" w:cs="宋体"/>
          <w:sz w:val="28"/>
          <w:szCs w:val="21"/>
        </w:rPr>
        <w:t>其他国内公务接待支出0万元。</w:t>
      </w:r>
      <w:r>
        <w:rPr>
          <w:rFonts w:ascii="宋体" w:hAnsi="Times New Roman" w:cs="宋体"/>
          <w:sz w:val="28"/>
          <w:szCs w:val="21"/>
        </w:rPr>
        <w:t>2019</w:t>
      </w:r>
      <w:r>
        <w:rPr>
          <w:rFonts w:hint="eastAsia" w:ascii="宋体" w:hAnsi="Times New Roman" w:cs="宋体"/>
          <w:sz w:val="28"/>
          <w:szCs w:val="21"/>
        </w:rPr>
        <w:t>年共接待国内来访团组0个、来宾0人次（不包括陪同人员）。</w:t>
      </w:r>
      <w:r>
        <w:rPr>
          <w:rFonts w:hint="eastAsia" w:ascii="宋体" w:hAnsi="Times New Roman" w:cs="宋体"/>
          <w:sz w:val="28"/>
          <w:szCs w:val="21"/>
          <w:lang w:val="en-US" w:eastAsia="zh-CN"/>
        </w:rPr>
        <w:t xml:space="preserve">   </w:t>
      </w: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八、预算绩效情况说明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（一）绩效管理工作开展情况。</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一是领导高度重视，对这项工作思想认识到位，工作措施到位。</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二是在单位内部控制制度和财务管理方面，工作实在，各项制度基本健全，并能得到很好的落实。保证了单位财务工作的正常运转，不断提高了单位财务的工作质量。今后，我们将进一步严格执行财务管理的规章制度，完善单位财务内控的长效机制，努力做好单位财务管理工作，力争再上新台阶。</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（二）项目绩效自评结果。</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本年度无项目支出。</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（三）以部门为主体开展的重点绩效评价结果。</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我单位以实现绩效目标为导向，深入开展财政支出绩效评价，抓好绩效目标编制，进一步加强制度建设，提升自评质量，预算绩效管理取得新成效。</w:t>
      </w: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九、政府性基金预算财政拨款支出决算情况说明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年度政府性基金预算财政拨款支出年初预算为</w:t>
      </w:r>
      <w:r>
        <w:rPr>
          <w:rFonts w:ascii="宋体" w:hAnsi="Times New Roman" w:cs="宋体"/>
          <w:sz w:val="28"/>
          <w:szCs w:val="21"/>
        </w:rPr>
        <w:t>0</w:t>
      </w:r>
      <w:r>
        <w:rPr>
          <w:rFonts w:hint="eastAsia" w:ascii="宋体" w:hAnsi="Times New Roman" w:cs="宋体"/>
          <w:sz w:val="28"/>
          <w:szCs w:val="21"/>
        </w:rPr>
        <w:t>万元，支出决算为</w:t>
      </w:r>
      <w:r>
        <w:rPr>
          <w:rFonts w:ascii="宋体" w:hAnsi="Times New Roman" w:cs="宋体"/>
          <w:sz w:val="28"/>
          <w:szCs w:val="21"/>
        </w:rPr>
        <w:t>0</w:t>
      </w:r>
      <w:r>
        <w:rPr>
          <w:rFonts w:hint="eastAsia" w:ascii="宋体" w:hAnsi="Times New Roman" w:cs="宋体"/>
          <w:sz w:val="28"/>
          <w:szCs w:val="21"/>
        </w:rPr>
        <w:t>万元，完成年初预算的</w:t>
      </w:r>
      <w:r>
        <w:rPr>
          <w:rFonts w:ascii="宋体" w:hAnsi="Times New Roman" w:cs="宋体"/>
          <w:sz w:val="28"/>
          <w:szCs w:val="21"/>
        </w:rPr>
        <w:t>0%</w:t>
      </w:r>
      <w:r>
        <w:rPr>
          <w:rFonts w:hint="eastAsia" w:ascii="宋体" w:hAnsi="Times New Roman" w:cs="宋体"/>
          <w:sz w:val="28"/>
          <w:szCs w:val="21"/>
        </w:rPr>
        <w:t>。</w:t>
      </w: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十、机关运行经费支出情况说明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年度机关运行经费年初预算为</w:t>
      </w:r>
      <w:r>
        <w:rPr>
          <w:rFonts w:ascii="宋体" w:hAnsi="Times New Roman" w:cs="宋体"/>
          <w:sz w:val="28"/>
          <w:szCs w:val="21"/>
        </w:rPr>
        <w:t>850.43</w:t>
      </w:r>
      <w:r>
        <w:rPr>
          <w:rFonts w:hint="eastAsia" w:ascii="宋体" w:hAnsi="Times New Roman" w:cs="宋体"/>
          <w:sz w:val="28"/>
          <w:szCs w:val="21"/>
        </w:rPr>
        <w:t>万元，支出决算为</w:t>
      </w:r>
      <w:r>
        <w:rPr>
          <w:rFonts w:ascii="宋体" w:hAnsi="Times New Roman" w:cs="宋体"/>
          <w:sz w:val="28"/>
          <w:szCs w:val="21"/>
        </w:rPr>
        <w:t>850.43</w:t>
      </w:r>
      <w:r>
        <w:rPr>
          <w:rFonts w:hint="eastAsia" w:ascii="宋体" w:hAnsi="Times New Roman" w:cs="宋体"/>
          <w:sz w:val="28"/>
          <w:szCs w:val="21"/>
        </w:rPr>
        <w:t>万元，完成年初预算的</w:t>
      </w:r>
      <w:r>
        <w:rPr>
          <w:rFonts w:ascii="宋体" w:hAnsi="Times New Roman" w:cs="宋体"/>
          <w:sz w:val="28"/>
          <w:szCs w:val="21"/>
        </w:rPr>
        <w:t>100%</w:t>
      </w:r>
      <w:r>
        <w:rPr>
          <w:rFonts w:hint="eastAsia" w:ascii="宋体" w:hAnsi="Times New Roman" w:cs="宋体"/>
          <w:sz w:val="28"/>
          <w:szCs w:val="21"/>
        </w:rPr>
        <w:t>。</w:t>
      </w: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十一、政府采购支出情况说明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年度政府采购支出总额</w:t>
      </w:r>
      <w:r>
        <w:rPr>
          <w:rFonts w:ascii="宋体" w:hAnsi="Times New Roman" w:cs="宋体"/>
          <w:sz w:val="28"/>
          <w:szCs w:val="21"/>
        </w:rPr>
        <w:t>0</w:t>
      </w:r>
      <w:r>
        <w:rPr>
          <w:rFonts w:hint="eastAsia" w:ascii="宋体" w:hAnsi="Times New Roman" w:cs="宋体"/>
          <w:sz w:val="28"/>
          <w:szCs w:val="21"/>
        </w:rPr>
        <w:t>万元，其中：政府采购货物支出</w:t>
      </w:r>
      <w:r>
        <w:rPr>
          <w:rFonts w:ascii="宋体" w:hAnsi="Times New Roman" w:cs="宋体"/>
          <w:sz w:val="28"/>
          <w:szCs w:val="21"/>
        </w:rPr>
        <w:t>0</w:t>
      </w:r>
      <w:r>
        <w:rPr>
          <w:rFonts w:hint="eastAsia" w:ascii="宋体" w:hAnsi="Times New Roman" w:cs="宋体"/>
          <w:sz w:val="28"/>
          <w:szCs w:val="21"/>
        </w:rPr>
        <w:t>万元、政府采购工程支出</w:t>
      </w:r>
      <w:r>
        <w:rPr>
          <w:rFonts w:ascii="宋体" w:hAnsi="Times New Roman" w:cs="宋体"/>
          <w:sz w:val="28"/>
          <w:szCs w:val="21"/>
        </w:rPr>
        <w:t>0</w:t>
      </w:r>
      <w:r>
        <w:rPr>
          <w:rFonts w:hint="eastAsia" w:ascii="宋体" w:hAnsi="Times New Roman" w:cs="宋体"/>
          <w:sz w:val="28"/>
          <w:szCs w:val="21"/>
        </w:rPr>
        <w:t>万元、政府采购服务支出</w:t>
      </w:r>
      <w:r>
        <w:rPr>
          <w:rFonts w:ascii="宋体" w:hAnsi="Times New Roman" w:cs="宋体"/>
          <w:sz w:val="28"/>
          <w:szCs w:val="21"/>
        </w:rPr>
        <w:t>0</w:t>
      </w:r>
      <w:r>
        <w:rPr>
          <w:rFonts w:hint="eastAsia" w:ascii="宋体" w:hAnsi="Times New Roman" w:cs="宋体"/>
          <w:sz w:val="28"/>
          <w:szCs w:val="21"/>
        </w:rPr>
        <w:t>万元。授予中小企业合同金额</w:t>
      </w:r>
      <w:r>
        <w:rPr>
          <w:rFonts w:ascii="宋体" w:hAnsi="Times New Roman" w:cs="宋体"/>
          <w:sz w:val="28"/>
          <w:szCs w:val="21"/>
        </w:rPr>
        <w:t>0</w:t>
      </w:r>
      <w:r>
        <w:rPr>
          <w:rFonts w:hint="eastAsia" w:ascii="宋体" w:hAnsi="Times New Roman" w:cs="宋体"/>
          <w:sz w:val="28"/>
          <w:szCs w:val="21"/>
        </w:rPr>
        <w:t>万元，占政府采购支出总额的</w:t>
      </w:r>
      <w:r>
        <w:rPr>
          <w:rFonts w:ascii="宋体" w:hAnsi="Times New Roman" w:cs="宋体"/>
          <w:sz w:val="28"/>
          <w:szCs w:val="21"/>
        </w:rPr>
        <w:t>0%</w:t>
      </w:r>
      <w:r>
        <w:rPr>
          <w:rFonts w:hint="eastAsia" w:ascii="宋体" w:hAnsi="Times New Roman" w:cs="宋体"/>
          <w:sz w:val="28"/>
          <w:szCs w:val="21"/>
        </w:rPr>
        <w:t>，其中：授予小微企业合同金额</w:t>
      </w:r>
      <w:r>
        <w:rPr>
          <w:rFonts w:ascii="宋体" w:hAnsi="Times New Roman" w:cs="宋体"/>
          <w:sz w:val="28"/>
          <w:szCs w:val="21"/>
        </w:rPr>
        <w:t>0</w:t>
      </w:r>
      <w:r>
        <w:rPr>
          <w:rFonts w:hint="eastAsia" w:ascii="宋体" w:hAnsi="Times New Roman" w:cs="宋体"/>
          <w:sz w:val="28"/>
          <w:szCs w:val="21"/>
        </w:rPr>
        <w:t>万元，占政府采购支出总额的</w:t>
      </w:r>
      <w:r>
        <w:rPr>
          <w:rFonts w:ascii="宋体" w:hAnsi="Times New Roman" w:cs="宋体"/>
          <w:sz w:val="28"/>
          <w:szCs w:val="21"/>
        </w:rPr>
        <w:t>0%</w:t>
      </w:r>
      <w:r>
        <w:rPr>
          <w:rFonts w:hint="eastAsia" w:ascii="宋体" w:hAnsi="Times New Roman" w:cs="宋体"/>
          <w:sz w:val="28"/>
          <w:szCs w:val="21"/>
        </w:rPr>
        <w:t>。</w:t>
      </w: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十二、国有资产占用情况说明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年期末，我部门共有车辆</w:t>
      </w:r>
      <w:r>
        <w:rPr>
          <w:rFonts w:ascii="宋体" w:hAnsi="Times New Roman" w:cs="宋体"/>
          <w:sz w:val="28"/>
          <w:szCs w:val="21"/>
        </w:rPr>
        <w:t>0</w:t>
      </w:r>
      <w:r>
        <w:rPr>
          <w:rFonts w:hint="eastAsia" w:ascii="宋体" w:hAnsi="Times New Roman" w:cs="宋体"/>
          <w:sz w:val="28"/>
          <w:szCs w:val="21"/>
        </w:rPr>
        <w:t>辆，其中：省级领导干部用车</w:t>
      </w:r>
      <w:r>
        <w:rPr>
          <w:rFonts w:ascii="宋体" w:hAnsi="Times New Roman" w:cs="宋体"/>
          <w:sz w:val="28"/>
          <w:szCs w:val="21"/>
        </w:rPr>
        <w:t>0</w:t>
      </w:r>
      <w:r>
        <w:rPr>
          <w:rFonts w:hint="eastAsia" w:ascii="宋体" w:hAnsi="Times New Roman" w:cs="宋体"/>
          <w:sz w:val="28"/>
          <w:szCs w:val="21"/>
        </w:rPr>
        <w:t>辆、主要领导干部用车</w:t>
      </w:r>
      <w:r>
        <w:rPr>
          <w:rFonts w:ascii="宋体" w:hAnsi="Times New Roman" w:cs="宋体"/>
          <w:sz w:val="28"/>
          <w:szCs w:val="21"/>
        </w:rPr>
        <w:t>0</w:t>
      </w:r>
      <w:r>
        <w:rPr>
          <w:rFonts w:hint="eastAsia" w:ascii="宋体" w:hAnsi="Times New Roman" w:cs="宋体"/>
          <w:sz w:val="28"/>
          <w:szCs w:val="21"/>
        </w:rPr>
        <w:t>辆、机要通信用车</w:t>
      </w:r>
      <w:r>
        <w:rPr>
          <w:rFonts w:ascii="宋体" w:hAnsi="Times New Roman" w:cs="宋体"/>
          <w:sz w:val="28"/>
          <w:szCs w:val="21"/>
        </w:rPr>
        <w:t>0</w:t>
      </w:r>
      <w:r>
        <w:rPr>
          <w:rFonts w:hint="eastAsia" w:ascii="宋体" w:hAnsi="Times New Roman" w:cs="宋体"/>
          <w:sz w:val="28"/>
          <w:szCs w:val="21"/>
        </w:rPr>
        <w:t>辆、应急保障车</w:t>
      </w:r>
      <w:r>
        <w:rPr>
          <w:rFonts w:ascii="宋体" w:hAnsi="Times New Roman" w:cs="宋体"/>
          <w:sz w:val="28"/>
          <w:szCs w:val="21"/>
        </w:rPr>
        <w:t>0</w:t>
      </w:r>
      <w:r>
        <w:rPr>
          <w:rFonts w:hint="eastAsia" w:ascii="宋体" w:hAnsi="Times New Roman" w:cs="宋体"/>
          <w:sz w:val="28"/>
          <w:szCs w:val="21"/>
        </w:rPr>
        <w:t>辆、执法执勤用车</w:t>
      </w:r>
      <w:r>
        <w:rPr>
          <w:rFonts w:ascii="宋体" w:hAnsi="Times New Roman" w:cs="宋体"/>
          <w:sz w:val="28"/>
          <w:szCs w:val="21"/>
        </w:rPr>
        <w:t>0</w:t>
      </w:r>
      <w:r>
        <w:rPr>
          <w:rFonts w:hint="eastAsia" w:ascii="宋体" w:hAnsi="Times New Roman" w:cs="宋体"/>
          <w:sz w:val="28"/>
          <w:szCs w:val="21"/>
        </w:rPr>
        <w:t>辆、特种专业技术用车</w:t>
      </w:r>
      <w:r>
        <w:rPr>
          <w:rFonts w:ascii="宋体" w:hAnsi="Times New Roman" w:cs="宋体"/>
          <w:sz w:val="28"/>
          <w:szCs w:val="21"/>
        </w:rPr>
        <w:t>0</w:t>
      </w:r>
      <w:r>
        <w:rPr>
          <w:rFonts w:hint="eastAsia" w:ascii="宋体" w:hAnsi="Times New Roman" w:cs="宋体"/>
          <w:sz w:val="28"/>
          <w:szCs w:val="21"/>
        </w:rPr>
        <w:t>辆、离退休干部用车</w:t>
      </w:r>
      <w:r>
        <w:rPr>
          <w:rFonts w:ascii="宋体" w:hAnsi="Times New Roman" w:cs="宋体"/>
          <w:sz w:val="28"/>
          <w:szCs w:val="21"/>
        </w:rPr>
        <w:t>0</w:t>
      </w:r>
      <w:r>
        <w:rPr>
          <w:rFonts w:hint="eastAsia" w:ascii="宋体" w:hAnsi="Times New Roman" w:cs="宋体"/>
          <w:sz w:val="28"/>
          <w:szCs w:val="21"/>
        </w:rPr>
        <w:t>辆、其他用车</w:t>
      </w:r>
      <w:r>
        <w:rPr>
          <w:rFonts w:ascii="宋体" w:hAnsi="Times New Roman" w:cs="宋体"/>
          <w:sz w:val="28"/>
          <w:szCs w:val="21"/>
        </w:rPr>
        <w:t>0</w:t>
      </w:r>
      <w:r>
        <w:rPr>
          <w:rFonts w:hint="eastAsia" w:ascii="宋体" w:hAnsi="Times New Roman" w:cs="宋体"/>
          <w:sz w:val="28"/>
          <w:szCs w:val="21"/>
        </w:rPr>
        <w:t>辆；单位价值</w:t>
      </w:r>
      <w:r>
        <w:rPr>
          <w:rFonts w:ascii="宋体" w:hAnsi="Times New Roman" w:cs="宋体"/>
          <w:sz w:val="28"/>
          <w:szCs w:val="21"/>
        </w:rPr>
        <w:t>50</w:t>
      </w:r>
      <w:r>
        <w:rPr>
          <w:rFonts w:hint="eastAsia" w:ascii="宋体" w:hAnsi="Times New Roman" w:cs="宋体"/>
          <w:sz w:val="28"/>
          <w:szCs w:val="21"/>
        </w:rPr>
        <w:t>万元以上通用设备</w:t>
      </w:r>
      <w:r>
        <w:rPr>
          <w:rFonts w:ascii="宋体" w:hAnsi="Times New Roman" w:cs="宋体"/>
          <w:sz w:val="28"/>
          <w:szCs w:val="21"/>
        </w:rPr>
        <w:t>0</w:t>
      </w:r>
      <w:r>
        <w:rPr>
          <w:rFonts w:hint="eastAsia" w:ascii="宋体" w:hAnsi="Times New Roman" w:cs="宋体"/>
          <w:sz w:val="28"/>
          <w:szCs w:val="21"/>
        </w:rPr>
        <w:t>台（套），单位价值</w:t>
      </w:r>
      <w:r>
        <w:rPr>
          <w:rFonts w:ascii="宋体" w:hAnsi="Times New Roman" w:cs="宋体"/>
          <w:sz w:val="28"/>
          <w:szCs w:val="21"/>
        </w:rPr>
        <w:t>100</w:t>
      </w:r>
      <w:r>
        <w:rPr>
          <w:rFonts w:hint="eastAsia" w:ascii="宋体" w:hAnsi="Times New Roman" w:cs="宋体"/>
          <w:sz w:val="28"/>
          <w:szCs w:val="21"/>
        </w:rPr>
        <w:t>万元以上专用设备</w:t>
      </w:r>
      <w:r>
        <w:rPr>
          <w:rFonts w:ascii="宋体" w:hAnsi="Times New Roman" w:cs="宋体"/>
          <w:sz w:val="28"/>
          <w:szCs w:val="21"/>
        </w:rPr>
        <w:t>0</w:t>
      </w:r>
      <w:r>
        <w:rPr>
          <w:rFonts w:hint="eastAsia" w:ascii="宋体" w:hAnsi="Times New Roman" w:cs="宋体"/>
          <w:sz w:val="28"/>
          <w:szCs w:val="21"/>
        </w:rPr>
        <w:t>台（套）。</w:t>
      </w:r>
    </w:p>
    <w:p>
      <w:pPr>
        <w:autoSpaceDE w:val="0"/>
        <w:autoSpaceDN w:val="0"/>
        <w:adjustRightInd w:val="0"/>
        <w:spacing w:beforeLines="50" w:afterLines="50" w:line="360" w:lineRule="auto"/>
        <w:jc w:val="left"/>
        <w:rPr>
          <w:rFonts w:ascii="宋体" w:hAnsi="Times New Roman" w:cs="宋体"/>
          <w:sz w:val="28"/>
          <w:szCs w:val="21"/>
        </w:rPr>
      </w:pPr>
    </w:p>
    <w:p>
      <w:pPr>
        <w:widowControl/>
        <w:spacing w:beforeLines="50" w:afterLines="50" w:line="360" w:lineRule="auto"/>
        <w:jc w:val="left"/>
        <w:rPr>
          <w:rFonts w:ascii="黑体" w:hAnsi="宋体" w:cs="宋体"/>
          <w:kern w:val="0"/>
          <w:sz w:val="28"/>
          <w:szCs w:val="28"/>
        </w:rPr>
      </w:pPr>
    </w:p>
    <w:p>
      <w:pPr>
        <w:widowControl/>
        <w:spacing w:beforeLines="50" w:afterLines="50" w:line="360" w:lineRule="auto"/>
        <w:jc w:val="left"/>
        <w:rPr>
          <w:rFonts w:ascii="黑体" w:hAnsi="宋体" w:cs="宋体"/>
          <w:kern w:val="0"/>
          <w:sz w:val="28"/>
          <w:szCs w:val="28"/>
        </w:rPr>
      </w:pPr>
    </w:p>
    <w:p>
      <w:pPr>
        <w:widowControl/>
        <w:spacing w:beforeLines="50" w:afterLines="50" w:line="360" w:lineRule="auto"/>
        <w:jc w:val="left"/>
        <w:rPr>
          <w:rFonts w:ascii="黑体" w:hAnsi="宋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w:t>
      </w:r>
      <w:r>
        <w:rPr>
          <w:rFonts w:ascii="黑体" w:hAnsi="黑体" w:eastAsia="黑体" w:cs="黑体"/>
          <w:sz w:val="48"/>
          <w:szCs w:val="48"/>
        </w:rPr>
        <w:t xml:space="preserve">  </w:t>
      </w:r>
      <w:r>
        <w:rPr>
          <w:rFonts w:hint="eastAsia" w:ascii="黑体" w:hAnsi="黑体" w:eastAsia="黑体" w:cs="黑体"/>
          <w:sz w:val="48"/>
          <w:szCs w:val="48"/>
        </w:rPr>
        <w:t>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一、财政拨款收入：</w:t>
      </w:r>
      <w:r>
        <w:rPr>
          <w:rFonts w:hint="eastAsia" w:ascii="宋体" w:hAnsi="仿宋_GB2312" w:cs="仿宋_GB2312"/>
          <w:sz w:val="28"/>
          <w:szCs w:val="32"/>
        </w:rPr>
        <w:t>单位从同级政府财政部门取得的财政预算资金。</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二、事业收入：</w:t>
      </w:r>
      <w:r>
        <w:rPr>
          <w:rFonts w:hint="eastAsia" w:ascii="宋体" w:hAnsi="仿宋_GB2312" w:cs="仿宋_GB2312"/>
          <w:sz w:val="28"/>
          <w:szCs w:val="32"/>
        </w:rPr>
        <w:t>事业单位开展专业业务活动及其辅助活动取得的收入。</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三、上级补助收入：</w:t>
      </w:r>
      <w:r>
        <w:rPr>
          <w:rFonts w:hint="eastAsia" w:ascii="宋体" w:hAnsi="仿宋_GB2312" w:cs="仿宋_GB2312"/>
          <w:sz w:val="28"/>
          <w:szCs w:val="32"/>
        </w:rPr>
        <w:t>事业单位从主管部门和上级单位取得的非财政补助收入。</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四、附属单位上缴收入：</w:t>
      </w:r>
      <w:r>
        <w:rPr>
          <w:rFonts w:hint="eastAsia" w:ascii="宋体" w:hAnsi="仿宋_GB2312" w:cs="仿宋_GB2312"/>
          <w:sz w:val="28"/>
          <w:szCs w:val="32"/>
        </w:rPr>
        <w:t>事业单位取得附属独立核算单位根据有关规定上缴的收入。</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五、经营收入：</w:t>
      </w:r>
      <w:r>
        <w:rPr>
          <w:rFonts w:hint="eastAsia" w:ascii="宋体" w:hAnsi="仿宋_GB2312" w:cs="仿宋_GB2312"/>
          <w:sz w:val="28"/>
          <w:szCs w:val="32"/>
        </w:rPr>
        <w:t>事业单位在专业业务活动及其辅助活动之外开展非独立核算经营活动取得的收入。</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六、其他收入：</w:t>
      </w:r>
      <w:r>
        <w:rPr>
          <w:rFonts w:hint="eastAsia" w:ascii="宋体" w:hAnsi="仿宋_GB2312" w:cs="仿宋_GB2312"/>
          <w:sz w:val="28"/>
          <w:szCs w:val="32"/>
        </w:rPr>
        <w:t>单位取得的除“财政拨款收入”、“事业收入”、“上级补助收入”、“附属单位上缴收入”、“经营收入”以外的各项收入。</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七、用事业基金弥补收支差额：</w:t>
      </w:r>
      <w:r>
        <w:rPr>
          <w:rFonts w:hint="eastAsia" w:ascii="宋体" w:hAnsi="仿宋_GB2312" w:cs="仿宋_GB2312"/>
          <w:sz w:val="28"/>
          <w:szCs w:val="32"/>
        </w:rPr>
        <w:t>事业单位在当年收入不足以安排当年支出的情况下，使用以前年度积累的事业基金（事业单位当年收支相抵后按国家规定提取、用于弥补以后年度收支差额的基金）弥补当年收支缺口的资金。</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八、基本支出：</w:t>
      </w:r>
      <w:r>
        <w:rPr>
          <w:rFonts w:hint="eastAsia" w:ascii="宋体" w:hAnsi="仿宋_GB2312" w:cs="仿宋_GB2312"/>
          <w:sz w:val="28"/>
          <w:szCs w:val="32"/>
        </w:rPr>
        <w:t>为保障机构正常运转、完成日常工作任务而发生的人员支出和公用支出。</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九、项目支出：</w:t>
      </w:r>
      <w:r>
        <w:rPr>
          <w:rFonts w:hint="eastAsia" w:ascii="宋体" w:hAnsi="仿宋_GB2312" w:cs="仿宋_GB2312"/>
          <w:sz w:val="28"/>
          <w:szCs w:val="32"/>
        </w:rPr>
        <w:t>基本支出之外为完成特定行政任务和事业发展目标所发生的支出。</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十、“三公”经费：</w:t>
      </w:r>
      <w:r>
        <w:rPr>
          <w:rFonts w:hint="eastAsia" w:ascii="宋体" w:hAnsi="仿宋_GB2312" w:cs="仿宋_GB2312"/>
          <w:sz w:val="28"/>
          <w:szCs w:val="32"/>
        </w:rPr>
        <w:t>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十一、机关运行经费：</w:t>
      </w:r>
      <w:r>
        <w:rPr>
          <w:rFonts w:hint="eastAsia" w:ascii="宋体" w:hAnsi="仿宋_GB2312" w:cs="仿宋_GB2312"/>
          <w:sz w:val="28"/>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十二、工资福利支出：</w:t>
      </w:r>
      <w:r>
        <w:rPr>
          <w:rFonts w:hint="eastAsia" w:ascii="宋体" w:hAnsi="仿宋_GB2312" w:cs="仿宋_GB2312"/>
          <w:sz w:val="28"/>
          <w:szCs w:val="32"/>
        </w:rPr>
        <w:t>单位支付给在职职工和编制外长期聘用人员的各类劳动报酬，以及为上述人员缴纳的各项社会保险费等。</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十三、商品和服务支出：</w:t>
      </w:r>
      <w:r>
        <w:rPr>
          <w:rFonts w:hint="eastAsia" w:ascii="宋体" w:hAnsi="仿宋_GB2312" w:cs="仿宋_GB2312"/>
          <w:sz w:val="28"/>
          <w:szCs w:val="32"/>
        </w:rPr>
        <w:t>单位购买商品和服务的支出。</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十四、对个人和家庭的补助支出：</w:t>
      </w:r>
      <w:r>
        <w:rPr>
          <w:rFonts w:hint="eastAsia" w:ascii="宋体" w:hAnsi="仿宋_GB2312" w:cs="仿宋_GB2312"/>
          <w:sz w:val="28"/>
          <w:szCs w:val="32"/>
        </w:rPr>
        <w:t>单位用于对个人和家庭的补助支出。</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十五、年末结转：</w:t>
      </w:r>
      <w:r>
        <w:rPr>
          <w:rFonts w:hint="eastAsia" w:ascii="宋体" w:hAnsi="仿宋_GB2312" w:cs="仿宋_GB2312"/>
          <w:sz w:val="28"/>
          <w:szCs w:val="32"/>
        </w:rPr>
        <w:t>本年度或以前年度预算安排，已执行但尚未完成或因客观条件发生变化无法按原计划实施，需延迟到以后年度按有关规定继续使用的资金。</w:t>
      </w:r>
    </w:p>
    <w:p>
      <w:pPr>
        <w:widowControl/>
        <w:spacing w:beforeLines="50" w:afterLines="50" w:line="360" w:lineRule="auto"/>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十六、年末结余：</w:t>
      </w:r>
      <w:r>
        <w:rPr>
          <w:rFonts w:hint="eastAsia" w:ascii="宋体" w:hAnsi="仿宋_GB2312" w:cs="仿宋_GB2312"/>
          <w:sz w:val="28"/>
          <w:szCs w:val="32"/>
        </w:rPr>
        <w:t>本年度或以前年度预算安排，已执行完毕或因客观条件发生变化无法按原预算安排实施，不需要再使用或无法按原预算安排继续使用</w:t>
      </w:r>
      <w:r>
        <w:rPr>
          <w:rFonts w:hint="eastAsia" w:ascii="仿宋_GB2312" w:hAnsi="仿宋_GB2312" w:eastAsia="仿宋_GB2312" w:cs="仿宋_GB2312"/>
          <w:sz w:val="32"/>
          <w:szCs w:val="32"/>
        </w:rPr>
        <w:t>的资金</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054" o:spid="_x0000_s4097" o:spt="202" type="#_x0000_t202" style="position:absolute;left:0pt;margin-top:0pt;height:21.95pt;width:18.7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- 3 -</w:t>
                </w:r>
                <w:r>
                  <w:rPr>
                    <w:sz w:val="18"/>
                  </w:rPr>
                  <w:fldChar w:fldCharType="end"/>
                </w:r>
              </w:p>
            </w:txbxContent>
          </v:textbox>
        </v:shape>
      </w:pict>
    </w:r>
    <w:r>
      <w:pict>
        <v:shape id="文本框 1027" o:spid="_x0000_s4098" o:spt="202" type="#_x0000_t202" style="position:absolute;left:0pt;margin-top:0pt;height:12.8pt;width:9.0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055" o:spid="_x0000_s4099" o:spt="202" type="#_x0000_t202" style="position:absolute;left:0pt;margin-top:0pt;height:21.95pt;width:18.7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- 2 -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08BD"/>
    <w:rsid w:val="00013B11"/>
    <w:rsid w:val="000270E8"/>
    <w:rsid w:val="00056123"/>
    <w:rsid w:val="00057AFD"/>
    <w:rsid w:val="00066F96"/>
    <w:rsid w:val="00072695"/>
    <w:rsid w:val="00076410"/>
    <w:rsid w:val="000C073B"/>
    <w:rsid w:val="001003F8"/>
    <w:rsid w:val="00144159"/>
    <w:rsid w:val="0016591A"/>
    <w:rsid w:val="00170932"/>
    <w:rsid w:val="001718A8"/>
    <w:rsid w:val="00172A27"/>
    <w:rsid w:val="00182842"/>
    <w:rsid w:val="001905F2"/>
    <w:rsid w:val="001D61B1"/>
    <w:rsid w:val="001F0D08"/>
    <w:rsid w:val="001F5040"/>
    <w:rsid w:val="002006EB"/>
    <w:rsid w:val="00224E95"/>
    <w:rsid w:val="00260D70"/>
    <w:rsid w:val="00282C7F"/>
    <w:rsid w:val="00287811"/>
    <w:rsid w:val="002B3F94"/>
    <w:rsid w:val="002E6A86"/>
    <w:rsid w:val="00304D04"/>
    <w:rsid w:val="00305B88"/>
    <w:rsid w:val="00315FEB"/>
    <w:rsid w:val="00357D69"/>
    <w:rsid w:val="003F1037"/>
    <w:rsid w:val="004114FA"/>
    <w:rsid w:val="0042585F"/>
    <w:rsid w:val="0044361E"/>
    <w:rsid w:val="00443E6C"/>
    <w:rsid w:val="00445CAC"/>
    <w:rsid w:val="00472E19"/>
    <w:rsid w:val="00473841"/>
    <w:rsid w:val="00487869"/>
    <w:rsid w:val="00492AE7"/>
    <w:rsid w:val="00493D19"/>
    <w:rsid w:val="004D0D6E"/>
    <w:rsid w:val="004D5275"/>
    <w:rsid w:val="004D6E7A"/>
    <w:rsid w:val="00500F1F"/>
    <w:rsid w:val="00501BD2"/>
    <w:rsid w:val="00507364"/>
    <w:rsid w:val="00546F7C"/>
    <w:rsid w:val="00556894"/>
    <w:rsid w:val="0059125E"/>
    <w:rsid w:val="005A0C2F"/>
    <w:rsid w:val="005B1AE2"/>
    <w:rsid w:val="005D4A89"/>
    <w:rsid w:val="006228C4"/>
    <w:rsid w:val="006512DD"/>
    <w:rsid w:val="00656BEF"/>
    <w:rsid w:val="00656D75"/>
    <w:rsid w:val="00657E86"/>
    <w:rsid w:val="00673EF7"/>
    <w:rsid w:val="0069449E"/>
    <w:rsid w:val="006C07F0"/>
    <w:rsid w:val="006C644A"/>
    <w:rsid w:val="006C7D84"/>
    <w:rsid w:val="00702386"/>
    <w:rsid w:val="007148E8"/>
    <w:rsid w:val="00730F74"/>
    <w:rsid w:val="00733DAA"/>
    <w:rsid w:val="00742BA0"/>
    <w:rsid w:val="00753545"/>
    <w:rsid w:val="00764156"/>
    <w:rsid w:val="007706D7"/>
    <w:rsid w:val="007879ED"/>
    <w:rsid w:val="007A48A3"/>
    <w:rsid w:val="007C029F"/>
    <w:rsid w:val="007C7F49"/>
    <w:rsid w:val="007D2A21"/>
    <w:rsid w:val="007E299C"/>
    <w:rsid w:val="007E76CB"/>
    <w:rsid w:val="007F4C7E"/>
    <w:rsid w:val="007F74EE"/>
    <w:rsid w:val="00843461"/>
    <w:rsid w:val="00872946"/>
    <w:rsid w:val="0088023A"/>
    <w:rsid w:val="008858FB"/>
    <w:rsid w:val="00894B41"/>
    <w:rsid w:val="008B5427"/>
    <w:rsid w:val="00903F6B"/>
    <w:rsid w:val="009173F9"/>
    <w:rsid w:val="00975A04"/>
    <w:rsid w:val="00975CF6"/>
    <w:rsid w:val="00992AAE"/>
    <w:rsid w:val="009D5822"/>
    <w:rsid w:val="009F546E"/>
    <w:rsid w:val="00A079F0"/>
    <w:rsid w:val="00A57BF7"/>
    <w:rsid w:val="00A83D8A"/>
    <w:rsid w:val="00A92E87"/>
    <w:rsid w:val="00A93E7D"/>
    <w:rsid w:val="00AA260E"/>
    <w:rsid w:val="00AA44CB"/>
    <w:rsid w:val="00AA67CD"/>
    <w:rsid w:val="00AD6761"/>
    <w:rsid w:val="00AE600E"/>
    <w:rsid w:val="00B0083B"/>
    <w:rsid w:val="00B06630"/>
    <w:rsid w:val="00B209B8"/>
    <w:rsid w:val="00B249F3"/>
    <w:rsid w:val="00B43B51"/>
    <w:rsid w:val="00B610A8"/>
    <w:rsid w:val="00B710DD"/>
    <w:rsid w:val="00B751D7"/>
    <w:rsid w:val="00BB495F"/>
    <w:rsid w:val="00BE5A85"/>
    <w:rsid w:val="00BF5718"/>
    <w:rsid w:val="00C3106E"/>
    <w:rsid w:val="00C444C2"/>
    <w:rsid w:val="00C60609"/>
    <w:rsid w:val="00C9048C"/>
    <w:rsid w:val="00C95CC1"/>
    <w:rsid w:val="00CA3F44"/>
    <w:rsid w:val="00CB381D"/>
    <w:rsid w:val="00CE212D"/>
    <w:rsid w:val="00CE4B38"/>
    <w:rsid w:val="00CE55B0"/>
    <w:rsid w:val="00D1321A"/>
    <w:rsid w:val="00D30ADF"/>
    <w:rsid w:val="00D47FCB"/>
    <w:rsid w:val="00D6315E"/>
    <w:rsid w:val="00D652C2"/>
    <w:rsid w:val="00D74EE2"/>
    <w:rsid w:val="00D83E19"/>
    <w:rsid w:val="00D86AB8"/>
    <w:rsid w:val="00D947BC"/>
    <w:rsid w:val="00DA00C9"/>
    <w:rsid w:val="00DB200E"/>
    <w:rsid w:val="00DB65F5"/>
    <w:rsid w:val="00E01C3E"/>
    <w:rsid w:val="00E13099"/>
    <w:rsid w:val="00E4339F"/>
    <w:rsid w:val="00E60CD7"/>
    <w:rsid w:val="00E629EA"/>
    <w:rsid w:val="00E6777C"/>
    <w:rsid w:val="00EB05A3"/>
    <w:rsid w:val="00ED38B7"/>
    <w:rsid w:val="00EE051D"/>
    <w:rsid w:val="00F0131A"/>
    <w:rsid w:val="00F14C17"/>
    <w:rsid w:val="00F14DA6"/>
    <w:rsid w:val="00F17041"/>
    <w:rsid w:val="00F225D8"/>
    <w:rsid w:val="00F44937"/>
    <w:rsid w:val="00F61A47"/>
    <w:rsid w:val="00F84422"/>
    <w:rsid w:val="00F95455"/>
    <w:rsid w:val="00FA574D"/>
    <w:rsid w:val="00FE7AD9"/>
    <w:rsid w:val="01322275"/>
    <w:rsid w:val="019B717E"/>
    <w:rsid w:val="01DC6F05"/>
    <w:rsid w:val="02A3489A"/>
    <w:rsid w:val="02CA138D"/>
    <w:rsid w:val="02CF00C8"/>
    <w:rsid w:val="02E238C3"/>
    <w:rsid w:val="033646FC"/>
    <w:rsid w:val="03C75F80"/>
    <w:rsid w:val="0478364D"/>
    <w:rsid w:val="04AF4BA4"/>
    <w:rsid w:val="050E70CD"/>
    <w:rsid w:val="053D4C0D"/>
    <w:rsid w:val="0557532E"/>
    <w:rsid w:val="0799329C"/>
    <w:rsid w:val="086F16A7"/>
    <w:rsid w:val="0A0F7225"/>
    <w:rsid w:val="0A2B7D82"/>
    <w:rsid w:val="0ADC40E9"/>
    <w:rsid w:val="0AE607F4"/>
    <w:rsid w:val="0B451598"/>
    <w:rsid w:val="0BEC73F4"/>
    <w:rsid w:val="0C392698"/>
    <w:rsid w:val="0D224EC2"/>
    <w:rsid w:val="10BD36F6"/>
    <w:rsid w:val="10CD1320"/>
    <w:rsid w:val="11BF0649"/>
    <w:rsid w:val="123E3E08"/>
    <w:rsid w:val="12F66B4A"/>
    <w:rsid w:val="13354546"/>
    <w:rsid w:val="161C2DFF"/>
    <w:rsid w:val="16373578"/>
    <w:rsid w:val="164645AD"/>
    <w:rsid w:val="16D3336B"/>
    <w:rsid w:val="17806C36"/>
    <w:rsid w:val="178F339D"/>
    <w:rsid w:val="17A74F62"/>
    <w:rsid w:val="18A47774"/>
    <w:rsid w:val="19352BDA"/>
    <w:rsid w:val="19C13DCF"/>
    <w:rsid w:val="1B2E6FD8"/>
    <w:rsid w:val="1B877D21"/>
    <w:rsid w:val="1C4319A9"/>
    <w:rsid w:val="1E4D68A4"/>
    <w:rsid w:val="1E994F4A"/>
    <w:rsid w:val="1EAF0224"/>
    <w:rsid w:val="1ED74E3A"/>
    <w:rsid w:val="1F2230A4"/>
    <w:rsid w:val="20210932"/>
    <w:rsid w:val="202448E0"/>
    <w:rsid w:val="20BE3E6B"/>
    <w:rsid w:val="21302EEA"/>
    <w:rsid w:val="214E565D"/>
    <w:rsid w:val="22376FB5"/>
    <w:rsid w:val="23E152D7"/>
    <w:rsid w:val="247B2933"/>
    <w:rsid w:val="255D43C8"/>
    <w:rsid w:val="25FD0CE5"/>
    <w:rsid w:val="26876BDD"/>
    <w:rsid w:val="2714632A"/>
    <w:rsid w:val="272405C5"/>
    <w:rsid w:val="27B0539E"/>
    <w:rsid w:val="29365CF8"/>
    <w:rsid w:val="29397105"/>
    <w:rsid w:val="299469B3"/>
    <w:rsid w:val="29BE69C3"/>
    <w:rsid w:val="2A805789"/>
    <w:rsid w:val="2B4A0E52"/>
    <w:rsid w:val="2C975890"/>
    <w:rsid w:val="2DEF21BB"/>
    <w:rsid w:val="2E312438"/>
    <w:rsid w:val="2E4A2F05"/>
    <w:rsid w:val="2ECC1061"/>
    <w:rsid w:val="2FA476AD"/>
    <w:rsid w:val="303F7540"/>
    <w:rsid w:val="31DD00BF"/>
    <w:rsid w:val="328B2FA1"/>
    <w:rsid w:val="3293174C"/>
    <w:rsid w:val="32936002"/>
    <w:rsid w:val="32BB38D4"/>
    <w:rsid w:val="32C9376D"/>
    <w:rsid w:val="33780472"/>
    <w:rsid w:val="33933F43"/>
    <w:rsid w:val="33AF0905"/>
    <w:rsid w:val="34EB6088"/>
    <w:rsid w:val="355932F4"/>
    <w:rsid w:val="35611882"/>
    <w:rsid w:val="35EB0033"/>
    <w:rsid w:val="36746FC3"/>
    <w:rsid w:val="368763AE"/>
    <w:rsid w:val="395D59E7"/>
    <w:rsid w:val="39A93932"/>
    <w:rsid w:val="3A915562"/>
    <w:rsid w:val="3B7265A0"/>
    <w:rsid w:val="3B8D4765"/>
    <w:rsid w:val="3C000DBA"/>
    <w:rsid w:val="3DC045D3"/>
    <w:rsid w:val="3E504FFB"/>
    <w:rsid w:val="3E615CD0"/>
    <w:rsid w:val="3E9C47F6"/>
    <w:rsid w:val="3F874466"/>
    <w:rsid w:val="3FAB3095"/>
    <w:rsid w:val="3FE45947"/>
    <w:rsid w:val="412253A8"/>
    <w:rsid w:val="41242965"/>
    <w:rsid w:val="42D4120D"/>
    <w:rsid w:val="435671EA"/>
    <w:rsid w:val="440809E9"/>
    <w:rsid w:val="442407A6"/>
    <w:rsid w:val="44516DF9"/>
    <w:rsid w:val="44805EA1"/>
    <w:rsid w:val="451A1CB3"/>
    <w:rsid w:val="45710696"/>
    <w:rsid w:val="46047557"/>
    <w:rsid w:val="46142B1B"/>
    <w:rsid w:val="46C14AA3"/>
    <w:rsid w:val="47E60DD0"/>
    <w:rsid w:val="481C151D"/>
    <w:rsid w:val="482A1360"/>
    <w:rsid w:val="48735039"/>
    <w:rsid w:val="48E01CDD"/>
    <w:rsid w:val="492C684B"/>
    <w:rsid w:val="49500594"/>
    <w:rsid w:val="49E7604E"/>
    <w:rsid w:val="4BF67CDD"/>
    <w:rsid w:val="4D603DD6"/>
    <w:rsid w:val="4EBF010F"/>
    <w:rsid w:val="4EF95324"/>
    <w:rsid w:val="4F471EB0"/>
    <w:rsid w:val="51015B9F"/>
    <w:rsid w:val="51331326"/>
    <w:rsid w:val="51740A7F"/>
    <w:rsid w:val="518F5381"/>
    <w:rsid w:val="51A5541E"/>
    <w:rsid w:val="51C96242"/>
    <w:rsid w:val="52F91C42"/>
    <w:rsid w:val="537F55D7"/>
    <w:rsid w:val="54341889"/>
    <w:rsid w:val="54F46F60"/>
    <w:rsid w:val="55A37BEA"/>
    <w:rsid w:val="5784687B"/>
    <w:rsid w:val="57846959"/>
    <w:rsid w:val="578E6A87"/>
    <w:rsid w:val="587031B7"/>
    <w:rsid w:val="58907098"/>
    <w:rsid w:val="5A5738FA"/>
    <w:rsid w:val="5AC2203A"/>
    <w:rsid w:val="5CBB3334"/>
    <w:rsid w:val="5D115FAF"/>
    <w:rsid w:val="61AA2510"/>
    <w:rsid w:val="624D1358"/>
    <w:rsid w:val="62811722"/>
    <w:rsid w:val="62E75A72"/>
    <w:rsid w:val="63A747DD"/>
    <w:rsid w:val="63DC186C"/>
    <w:rsid w:val="63F7026C"/>
    <w:rsid w:val="64571880"/>
    <w:rsid w:val="649125B6"/>
    <w:rsid w:val="652F4C1A"/>
    <w:rsid w:val="666D37F1"/>
    <w:rsid w:val="67087D8F"/>
    <w:rsid w:val="671F687E"/>
    <w:rsid w:val="67F415F8"/>
    <w:rsid w:val="684B73E5"/>
    <w:rsid w:val="696F5800"/>
    <w:rsid w:val="6A047A2A"/>
    <w:rsid w:val="6AD72251"/>
    <w:rsid w:val="6D1D2ABE"/>
    <w:rsid w:val="6F3831C3"/>
    <w:rsid w:val="70417DD1"/>
    <w:rsid w:val="70753482"/>
    <w:rsid w:val="707B522A"/>
    <w:rsid w:val="73194D05"/>
    <w:rsid w:val="736175F0"/>
    <w:rsid w:val="73A83B0E"/>
    <w:rsid w:val="744D3EF9"/>
    <w:rsid w:val="74794411"/>
    <w:rsid w:val="75867C40"/>
    <w:rsid w:val="76432199"/>
    <w:rsid w:val="76F44829"/>
    <w:rsid w:val="77A267C0"/>
    <w:rsid w:val="78205483"/>
    <w:rsid w:val="78811C4B"/>
    <w:rsid w:val="78882278"/>
    <w:rsid w:val="78B118A6"/>
    <w:rsid w:val="78DE16F4"/>
    <w:rsid w:val="79135044"/>
    <w:rsid w:val="79553D8C"/>
    <w:rsid w:val="79F84B06"/>
    <w:rsid w:val="7A644B5B"/>
    <w:rsid w:val="7A7D0F99"/>
    <w:rsid w:val="7AB37BA0"/>
    <w:rsid w:val="7B2A08DE"/>
    <w:rsid w:val="7E3F4966"/>
    <w:rsid w:val="7EFD449D"/>
    <w:rsid w:val="7FD069C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b/>
      <w:bCs/>
      <w:kern w:val="44"/>
      <w:sz w:val="44"/>
      <w:szCs w:val="44"/>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99"/>
    <w:pPr>
      <w:jc w:val="left"/>
    </w:pPr>
  </w:style>
  <w:style w:type="paragraph" w:styleId="4">
    <w:name w:val="Balloon Text"/>
    <w:basedOn w:val="1"/>
    <w:link w:val="16"/>
    <w:qFormat/>
    <w:uiPriority w:val="99"/>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9"/>
    <w:qFormat/>
    <w:uiPriority w:val="99"/>
    <w:pPr>
      <w:snapToGrid w:val="0"/>
      <w:jc w:val="left"/>
    </w:pPr>
    <w:rPr>
      <w:sz w:val="18"/>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qFormat/>
    <w:uiPriority w:val="99"/>
    <w:rPr>
      <w:rFonts w:cs="Times New Roman"/>
      <w:color w:val="800080"/>
      <w:u w:val="single"/>
    </w:rPr>
  </w:style>
  <w:style w:type="character" w:styleId="12">
    <w:name w:val="Hyperlink"/>
    <w:basedOn w:val="10"/>
    <w:qFormat/>
    <w:uiPriority w:val="99"/>
    <w:rPr>
      <w:rFonts w:cs="Times New Roman"/>
      <w:color w:val="0000FF"/>
      <w:u w:val="single"/>
    </w:rPr>
  </w:style>
  <w:style w:type="character" w:styleId="13">
    <w:name w:val="footnote reference"/>
    <w:basedOn w:val="10"/>
    <w:qFormat/>
    <w:uiPriority w:val="99"/>
    <w:rPr>
      <w:rFonts w:cs="Times New Roman"/>
      <w:vertAlign w:val="superscript"/>
    </w:rPr>
  </w:style>
  <w:style w:type="character" w:customStyle="1" w:styleId="14">
    <w:name w:val="Heading 1 Char"/>
    <w:basedOn w:val="10"/>
    <w:link w:val="2"/>
    <w:qFormat/>
    <w:locked/>
    <w:uiPriority w:val="99"/>
    <w:rPr>
      <w:rFonts w:cs="Times New Roman"/>
      <w:b/>
      <w:bCs/>
      <w:kern w:val="44"/>
      <w:sz w:val="44"/>
      <w:szCs w:val="44"/>
    </w:rPr>
  </w:style>
  <w:style w:type="character" w:customStyle="1" w:styleId="15">
    <w:name w:val="Comment Text Char"/>
    <w:basedOn w:val="10"/>
    <w:link w:val="3"/>
    <w:semiHidden/>
    <w:qFormat/>
    <w:locked/>
    <w:uiPriority w:val="99"/>
    <w:rPr>
      <w:rFonts w:cs="Times New Roman"/>
    </w:rPr>
  </w:style>
  <w:style w:type="character" w:customStyle="1" w:styleId="16">
    <w:name w:val="Balloon Text Char"/>
    <w:basedOn w:val="10"/>
    <w:link w:val="4"/>
    <w:semiHidden/>
    <w:qFormat/>
    <w:locked/>
    <w:uiPriority w:val="99"/>
    <w:rPr>
      <w:rFonts w:cs="Times New Roman"/>
      <w:kern w:val="2"/>
      <w:sz w:val="18"/>
      <w:szCs w:val="18"/>
    </w:rPr>
  </w:style>
  <w:style w:type="character" w:customStyle="1" w:styleId="17">
    <w:name w:val="Footer Char"/>
    <w:basedOn w:val="10"/>
    <w:link w:val="5"/>
    <w:qFormat/>
    <w:locked/>
    <w:uiPriority w:val="99"/>
    <w:rPr>
      <w:rFonts w:cs="Times New Roman"/>
      <w:kern w:val="2"/>
      <w:sz w:val="18"/>
    </w:rPr>
  </w:style>
  <w:style w:type="character" w:customStyle="1" w:styleId="18">
    <w:name w:val="Header Char"/>
    <w:basedOn w:val="10"/>
    <w:link w:val="6"/>
    <w:qFormat/>
    <w:locked/>
    <w:uiPriority w:val="99"/>
    <w:rPr>
      <w:rFonts w:cs="Times New Roman"/>
      <w:kern w:val="2"/>
      <w:sz w:val="18"/>
    </w:rPr>
  </w:style>
  <w:style w:type="character" w:customStyle="1" w:styleId="19">
    <w:name w:val="Footnote Text Char"/>
    <w:basedOn w:val="10"/>
    <w:link w:val="7"/>
    <w:semiHidden/>
    <w:qFormat/>
    <w:locked/>
    <w:uiPriority w:val="99"/>
    <w:rPr>
      <w:rFonts w:cs="Times New Roman"/>
      <w:sz w:val="18"/>
      <w:szCs w:val="18"/>
    </w:rPr>
  </w:style>
  <w:style w:type="character" w:customStyle="1" w:styleId="20">
    <w:name w:val="font01"/>
    <w:basedOn w:val="10"/>
    <w:qFormat/>
    <w:uiPriority w:val="99"/>
    <w:rPr>
      <w:rFonts w:ascii="宋体" w:hAnsi="宋体" w:eastAsia="宋体" w:cs="宋体"/>
      <w:color w:val="000000"/>
      <w:sz w:val="22"/>
      <w:szCs w:val="22"/>
      <w:u w:val="none"/>
    </w:rPr>
  </w:style>
  <w:style w:type="character" w:customStyle="1" w:styleId="21">
    <w:name w:val="font11"/>
    <w:basedOn w:val="10"/>
    <w:qFormat/>
    <w:uiPriority w:val="99"/>
    <w:rPr>
      <w:rFonts w:ascii="宋体" w:hAnsi="宋体" w:eastAsia="宋体" w:cs="宋体"/>
      <w:color w:val="000000"/>
      <w:sz w:val="20"/>
      <w:szCs w:val="20"/>
      <w:u w:val="none"/>
    </w:rPr>
  </w:style>
  <w:style w:type="character" w:customStyle="1" w:styleId="22">
    <w:name w:val="font51"/>
    <w:basedOn w:val="10"/>
    <w:qFormat/>
    <w:uiPriority w:val="99"/>
    <w:rPr>
      <w:rFonts w:ascii="宋体" w:hAnsi="宋体" w:eastAsia="宋体" w:cs="宋体"/>
      <w:color w:val="000000"/>
      <w:sz w:val="24"/>
      <w:szCs w:val="24"/>
      <w:u w:val="none"/>
    </w:rPr>
  </w:style>
  <w:style w:type="character" w:customStyle="1" w:styleId="23">
    <w:name w:val="font41"/>
    <w:basedOn w:val="10"/>
    <w:qFormat/>
    <w:uiPriority w:val="99"/>
    <w:rPr>
      <w:rFonts w:ascii="宋体" w:hAnsi="宋体" w:eastAsia="宋体" w:cs="宋体"/>
      <w:color w:val="000000"/>
      <w:sz w:val="24"/>
      <w:szCs w:val="24"/>
      <w:u w:val="none"/>
    </w:rPr>
  </w:style>
  <w:style w:type="character" w:customStyle="1" w:styleId="24">
    <w:name w:val="font21"/>
    <w:basedOn w:val="10"/>
    <w:qFormat/>
    <w:uiPriority w:val="99"/>
    <w:rPr>
      <w:rFonts w:ascii="宋体" w:hAnsi="宋体" w:eastAsia="宋体" w:cs="宋体"/>
      <w:color w:val="000000"/>
      <w:sz w:val="22"/>
      <w:szCs w:val="22"/>
      <w:u w:val="none"/>
    </w:rPr>
  </w:style>
  <w:style w:type="paragraph" w:customStyle="1" w:styleId="25">
    <w:name w:val="标题1"/>
    <w:basedOn w:val="2"/>
    <w:qFormat/>
    <w:uiPriority w:val="99"/>
    <w:pPr>
      <w:spacing w:before="0" w:after="0" w:line="240" w:lineRule="auto"/>
      <w:jc w:val="center"/>
    </w:pPr>
    <w:rPr>
      <w:rFonts w:ascii="华文中宋" w:hAnsi="华文中宋" w:eastAsia="华文中宋"/>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MS User</Company>
  <Pages>27</Pages>
  <Words>1309</Words>
  <Characters>7464</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2020-09-27T02:15:00Z</dcterms:created>
  <dc:creator>管理者</dc:creator>
  <cp:lastModifiedBy>zxkj</cp:lastModifiedBy>
  <cp:lastPrinted>2020-09-27T02:42:00Z</cp:lastPrinted>
  <dcterms:modified xsi:type="dcterms:W3CDTF">2021-06-15T13:03:12Z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396DD480B1FD4D8E91B66F23C1632303</vt:lpwstr>
  </property>
</Properties>
</file>