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ascii="黑体" w:hAnsi="黑体" w:eastAsia="黑体" w:cs="黑体"/>
          <w:sz w:val="52"/>
          <w:szCs w:val="52"/>
        </w:rPr>
        <w:t>2019</w:t>
      </w:r>
      <w:r>
        <w:rPr>
          <w:rFonts w:hint="eastAsia" w:ascii="黑体" w:hAnsi="黑体" w:eastAsia="黑体" w:cs="黑体"/>
          <w:sz w:val="52"/>
          <w:szCs w:val="52"/>
        </w:rPr>
        <w:t>年度</w:t>
      </w:r>
    </w:p>
    <w:p>
      <w:pPr>
        <w:jc w:val="center"/>
        <w:rPr>
          <w:rFonts w:ascii="黑体" w:hAnsi="黑体" w:eastAsia="黑体" w:cs="黑体"/>
          <w:sz w:val="52"/>
          <w:szCs w:val="52"/>
        </w:rPr>
      </w:pPr>
      <w:r>
        <w:rPr>
          <w:rFonts w:hint="eastAsia" w:ascii="黑体" w:hAnsi="黑体" w:eastAsia="黑体" w:cs="黑体"/>
          <w:sz w:val="52"/>
          <w:szCs w:val="52"/>
        </w:rPr>
        <w:t>永城市产业集聚区管理委员会</w:t>
      </w:r>
    </w:p>
    <w:p>
      <w:pPr>
        <w:jc w:val="center"/>
        <w:rPr>
          <w:rFonts w:ascii="黑体" w:hAnsi="黑体" w:eastAsia="黑体" w:cs="黑体"/>
          <w:sz w:val="52"/>
          <w:szCs w:val="52"/>
        </w:rPr>
      </w:pPr>
      <w:r>
        <w:rPr>
          <w:rFonts w:hint="eastAsia" w:ascii="黑体" w:hAnsi="黑体" w:eastAsia="黑体" w:cs="黑体"/>
          <w:sz w:val="52"/>
          <w:szCs w:val="52"/>
        </w:rPr>
        <w:t>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二〇二〇年九月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永城市产业集聚区管理委员会概况</w:t>
      </w:r>
    </w:p>
    <w:p>
      <w:pPr>
        <w:numPr>
          <w:ilvl w:val="0"/>
          <w:numId w:val="1"/>
        </w:numPr>
        <w:ind w:firstLine="640" w:firstLineChars="200"/>
        <w:jc w:val="left"/>
        <w:rPr>
          <w:rFonts w:asci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ascii="黑体" w:hAnsi="黑体" w:eastAsia="黑体" w:cs="黑体"/>
          <w:sz w:val="32"/>
          <w:szCs w:val="32"/>
        </w:rPr>
        <w:t>2019</w:t>
      </w:r>
      <w:r>
        <w:rPr>
          <w:rFonts w:hint="eastAsia" w:ascii="黑体" w:hAnsi="黑体" w:eastAsia="黑体" w:cs="黑体"/>
          <w:sz w:val="32"/>
          <w:szCs w:val="32"/>
        </w:rPr>
        <w:t>年度部门决算表</w:t>
      </w:r>
    </w:p>
    <w:p>
      <w:pPr>
        <w:ind w:firstLine="640" w:firstLineChars="200"/>
        <w:jc w:val="left"/>
        <w:rPr>
          <w:rFonts w:ascii="宋体" w:cs="宋体"/>
          <w:sz w:val="32"/>
          <w:szCs w:val="32"/>
        </w:rPr>
      </w:pPr>
      <w:r>
        <w:rPr>
          <w:rFonts w:hint="eastAsia" w:ascii="宋体" w:hAnsi="宋体" w:cs="宋体"/>
          <w:sz w:val="32"/>
          <w:szCs w:val="32"/>
        </w:rPr>
        <w:t>一、收入支出决算总表</w:t>
      </w:r>
    </w:p>
    <w:p>
      <w:pPr>
        <w:ind w:firstLine="640" w:firstLineChars="200"/>
        <w:jc w:val="left"/>
        <w:rPr>
          <w:rFonts w:ascii="宋体" w:cs="宋体"/>
          <w:sz w:val="32"/>
          <w:szCs w:val="32"/>
        </w:rPr>
      </w:pPr>
      <w:r>
        <w:rPr>
          <w:rFonts w:hint="eastAsia" w:ascii="宋体" w:hAnsi="宋体" w:cs="宋体"/>
          <w:sz w:val="32"/>
          <w:szCs w:val="32"/>
        </w:rPr>
        <w:t>二、收入决算表</w:t>
      </w:r>
    </w:p>
    <w:p>
      <w:pPr>
        <w:ind w:firstLine="640" w:firstLineChars="200"/>
        <w:jc w:val="left"/>
        <w:rPr>
          <w:rFonts w:ascii="宋体" w:cs="宋体"/>
          <w:sz w:val="32"/>
          <w:szCs w:val="32"/>
        </w:rPr>
      </w:pPr>
      <w:r>
        <w:rPr>
          <w:rFonts w:hint="eastAsia" w:ascii="宋体" w:hAnsi="宋体" w:cs="宋体"/>
          <w:sz w:val="32"/>
          <w:szCs w:val="32"/>
        </w:rPr>
        <w:t>三、支出决算表</w:t>
      </w:r>
    </w:p>
    <w:p>
      <w:pPr>
        <w:ind w:firstLine="640" w:firstLineChars="200"/>
        <w:jc w:val="left"/>
        <w:rPr>
          <w:rFonts w:asci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2019</w:t>
      </w:r>
      <w:r>
        <w:rPr>
          <w:rFonts w:hint="eastAsia" w:ascii="黑体" w:hAnsi="黑体" w:eastAsia="黑体" w:cs="黑体"/>
          <w:sz w:val="32"/>
          <w:szCs w:val="32"/>
        </w:rPr>
        <w:t>年度部门决算情况说明</w:t>
      </w:r>
    </w:p>
    <w:p>
      <w:pPr>
        <w:ind w:firstLine="640" w:firstLineChars="200"/>
        <w:jc w:val="left"/>
        <w:rPr>
          <w:rFonts w:asci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cs="宋体"/>
          <w:sz w:val="32"/>
          <w:szCs w:val="32"/>
        </w:rPr>
      </w:pPr>
      <w:r>
        <w:rPr>
          <w:rFonts w:hint="eastAsia" w:ascii="宋体" w:hAnsi="宋体" w:cs="宋体"/>
          <w:sz w:val="32"/>
          <w:szCs w:val="32"/>
        </w:rPr>
        <w:t>二、收入决算情况说明</w:t>
      </w:r>
    </w:p>
    <w:p>
      <w:pPr>
        <w:ind w:firstLine="640" w:firstLineChars="200"/>
        <w:jc w:val="left"/>
        <w:rPr>
          <w:rFonts w:ascii="宋体" w:cs="宋体"/>
          <w:sz w:val="32"/>
          <w:szCs w:val="32"/>
        </w:rPr>
      </w:pPr>
      <w:r>
        <w:rPr>
          <w:rFonts w:hint="eastAsia" w:ascii="宋体" w:hAnsi="宋体" w:cs="宋体"/>
          <w:sz w:val="32"/>
          <w:szCs w:val="32"/>
        </w:rPr>
        <w:t>三、支出决算情况说明</w:t>
      </w:r>
    </w:p>
    <w:p>
      <w:pPr>
        <w:ind w:firstLine="640" w:firstLineChars="200"/>
        <w:jc w:val="left"/>
        <w:rPr>
          <w:rFonts w:asci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cs="宋体"/>
          <w:sz w:val="32"/>
          <w:szCs w:val="32"/>
        </w:rPr>
      </w:pPr>
      <w:r>
        <w:rPr>
          <w:rFonts w:hint="eastAsia" w:ascii="宋体" w:hAnsi="宋体" w:cs="宋体"/>
          <w:sz w:val="32"/>
          <w:szCs w:val="32"/>
        </w:rPr>
        <w:t>八、预算绩效情况说明</w:t>
      </w:r>
    </w:p>
    <w:p>
      <w:pPr>
        <w:ind w:firstLine="640" w:firstLineChars="200"/>
        <w:jc w:val="left"/>
        <w:rPr>
          <w:rFonts w:asci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cs="宋体"/>
          <w:sz w:val="32"/>
          <w:szCs w:val="32"/>
        </w:rPr>
      </w:pPr>
    </w:p>
    <w:p>
      <w:pPr>
        <w:jc w:val="left"/>
        <w:rPr>
          <w:rFonts w:ascii="黑体" w:hAnsi="黑体" w:eastAsia="黑体" w:cs="黑体"/>
          <w:sz w:val="32"/>
          <w:szCs w:val="32"/>
        </w:rPr>
        <w:sectPr>
          <w:footerReference r:id="rId9" w:type="default"/>
          <w:footerReference r:id="rId10"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黑体" w:eastAsia="黑体" w:cs="黑体"/>
          <w:sz w:val="48"/>
          <w:szCs w:val="48"/>
        </w:rPr>
      </w:pPr>
      <w:r>
        <w:rPr>
          <w:rFonts w:hint="eastAsia" w:ascii="黑体" w:hAnsi="黑体" w:eastAsia="黑体" w:cs="黑体"/>
          <w:sz w:val="48"/>
          <w:szCs w:val="48"/>
        </w:rPr>
        <w:t>第一部分</w:t>
      </w:r>
      <w:r>
        <w:rPr>
          <w:rFonts w:ascii="黑体" w:hAnsi="黑体" w:eastAsia="黑体" w:cs="黑体"/>
          <w:sz w:val="48"/>
          <w:szCs w:val="48"/>
        </w:rPr>
        <w:t xml:space="preserve"> </w:t>
      </w:r>
    </w:p>
    <w:p>
      <w:pPr>
        <w:widowControl/>
        <w:jc w:val="center"/>
        <w:outlineLvl w:val="0"/>
        <w:rPr>
          <w:rFonts w:ascii="黑体" w:hAnsi="黑体" w:eastAsia="黑体" w:cs="黑体"/>
          <w:sz w:val="48"/>
          <w:szCs w:val="48"/>
        </w:rPr>
      </w:pPr>
      <w:r>
        <w:rPr>
          <w:rFonts w:ascii="黑体" w:hAnsi="黑体" w:eastAsia="黑体" w:cs="黑体"/>
          <w:sz w:val="48"/>
          <w:szCs w:val="48"/>
        </w:rPr>
        <w:t xml:space="preserve"> </w:t>
      </w:r>
      <w:r>
        <w:rPr>
          <w:rFonts w:hint="eastAsia" w:ascii="黑体" w:hAnsi="黑体" w:eastAsia="黑体" w:cs="黑体"/>
          <w:sz w:val="48"/>
          <w:szCs w:val="48"/>
        </w:rPr>
        <w:t>永城市产业集聚区管理委员会</w:t>
      </w: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spacing w:beforeLines="50" w:afterLines="50" w:line="360" w:lineRule="auto"/>
        <w:ind w:firstLine="560" w:firstLineChars="200"/>
        <w:jc w:val="left"/>
        <w:outlineLvl w:val="1"/>
        <w:rPr>
          <w:rFonts w:ascii="宋体" w:cs="Arial"/>
          <w:color w:val="000000"/>
          <w:sz w:val="28"/>
          <w:szCs w:val="28"/>
        </w:rPr>
      </w:pPr>
      <w:r>
        <w:rPr>
          <w:rFonts w:hint="eastAsia" w:ascii="宋体" w:hAnsi="宋体" w:cs="Arial"/>
          <w:color w:val="000000"/>
          <w:sz w:val="28"/>
          <w:szCs w:val="28"/>
        </w:rPr>
        <w:t>贯彻执行国家、省有关发展产业集聚区方针政策；编制产业集聚区发展规划和计划，统一规划、组织实施和管理产业集聚区的各项基本设施和公共服务设施；按照国家的产业政策确定产业方向，按照规定权限审批、审核、申报产业集聚区的各类投资项目，组织项目引进、开发；负责产业集聚区内各项经济指标的统计及经济运行分析工作。</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widowControl/>
        <w:spacing w:beforeLines="50" w:afterLines="50" w:line="360" w:lineRule="auto"/>
        <w:ind w:firstLine="560" w:firstLineChars="200"/>
        <w:jc w:val="left"/>
        <w:outlineLvl w:val="1"/>
        <w:rPr>
          <w:rFonts w:ascii="宋体" w:cs="Arial"/>
          <w:color w:val="000000"/>
          <w:sz w:val="28"/>
          <w:szCs w:val="28"/>
        </w:rPr>
      </w:pPr>
      <w:r>
        <w:rPr>
          <w:rFonts w:hint="eastAsia" w:ascii="宋体" w:hAnsi="宋体" w:cs="Arial"/>
          <w:color w:val="000000"/>
          <w:sz w:val="28"/>
          <w:szCs w:val="28"/>
        </w:rPr>
        <w:t>永城市产业集聚区管理委员会内设机构</w:t>
      </w:r>
      <w:r>
        <w:rPr>
          <w:rFonts w:ascii="宋体" w:hAnsi="宋体" w:cs="Arial"/>
          <w:color w:val="000000"/>
          <w:sz w:val="28"/>
          <w:szCs w:val="28"/>
        </w:rPr>
        <w:t>6</w:t>
      </w:r>
      <w:r>
        <w:rPr>
          <w:rFonts w:hint="eastAsia" w:ascii="宋体" w:hAnsi="宋体" w:cs="Arial"/>
          <w:color w:val="000000"/>
          <w:sz w:val="28"/>
          <w:szCs w:val="28"/>
        </w:rPr>
        <w:t>个，包括：综合办公室、发展服务中心、社会事业中心、财务管理中心、规划土地环保中心、招商引资服务中心。</w:t>
      </w:r>
    </w:p>
    <w:p>
      <w:pPr>
        <w:widowControl/>
        <w:spacing w:beforeLines="50" w:afterLines="50" w:line="360" w:lineRule="auto"/>
        <w:ind w:firstLine="560" w:firstLineChars="200"/>
        <w:jc w:val="left"/>
        <w:outlineLvl w:val="1"/>
        <w:rPr>
          <w:rFonts w:ascii="宋体" w:cs="Arial"/>
          <w:color w:val="000000"/>
          <w:sz w:val="28"/>
          <w:szCs w:val="28"/>
        </w:rPr>
      </w:pPr>
      <w:r>
        <w:rPr>
          <w:rFonts w:hint="eastAsia" w:ascii="宋体" w:hAnsi="宋体" w:cs="Arial"/>
          <w:color w:val="000000"/>
          <w:sz w:val="28"/>
          <w:szCs w:val="28"/>
        </w:rPr>
        <w:t>从决算单位构成看，永城市产业集聚区管理委员会部门决算包括：本级决算、所属单位决算。</w:t>
      </w:r>
    </w:p>
    <w:p>
      <w:pPr>
        <w:widowControl/>
        <w:spacing w:beforeLines="50" w:afterLines="50" w:line="360" w:lineRule="auto"/>
        <w:ind w:firstLine="560" w:firstLineChars="200"/>
        <w:jc w:val="left"/>
        <w:outlineLvl w:val="1"/>
        <w:rPr>
          <w:rFonts w:ascii="宋体" w:cs="Arial"/>
          <w:color w:val="000000"/>
          <w:sz w:val="28"/>
          <w:szCs w:val="28"/>
        </w:rPr>
      </w:pPr>
      <w:r>
        <w:rPr>
          <w:rFonts w:hint="eastAsia" w:ascii="宋体" w:hAnsi="宋体" w:cs="Arial"/>
          <w:color w:val="000000"/>
          <w:sz w:val="28"/>
          <w:szCs w:val="28"/>
        </w:rPr>
        <w:t>纳入本部门</w:t>
      </w:r>
      <w:r>
        <w:rPr>
          <w:rFonts w:ascii="宋体" w:hAnsi="宋体" w:cs="Arial"/>
          <w:color w:val="000000"/>
          <w:sz w:val="28"/>
          <w:szCs w:val="28"/>
        </w:rPr>
        <w:t>2019</w:t>
      </w:r>
      <w:r>
        <w:rPr>
          <w:rFonts w:hint="eastAsia" w:ascii="宋体" w:hAnsi="宋体" w:cs="Arial"/>
          <w:color w:val="000000"/>
          <w:sz w:val="28"/>
          <w:szCs w:val="28"/>
        </w:rPr>
        <w:t>年度部门决算编制范围的单位共</w:t>
      </w:r>
      <w:r>
        <w:rPr>
          <w:rFonts w:ascii="宋体" w:hAnsi="宋体" w:cs="Arial"/>
          <w:color w:val="000000"/>
          <w:sz w:val="28"/>
          <w:szCs w:val="28"/>
        </w:rPr>
        <w:t>1</w:t>
      </w:r>
      <w:r>
        <w:rPr>
          <w:rFonts w:hint="eastAsia" w:ascii="宋体" w:hAnsi="宋体" w:cs="Arial"/>
          <w:color w:val="000000"/>
          <w:sz w:val="28"/>
          <w:szCs w:val="28"/>
        </w:rPr>
        <w:t>个，其中二级预算单位</w:t>
      </w:r>
      <w:r>
        <w:rPr>
          <w:rFonts w:ascii="宋体" w:cs="Arial"/>
          <w:color w:val="000000"/>
          <w:sz w:val="28"/>
          <w:szCs w:val="28"/>
        </w:rPr>
        <w:t>0</w:t>
      </w:r>
      <w:r>
        <w:rPr>
          <w:rFonts w:hint="eastAsia" w:ascii="宋体" w:hAnsi="宋体" w:cs="Arial"/>
          <w:color w:val="000000"/>
          <w:sz w:val="28"/>
          <w:szCs w:val="28"/>
        </w:rPr>
        <w:t>个，具体是：</w:t>
      </w:r>
    </w:p>
    <w:p>
      <w:pPr>
        <w:widowControl/>
        <w:spacing w:beforeLines="50" w:afterLines="50" w:line="360" w:lineRule="auto"/>
        <w:ind w:firstLine="560" w:firstLineChars="200"/>
        <w:jc w:val="left"/>
        <w:outlineLvl w:val="1"/>
        <w:rPr>
          <w:rFonts w:ascii="宋体" w:cs="Arial"/>
          <w:color w:val="000000"/>
          <w:sz w:val="28"/>
          <w:szCs w:val="28"/>
        </w:rPr>
      </w:pPr>
      <w:r>
        <w:rPr>
          <w:rFonts w:ascii="宋体" w:hAnsi="宋体" w:cs="Arial"/>
          <w:color w:val="000000"/>
          <w:sz w:val="28"/>
          <w:szCs w:val="28"/>
        </w:rPr>
        <w:t>1.</w:t>
      </w:r>
      <w:r>
        <w:rPr>
          <w:rFonts w:hint="eastAsia" w:ascii="宋体" w:hAnsi="宋体" w:cs="Arial"/>
          <w:color w:val="000000"/>
          <w:sz w:val="28"/>
          <w:szCs w:val="28"/>
        </w:rPr>
        <w:t>永城市产业集聚区管理委员会本级</w:t>
      </w: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w:t>
      </w:r>
      <w:r>
        <w:rPr>
          <w:rFonts w:ascii="黑体" w:hAnsi="黑体" w:eastAsia="黑体" w:cs="黑体"/>
          <w:sz w:val="48"/>
          <w:szCs w:val="48"/>
        </w:rPr>
        <w:t xml:space="preserve">  2019</w:t>
      </w:r>
      <w:r>
        <w:rPr>
          <w:rFonts w:hint="eastAsia" w:ascii="黑体" w:hAnsi="黑体" w:eastAsia="黑体" w:cs="黑体"/>
          <w:sz w:val="48"/>
          <w:szCs w:val="48"/>
        </w:rPr>
        <w:t>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部门：永城市产业集聚区管理委员会</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w:t>
            </w:r>
            <w:r>
              <w:rPr>
                <w:rFonts w:ascii="宋体" w:hAnsi="宋体" w:cs="宋体"/>
                <w:color w:val="000000"/>
                <w:kern w:val="0"/>
                <w:sz w:val="20"/>
                <w:szCs w:val="20"/>
              </w:rPr>
              <w:t xml:space="preserve">    </w:t>
            </w:r>
            <w:r>
              <w:rPr>
                <w:rFonts w:hint="eastAsia" w:ascii="宋体" w:hAnsi="宋体" w:cs="宋体"/>
                <w:color w:val="000000"/>
                <w:kern w:val="0"/>
                <w:sz w:val="20"/>
                <w:szCs w:val="20"/>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w:t>
            </w:r>
            <w:r>
              <w:rPr>
                <w:rFonts w:ascii="宋体" w:hAnsi="宋体" w:cs="宋体"/>
                <w:color w:val="000000"/>
                <w:kern w:val="0"/>
                <w:sz w:val="20"/>
                <w:szCs w:val="20"/>
              </w:rPr>
              <w:t xml:space="preserve">    </w:t>
            </w:r>
            <w:r>
              <w:rPr>
                <w:rFonts w:hint="eastAsia" w:ascii="宋体" w:hAnsi="宋体" w:cs="宋体"/>
                <w:color w:val="000000"/>
                <w:kern w:val="0"/>
                <w:sz w:val="20"/>
                <w:szCs w:val="20"/>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一、财政拨款收入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6760.22</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三、事业收入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四、经营收入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五、附属单位上缴收入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六、其他收入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7</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七、文化体育与传媒支出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8</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八、社会保障和就业支出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35.48</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九、医疗卫生与计划生育支出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8.64</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十、节能环保支出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十一、城乡社区支出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6716.10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12</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十二、农林水支出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41</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13</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十三、交通运输支出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42</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14</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十四、资源勘探信息等支出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43</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15</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十五、商业服务业等支出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16</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十六、金融支出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17</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十七、援助其他地区支出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18</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十八、国土海洋气象等支出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19</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十九、住房保障支出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20</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二十、粮油物资储备支出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21</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二十一、其他支出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22</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二十二、债务还本支出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51</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16"/>
                <w:szCs w:val="16"/>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23</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467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二十三、债务付息支出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6760.22</w:t>
            </w:r>
          </w:p>
        </w:tc>
        <w:tc>
          <w:tcPr>
            <w:tcW w:w="467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b/>
                <w:color w:val="000000"/>
                <w:sz w:val="20"/>
                <w:szCs w:val="20"/>
              </w:rPr>
            </w:pPr>
            <w:r>
              <w:rPr>
                <w:rFonts w:ascii="宋体" w:hAnsi="宋体" w:cs="宋体"/>
                <w:color w:val="000000"/>
                <w:sz w:val="20"/>
                <w:szCs w:val="20"/>
              </w:rPr>
              <w:t>6760.22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1.08</w:t>
            </w:r>
          </w:p>
        </w:tc>
        <w:tc>
          <w:tcPr>
            <w:tcW w:w="467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1.08</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noWrap/>
            <w:tcMar>
              <w:top w:w="15" w:type="dxa"/>
              <w:left w:w="15" w:type="dxa"/>
              <w:right w:w="15" w:type="dxa"/>
            </w:tcMar>
            <w:vAlign w:val="center"/>
          </w:tcPr>
          <w:p>
            <w:pPr>
              <w:jc w:val="left"/>
              <w:rPr>
                <w:rFonts w:asci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12</w:t>
            </w:r>
          </w:p>
        </w:tc>
        <w:tc>
          <w:tcPr>
            <w:tcW w:w="176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nil"/>
              <w:right w:val="nil"/>
            </w:tcBorders>
            <w:noWrap/>
            <w:tcMar>
              <w:top w:w="15" w:type="dxa"/>
              <w:left w:w="15" w:type="dxa"/>
              <w:right w:w="15" w:type="dxa"/>
            </w:tcMar>
            <w:vAlign w:val="center"/>
          </w:tcPr>
          <w:p>
            <w:pPr>
              <w:jc w:val="left"/>
              <w:rPr>
                <w:rFonts w:asci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25</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13</w:t>
            </w:r>
          </w:p>
        </w:tc>
        <w:tc>
          <w:tcPr>
            <w:tcW w:w="1764"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6761.30</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26</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center"/>
              <w:rPr>
                <w:rFonts w:ascii="宋体" w:cs="宋体"/>
                <w:b/>
                <w:color w:val="000000"/>
                <w:sz w:val="20"/>
                <w:szCs w:val="20"/>
              </w:rPr>
            </w:pPr>
            <w:r>
              <w:rPr>
                <w:rFonts w:ascii="宋体" w:hAnsi="宋体" w:cs="宋体"/>
                <w:color w:val="000000"/>
                <w:sz w:val="20"/>
                <w:szCs w:val="20"/>
              </w:rPr>
              <w:t>6761.30</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注：本表反映部门本年度的总收支和年末结转结余情况。本表金额转换为万元时，因四舍五入可能存在尾差。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1027"/>
        <w:gridCol w:w="59"/>
        <w:gridCol w:w="2048"/>
        <w:gridCol w:w="1417"/>
        <w:gridCol w:w="284"/>
        <w:gridCol w:w="142"/>
        <w:gridCol w:w="1134"/>
        <w:gridCol w:w="1035"/>
        <w:gridCol w:w="524"/>
        <w:gridCol w:w="1029"/>
        <w:gridCol w:w="388"/>
        <w:gridCol w:w="1165"/>
        <w:gridCol w:w="310"/>
        <w:gridCol w:w="1243"/>
        <w:gridCol w:w="398"/>
        <w:gridCol w:w="1420"/>
        <w:gridCol w:w="222"/>
        <w:gridCol w:w="130"/>
      </w:tblGrid>
      <w:tr>
        <w:tblPrEx>
          <w:tblCellMar>
            <w:top w:w="0" w:type="dxa"/>
            <w:left w:w="0" w:type="dxa"/>
            <w:bottom w:w="0" w:type="dxa"/>
            <w:right w:w="0" w:type="dxa"/>
          </w:tblCellMar>
        </w:tblPrEx>
        <w:trPr>
          <w:gridAfter w:val="1"/>
          <w:wAfter w:w="130" w:type="dxa"/>
          <w:trHeight w:val="435" w:hRule="atLeast"/>
        </w:trPr>
        <w:tc>
          <w:tcPr>
            <w:tcW w:w="13845" w:type="dxa"/>
            <w:gridSpan w:val="17"/>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收入决算表</w:t>
            </w:r>
          </w:p>
        </w:tc>
      </w:tr>
      <w:tr>
        <w:tblPrEx>
          <w:tblCellMar>
            <w:top w:w="0" w:type="dxa"/>
            <w:left w:w="0" w:type="dxa"/>
            <w:bottom w:w="0" w:type="dxa"/>
            <w:right w:w="0" w:type="dxa"/>
          </w:tblCellMar>
        </w:tblPrEx>
        <w:trPr>
          <w:trHeight w:val="285" w:hRule="atLeast"/>
        </w:trPr>
        <w:tc>
          <w:tcPr>
            <w:tcW w:w="7146" w:type="dxa"/>
            <w:gridSpan w:val="8"/>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2170" w:type="dxa"/>
            <w:gridSpan w:val="4"/>
            <w:tcBorders>
              <w:top w:val="nil"/>
              <w:left w:val="nil"/>
              <w:bottom w:val="nil"/>
              <w:right w:val="nil"/>
            </w:tcBorders>
            <w:shd w:val="clear" w:color="auto" w:fill="FFFFFF"/>
            <w:noWrap/>
            <w:tcMar>
              <w:top w:w="15" w:type="dxa"/>
              <w:left w:w="15" w:type="dxa"/>
              <w:right w:w="15" w:type="dxa"/>
            </w:tcMar>
            <w:vAlign w:val="center"/>
          </w:tcPr>
          <w:p>
            <w:pPr>
              <w:widowControl/>
              <w:ind w:right="400"/>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02</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gridAfter w:val="2"/>
          <w:wAfter w:w="352" w:type="dxa"/>
          <w:trHeight w:val="300"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部门：</w:t>
            </w:r>
            <w:r>
              <w:rPr>
                <w:rFonts w:ascii="宋体" w:hAnsi="宋体" w:cs="宋体"/>
                <w:color w:val="000000"/>
                <w:sz w:val="20"/>
                <w:szCs w:val="20"/>
              </w:rPr>
              <w:t xml:space="preserve"> </w:t>
            </w:r>
          </w:p>
        </w:tc>
        <w:tc>
          <w:tcPr>
            <w:tcW w:w="3808" w:type="dxa"/>
            <w:gridSpan w:val="4"/>
            <w:tcBorders>
              <w:top w:val="nil"/>
              <w:left w:val="nil"/>
              <w:bottom w:val="nil"/>
              <w:right w:val="nil"/>
            </w:tcBorders>
            <w:shd w:val="clear" w:color="auto" w:fill="FFFFFF"/>
            <w:noWrap/>
            <w:tcMar>
              <w:top w:w="15" w:type="dxa"/>
              <w:left w:w="15" w:type="dxa"/>
              <w:right w:w="15" w:type="dxa"/>
            </w:tcMar>
            <w:vAlign w:val="center"/>
          </w:tcPr>
          <w:p>
            <w:pPr>
              <w:ind w:right="400"/>
              <w:rPr>
                <w:rFonts w:ascii="宋体" w:cs="宋体"/>
                <w:color w:val="000000"/>
                <w:sz w:val="20"/>
                <w:szCs w:val="20"/>
              </w:rPr>
            </w:pPr>
            <w:r>
              <w:rPr>
                <w:rFonts w:ascii="宋体" w:hAnsi="宋体" w:cs="宋体"/>
                <w:color w:val="000000"/>
                <w:sz w:val="20"/>
                <w:szCs w:val="20"/>
              </w:rPr>
              <w:t xml:space="preserve">   </w:t>
            </w:r>
            <w:r>
              <w:rPr>
                <w:rFonts w:hint="eastAsia" w:ascii="宋体" w:hAnsi="宋体" w:cs="宋体"/>
                <w:color w:val="000000"/>
                <w:kern w:val="0"/>
                <w:sz w:val="20"/>
                <w:szCs w:val="20"/>
              </w:rPr>
              <w:t>永城市产业集聚区管理委员会</w:t>
            </w:r>
            <w:r>
              <w:rPr>
                <w:rFonts w:ascii="宋体" w:hAnsi="宋体" w:cs="宋体"/>
                <w:color w:val="000000"/>
                <w:sz w:val="20"/>
                <w:szCs w:val="20"/>
              </w:rPr>
              <w:t xml:space="preserve">       </w:t>
            </w:r>
          </w:p>
        </w:tc>
        <w:tc>
          <w:tcPr>
            <w:tcW w:w="142" w:type="dxa"/>
            <w:tcBorders>
              <w:top w:val="nil"/>
              <w:left w:val="nil"/>
              <w:bottom w:val="nil"/>
              <w:right w:val="nil"/>
            </w:tcBorders>
            <w:shd w:val="clear" w:color="auto" w:fill="FFFFFF"/>
            <w:noWrap/>
            <w:tcMar>
              <w:top w:w="15" w:type="dxa"/>
              <w:left w:w="15" w:type="dxa"/>
              <w:right w:w="15" w:type="dxa"/>
            </w:tcMar>
            <w:vAlign w:val="center"/>
          </w:tcPr>
          <w:p>
            <w:pPr>
              <w:wordWrap w:val="0"/>
              <w:jc w:val="right"/>
              <w:rPr>
                <w:rFonts w:ascii="宋体" w:cs="宋体"/>
                <w:color w:val="000000"/>
                <w:sz w:val="20"/>
                <w:szCs w:val="20"/>
              </w:rPr>
            </w:pPr>
            <w:r>
              <w:rPr>
                <w:rFonts w:ascii="宋体" w:hAnsi="宋体" w:cs="宋体"/>
                <w:color w:val="000000"/>
                <w:sz w:val="20"/>
                <w:szCs w:val="20"/>
              </w:rPr>
              <w:t xml:space="preserve"> </w:t>
            </w:r>
          </w:p>
        </w:tc>
        <w:tc>
          <w:tcPr>
            <w:tcW w:w="8646" w:type="dxa"/>
            <w:gridSpan w:val="10"/>
            <w:tcBorders>
              <w:top w:val="nil"/>
              <w:left w:val="nil"/>
              <w:bottom w:val="nil"/>
              <w:right w:val="nil"/>
            </w:tcBorders>
            <w:shd w:val="clear" w:color="auto" w:fill="FFFFFF"/>
            <w:noWrap/>
            <w:tcMar>
              <w:top w:w="15" w:type="dxa"/>
              <w:left w:w="15" w:type="dxa"/>
              <w:right w:w="15" w:type="dxa"/>
            </w:tcMar>
            <w:vAlign w:val="center"/>
          </w:tcPr>
          <w:p>
            <w:pPr>
              <w:widowControl/>
              <w:wordWrap w:val="0"/>
              <w:ind w:firstLine="700" w:firstLineChars="350"/>
              <w:jc w:val="righ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单位：万元</w:t>
            </w:r>
            <w:r>
              <w:rPr>
                <w:rFonts w:ascii="宋体" w:hAnsi="宋体" w:cs="宋体"/>
                <w:color w:val="000000"/>
                <w:kern w:val="0"/>
                <w:sz w:val="20"/>
                <w:szCs w:val="20"/>
              </w:rPr>
              <w:t xml:space="preserve"> </w:t>
            </w:r>
          </w:p>
        </w:tc>
      </w:tr>
      <w:tr>
        <w:tblPrEx>
          <w:tblCellMar>
            <w:top w:w="0" w:type="dxa"/>
            <w:left w:w="0" w:type="dxa"/>
            <w:bottom w:w="0" w:type="dxa"/>
            <w:right w:w="0" w:type="dxa"/>
          </w:tblCellMar>
        </w:tblPrEx>
        <w:trPr>
          <w:gridAfter w:val="1"/>
          <w:wAfter w:w="130" w:type="dxa"/>
          <w:trHeight w:val="450" w:hRule="atLeast"/>
        </w:trPr>
        <w:tc>
          <w:tcPr>
            <w:tcW w:w="3134"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1417"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本年收入合计</w:t>
            </w:r>
          </w:p>
        </w:tc>
        <w:tc>
          <w:tcPr>
            <w:tcW w:w="1560" w:type="dxa"/>
            <w:gridSpan w:val="3"/>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财政拨款收入</w:t>
            </w:r>
          </w:p>
        </w:tc>
        <w:tc>
          <w:tcPr>
            <w:tcW w:w="155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上级补助收入</w:t>
            </w:r>
          </w:p>
        </w:tc>
        <w:tc>
          <w:tcPr>
            <w:tcW w:w="1417"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事业收入</w:t>
            </w:r>
          </w:p>
        </w:tc>
        <w:tc>
          <w:tcPr>
            <w:tcW w:w="147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附属单位上缴收入</w:t>
            </w:r>
          </w:p>
        </w:tc>
        <w:tc>
          <w:tcPr>
            <w:tcW w:w="1642" w:type="dxa"/>
            <w:gridSpan w:val="2"/>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其他收入</w:t>
            </w:r>
          </w:p>
        </w:tc>
      </w:tr>
      <w:tr>
        <w:tblPrEx>
          <w:tblCellMar>
            <w:top w:w="0" w:type="dxa"/>
            <w:left w:w="0" w:type="dxa"/>
            <w:bottom w:w="0" w:type="dxa"/>
            <w:right w:w="0" w:type="dxa"/>
          </w:tblCellMar>
        </w:tblPrEx>
        <w:trPr>
          <w:gridAfter w:val="1"/>
          <w:wAfter w:w="130" w:type="dxa"/>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科目编码</w:t>
            </w: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417"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560" w:type="dxa"/>
            <w:gridSpan w:val="3"/>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417"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47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42" w:type="dxa"/>
            <w:gridSpan w:val="2"/>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417"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560" w:type="dxa"/>
            <w:gridSpan w:val="3"/>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417"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47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42" w:type="dxa"/>
            <w:gridSpan w:val="2"/>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3134"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c>
          <w:tcPr>
            <w:tcW w:w="1642"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7</w:t>
            </w:r>
          </w:p>
        </w:tc>
      </w:tr>
      <w:tr>
        <w:tblPrEx>
          <w:tblCellMar>
            <w:top w:w="0" w:type="dxa"/>
            <w:left w:w="0" w:type="dxa"/>
            <w:bottom w:w="0" w:type="dxa"/>
            <w:right w:w="0" w:type="dxa"/>
          </w:tblCellMar>
        </w:tblPrEx>
        <w:trPr>
          <w:gridAfter w:val="1"/>
          <w:wAfter w:w="130" w:type="dxa"/>
          <w:trHeight w:val="450" w:hRule="atLeast"/>
        </w:trPr>
        <w:tc>
          <w:tcPr>
            <w:tcW w:w="3134"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6760.22</w:t>
            </w:r>
          </w:p>
        </w:tc>
        <w:tc>
          <w:tcPr>
            <w:tcW w:w="156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6760.22</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ind w:firstLine="400" w:firstLineChars="200"/>
              <w:jc w:val="left"/>
              <w:rPr>
                <w:rFonts w:ascii="宋体" w:cs="宋体"/>
                <w:color w:val="000000"/>
                <w:sz w:val="20"/>
                <w:szCs w:val="20"/>
              </w:rPr>
            </w:pPr>
            <w:r>
              <w:rPr>
                <w:rFonts w:ascii="宋体" w:hAnsi="宋体" w:cs="宋体"/>
                <w:color w:val="000000"/>
                <w:sz w:val="20"/>
                <w:szCs w:val="20"/>
              </w:rPr>
              <w:t>208</w:t>
            </w:r>
          </w:p>
        </w:tc>
        <w:tc>
          <w:tcPr>
            <w:tcW w:w="20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r>
              <w:rPr>
                <w:rFonts w:hint="eastAsia" w:ascii="宋体" w:hAnsi="宋体" w:cs="宋体"/>
                <w:color w:val="000000"/>
                <w:sz w:val="20"/>
                <w:szCs w:val="20"/>
              </w:rPr>
              <w:t>社会保障和就业支出</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35.48</w:t>
            </w:r>
          </w:p>
        </w:tc>
        <w:tc>
          <w:tcPr>
            <w:tcW w:w="156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35.48</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20805</w:t>
            </w:r>
          </w:p>
        </w:tc>
        <w:tc>
          <w:tcPr>
            <w:tcW w:w="20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hint="eastAsia" w:ascii="宋体" w:hAnsi="宋体"/>
                <w:color w:val="000000"/>
                <w:sz w:val="20"/>
                <w:szCs w:val="20"/>
              </w:rPr>
              <w:t>行政事业单位离退休</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s="宋体"/>
                <w:color w:val="000000"/>
                <w:sz w:val="20"/>
                <w:szCs w:val="20"/>
              </w:rPr>
              <w:t>35.48</w:t>
            </w:r>
          </w:p>
        </w:tc>
        <w:tc>
          <w:tcPr>
            <w:tcW w:w="156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s="宋体"/>
                <w:color w:val="000000"/>
                <w:sz w:val="20"/>
                <w:szCs w:val="20"/>
              </w:rPr>
              <w:t>35.48</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2080505</w:t>
            </w:r>
          </w:p>
        </w:tc>
        <w:tc>
          <w:tcPr>
            <w:tcW w:w="20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机关事业单位基本养老保险缴费支出</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s="宋体"/>
                <w:color w:val="000000"/>
                <w:sz w:val="20"/>
                <w:szCs w:val="20"/>
              </w:rPr>
              <w:t>35.48</w:t>
            </w:r>
          </w:p>
        </w:tc>
        <w:tc>
          <w:tcPr>
            <w:tcW w:w="156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s="宋体"/>
                <w:color w:val="000000"/>
                <w:sz w:val="20"/>
                <w:szCs w:val="20"/>
              </w:rPr>
              <w:t>35.48</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210</w:t>
            </w:r>
          </w:p>
        </w:tc>
        <w:tc>
          <w:tcPr>
            <w:tcW w:w="20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卫生健康支出</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8.64</w:t>
            </w:r>
          </w:p>
        </w:tc>
        <w:tc>
          <w:tcPr>
            <w:tcW w:w="156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8.64</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21011</w:t>
            </w:r>
          </w:p>
        </w:tc>
        <w:tc>
          <w:tcPr>
            <w:tcW w:w="20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行政事业单位医疗</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8.64</w:t>
            </w:r>
          </w:p>
        </w:tc>
        <w:tc>
          <w:tcPr>
            <w:tcW w:w="156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8.64</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2101102</w:t>
            </w:r>
          </w:p>
        </w:tc>
        <w:tc>
          <w:tcPr>
            <w:tcW w:w="204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事业单位医疗</w:t>
            </w:r>
          </w:p>
        </w:tc>
        <w:tc>
          <w:tcPr>
            <w:tcW w:w="141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8.64</w:t>
            </w:r>
          </w:p>
        </w:tc>
        <w:tc>
          <w:tcPr>
            <w:tcW w:w="1560"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8.64</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212</w:t>
            </w:r>
          </w:p>
        </w:tc>
        <w:tc>
          <w:tcPr>
            <w:tcW w:w="204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hint="eastAsia" w:ascii="宋体" w:hAnsi="宋体"/>
                <w:color w:val="000000"/>
                <w:sz w:val="20"/>
                <w:szCs w:val="20"/>
              </w:rPr>
              <w:t>城乡社区支出</w:t>
            </w:r>
          </w:p>
        </w:tc>
        <w:tc>
          <w:tcPr>
            <w:tcW w:w="141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6716.10</w:t>
            </w:r>
          </w:p>
        </w:tc>
        <w:tc>
          <w:tcPr>
            <w:tcW w:w="1560"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6716.10</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21201</w:t>
            </w:r>
          </w:p>
        </w:tc>
        <w:tc>
          <w:tcPr>
            <w:tcW w:w="204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城乡社区管理事务</w:t>
            </w:r>
          </w:p>
        </w:tc>
        <w:tc>
          <w:tcPr>
            <w:tcW w:w="141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309.10</w:t>
            </w:r>
          </w:p>
        </w:tc>
        <w:tc>
          <w:tcPr>
            <w:tcW w:w="1560"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309.10</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2120101</w:t>
            </w:r>
          </w:p>
        </w:tc>
        <w:tc>
          <w:tcPr>
            <w:tcW w:w="204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 xml:space="preserve">  </w:t>
            </w:r>
            <w:r>
              <w:rPr>
                <w:rFonts w:hint="eastAsia" w:ascii="宋体" w:hAnsi="宋体"/>
                <w:color w:val="000000"/>
                <w:kern w:val="0"/>
                <w:sz w:val="20"/>
                <w:szCs w:val="20"/>
              </w:rPr>
              <w:t>行政运行</w:t>
            </w:r>
          </w:p>
        </w:tc>
        <w:tc>
          <w:tcPr>
            <w:tcW w:w="141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309.10</w:t>
            </w:r>
          </w:p>
        </w:tc>
        <w:tc>
          <w:tcPr>
            <w:tcW w:w="1560"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309.10</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21203</w:t>
            </w:r>
          </w:p>
        </w:tc>
        <w:tc>
          <w:tcPr>
            <w:tcW w:w="204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城乡社区公共设施</w:t>
            </w:r>
          </w:p>
        </w:tc>
        <w:tc>
          <w:tcPr>
            <w:tcW w:w="141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3095</w:t>
            </w:r>
          </w:p>
        </w:tc>
        <w:tc>
          <w:tcPr>
            <w:tcW w:w="1560"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3095</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2120399</w:t>
            </w:r>
          </w:p>
        </w:tc>
        <w:tc>
          <w:tcPr>
            <w:tcW w:w="204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 xml:space="preserve">   </w:t>
            </w:r>
            <w:r>
              <w:rPr>
                <w:rFonts w:hint="eastAsia" w:ascii="宋体" w:hAnsi="宋体"/>
                <w:color w:val="000000"/>
                <w:kern w:val="0"/>
                <w:sz w:val="20"/>
                <w:szCs w:val="20"/>
              </w:rPr>
              <w:t>其他城乡社区公共设施支出</w:t>
            </w:r>
          </w:p>
        </w:tc>
        <w:tc>
          <w:tcPr>
            <w:tcW w:w="141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3095</w:t>
            </w:r>
          </w:p>
        </w:tc>
        <w:tc>
          <w:tcPr>
            <w:tcW w:w="1560"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3095</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21208</w:t>
            </w:r>
          </w:p>
        </w:tc>
        <w:tc>
          <w:tcPr>
            <w:tcW w:w="204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国有土地使用权出让收入及对应专项债务收入安排的支出</w:t>
            </w:r>
          </w:p>
        </w:tc>
        <w:tc>
          <w:tcPr>
            <w:tcW w:w="141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3312</w:t>
            </w:r>
          </w:p>
        </w:tc>
        <w:tc>
          <w:tcPr>
            <w:tcW w:w="1560"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3312</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2120803</w:t>
            </w:r>
          </w:p>
        </w:tc>
        <w:tc>
          <w:tcPr>
            <w:tcW w:w="204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 xml:space="preserve">  </w:t>
            </w:r>
            <w:r>
              <w:rPr>
                <w:rFonts w:hint="eastAsia" w:ascii="宋体" w:hAnsi="宋体"/>
                <w:color w:val="000000"/>
                <w:kern w:val="0"/>
                <w:sz w:val="20"/>
                <w:szCs w:val="20"/>
              </w:rPr>
              <w:t>城市建设支出</w:t>
            </w:r>
          </w:p>
        </w:tc>
        <w:tc>
          <w:tcPr>
            <w:tcW w:w="141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3312</w:t>
            </w:r>
          </w:p>
        </w:tc>
        <w:tc>
          <w:tcPr>
            <w:tcW w:w="1560"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3312</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1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4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642"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30" w:type="dxa"/>
          <w:trHeight w:val="615" w:hRule="atLeast"/>
        </w:trPr>
        <w:tc>
          <w:tcPr>
            <w:tcW w:w="13845" w:type="dxa"/>
            <w:gridSpan w:val="17"/>
            <w:tcBorders>
              <w:top w:val="single" w:color="000000" w:sz="8" w:space="0"/>
              <w:left w:val="nil"/>
              <w:bottom w:val="single" w:color="000000" w:sz="8" w:space="0"/>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注：本表反映部门本年度取得的各项收入情况。本表金额转换为万元时，因四舍五入可能存在尾差。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4108" w:type="dxa"/>
        <w:tblInd w:w="0" w:type="dxa"/>
        <w:tblLayout w:type="fixed"/>
        <w:tblCellMar>
          <w:top w:w="0" w:type="dxa"/>
          <w:left w:w="0" w:type="dxa"/>
          <w:bottom w:w="0" w:type="dxa"/>
          <w:right w:w="0" w:type="dxa"/>
        </w:tblCellMar>
      </w:tblPr>
      <w:tblGrid>
        <w:gridCol w:w="1183"/>
        <w:gridCol w:w="1951"/>
        <w:gridCol w:w="1559"/>
        <w:gridCol w:w="1562"/>
        <w:gridCol w:w="112"/>
        <w:gridCol w:w="1689"/>
        <w:gridCol w:w="215"/>
        <w:gridCol w:w="1587"/>
        <w:gridCol w:w="317"/>
        <w:gridCol w:w="1484"/>
        <w:gridCol w:w="420"/>
        <w:gridCol w:w="1909"/>
        <w:gridCol w:w="120"/>
      </w:tblGrid>
      <w:tr>
        <w:tblPrEx>
          <w:tblCellMar>
            <w:top w:w="0" w:type="dxa"/>
            <w:left w:w="0" w:type="dxa"/>
            <w:bottom w:w="0" w:type="dxa"/>
            <w:right w:w="0" w:type="dxa"/>
          </w:tblCellMar>
        </w:tblPrEx>
        <w:trPr>
          <w:gridAfter w:val="1"/>
          <w:wAfter w:w="120" w:type="dxa"/>
          <w:trHeight w:val="435" w:hRule="atLeast"/>
        </w:trPr>
        <w:tc>
          <w:tcPr>
            <w:tcW w:w="13988" w:type="dxa"/>
            <w:gridSpan w:val="12"/>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支出决算表</w:t>
            </w:r>
          </w:p>
        </w:tc>
      </w:tr>
      <w:tr>
        <w:tblPrEx>
          <w:tblCellMar>
            <w:top w:w="0" w:type="dxa"/>
            <w:left w:w="0" w:type="dxa"/>
            <w:bottom w:w="0" w:type="dxa"/>
            <w:right w:w="0" w:type="dxa"/>
          </w:tblCellMar>
        </w:tblPrEx>
        <w:trPr>
          <w:trHeight w:val="285" w:hRule="atLeast"/>
        </w:trPr>
        <w:tc>
          <w:tcPr>
            <w:tcW w:w="8056" w:type="dxa"/>
            <w:gridSpan w:val="6"/>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2449"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03</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300" w:hRule="atLeast"/>
        </w:trPr>
        <w:tc>
          <w:tcPr>
            <w:tcW w:w="6255" w:type="dxa"/>
            <w:gridSpan w:val="4"/>
            <w:tcBorders>
              <w:top w:val="nil"/>
              <w:left w:val="nil"/>
              <w:bottom w:val="nil"/>
              <w:right w:val="nil"/>
            </w:tcBorders>
            <w:shd w:val="clear" w:color="auto" w:fill="FFFFFF"/>
            <w:noWrap/>
            <w:tcMar>
              <w:top w:w="15" w:type="dxa"/>
              <w:left w:w="15" w:type="dxa"/>
              <w:right w:w="15" w:type="dxa"/>
            </w:tcMar>
            <w:vAlign w:val="center"/>
          </w:tcPr>
          <w:p>
            <w:pPr>
              <w:ind w:right="400"/>
              <w:rPr>
                <w:rFonts w:ascii="宋体" w:cs="宋体"/>
                <w:color w:val="000000"/>
                <w:sz w:val="20"/>
                <w:szCs w:val="20"/>
              </w:rPr>
            </w:pPr>
            <w:r>
              <w:rPr>
                <w:rFonts w:hint="eastAsia" w:ascii="宋体" w:hAnsi="宋体" w:cs="宋体"/>
                <w:color w:val="000000"/>
                <w:kern w:val="0"/>
                <w:sz w:val="20"/>
                <w:szCs w:val="20"/>
              </w:rPr>
              <w:t>部门：永城市产业集聚区管理委员会</w:t>
            </w: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2449"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gridAfter w:val="1"/>
          <w:wAfter w:w="120" w:type="dxa"/>
          <w:trHeight w:val="450" w:hRule="atLeast"/>
        </w:trPr>
        <w:tc>
          <w:tcPr>
            <w:tcW w:w="3134" w:type="dxa"/>
            <w:gridSpan w:val="2"/>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1559"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本年支出合计</w:t>
            </w:r>
          </w:p>
        </w:tc>
        <w:tc>
          <w:tcPr>
            <w:tcW w:w="167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对附属单位补助支出</w:t>
            </w:r>
          </w:p>
        </w:tc>
      </w:tr>
      <w:tr>
        <w:tblPrEx>
          <w:tblCellMar>
            <w:top w:w="0" w:type="dxa"/>
            <w:left w:w="0" w:type="dxa"/>
            <w:bottom w:w="0" w:type="dxa"/>
            <w:right w:w="0" w:type="dxa"/>
          </w:tblCellMar>
        </w:tblPrEx>
        <w:trPr>
          <w:gridAfter w:val="1"/>
          <w:wAfter w:w="120" w:type="dxa"/>
          <w:trHeight w:val="450" w:hRule="atLeast"/>
        </w:trPr>
        <w:tc>
          <w:tcPr>
            <w:tcW w:w="1183" w:type="dxa"/>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科目编码</w:t>
            </w:r>
          </w:p>
        </w:tc>
        <w:tc>
          <w:tcPr>
            <w:tcW w:w="19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559"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7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559"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67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3134"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r>
      <w:tr>
        <w:tblPrEx>
          <w:tblCellMar>
            <w:top w:w="0" w:type="dxa"/>
            <w:left w:w="0" w:type="dxa"/>
            <w:bottom w:w="0" w:type="dxa"/>
            <w:right w:w="0" w:type="dxa"/>
          </w:tblCellMar>
        </w:tblPrEx>
        <w:trPr>
          <w:gridAfter w:val="1"/>
          <w:wAfter w:w="120" w:type="dxa"/>
          <w:trHeight w:val="450" w:hRule="atLeast"/>
        </w:trPr>
        <w:tc>
          <w:tcPr>
            <w:tcW w:w="3134" w:type="dxa"/>
            <w:gridSpan w:val="2"/>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6760.22</w:t>
            </w:r>
          </w:p>
        </w:tc>
        <w:tc>
          <w:tcPr>
            <w:tcW w:w="167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353.22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olor w:val="000000"/>
                <w:kern w:val="0"/>
                <w:sz w:val="20"/>
                <w:szCs w:val="20"/>
              </w:rPr>
              <w:t>6407</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560" w:hRule="atLeast"/>
        </w:trPr>
        <w:tc>
          <w:tcPr>
            <w:tcW w:w="118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ind w:firstLine="400" w:firstLineChars="200"/>
              <w:jc w:val="left"/>
              <w:rPr>
                <w:rFonts w:ascii="宋体" w:cs="宋体"/>
                <w:color w:val="000000"/>
                <w:sz w:val="20"/>
                <w:szCs w:val="20"/>
              </w:rPr>
            </w:pPr>
            <w:r>
              <w:rPr>
                <w:rFonts w:ascii="宋体" w:hAnsi="宋体" w:cs="宋体"/>
                <w:color w:val="000000"/>
                <w:sz w:val="20"/>
                <w:szCs w:val="20"/>
              </w:rPr>
              <w:t>208</w:t>
            </w:r>
          </w:p>
        </w:tc>
        <w:tc>
          <w:tcPr>
            <w:tcW w:w="1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bCs/>
                <w:color w:val="000000"/>
                <w:sz w:val="20"/>
                <w:szCs w:val="20"/>
              </w:rPr>
            </w:pPr>
            <w:r>
              <w:rPr>
                <w:rFonts w:hint="eastAsia" w:ascii="宋体" w:hAnsi="宋体" w:cs="宋体"/>
                <w:color w:val="000000"/>
                <w:sz w:val="20"/>
                <w:szCs w:val="20"/>
              </w:rPr>
              <w:t>社会保障和就业支出</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35.48</w:t>
            </w:r>
          </w:p>
        </w:tc>
        <w:tc>
          <w:tcPr>
            <w:tcW w:w="167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35.48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20805</w:t>
            </w:r>
          </w:p>
        </w:tc>
        <w:tc>
          <w:tcPr>
            <w:tcW w:w="1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hint="eastAsia" w:ascii="宋体" w:hAnsi="宋体"/>
                <w:color w:val="000000"/>
                <w:sz w:val="20"/>
                <w:szCs w:val="20"/>
              </w:rPr>
              <w:t>行政事业单位离退休</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35.48</w:t>
            </w:r>
          </w:p>
        </w:tc>
        <w:tc>
          <w:tcPr>
            <w:tcW w:w="167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35.48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2080505</w:t>
            </w:r>
          </w:p>
        </w:tc>
        <w:tc>
          <w:tcPr>
            <w:tcW w:w="1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机关事业单位基本养老保险缴费支出</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35.48</w:t>
            </w:r>
          </w:p>
        </w:tc>
        <w:tc>
          <w:tcPr>
            <w:tcW w:w="167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35.48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210</w:t>
            </w:r>
          </w:p>
        </w:tc>
        <w:tc>
          <w:tcPr>
            <w:tcW w:w="1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卫生健康支出</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8.64</w:t>
            </w:r>
          </w:p>
        </w:tc>
        <w:tc>
          <w:tcPr>
            <w:tcW w:w="167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8.64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21011</w:t>
            </w:r>
          </w:p>
        </w:tc>
        <w:tc>
          <w:tcPr>
            <w:tcW w:w="1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行政事业单位医疗</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8.64</w:t>
            </w:r>
          </w:p>
        </w:tc>
        <w:tc>
          <w:tcPr>
            <w:tcW w:w="167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8.64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2101102</w:t>
            </w:r>
          </w:p>
        </w:tc>
        <w:tc>
          <w:tcPr>
            <w:tcW w:w="195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事业单位医疗</w:t>
            </w:r>
          </w:p>
        </w:tc>
        <w:tc>
          <w:tcPr>
            <w:tcW w:w="155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8.64</w:t>
            </w:r>
          </w:p>
        </w:tc>
        <w:tc>
          <w:tcPr>
            <w:tcW w:w="167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8.64</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212</w:t>
            </w:r>
          </w:p>
        </w:tc>
        <w:tc>
          <w:tcPr>
            <w:tcW w:w="195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sz w:val="20"/>
                <w:szCs w:val="20"/>
              </w:rPr>
            </w:pPr>
            <w:r>
              <w:rPr>
                <w:rFonts w:hint="eastAsia" w:ascii="宋体" w:hAnsi="宋体"/>
                <w:color w:val="000000"/>
                <w:sz w:val="20"/>
                <w:szCs w:val="20"/>
              </w:rPr>
              <w:t>城乡社区支出</w:t>
            </w:r>
          </w:p>
        </w:tc>
        <w:tc>
          <w:tcPr>
            <w:tcW w:w="155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6716.10</w:t>
            </w:r>
          </w:p>
        </w:tc>
        <w:tc>
          <w:tcPr>
            <w:tcW w:w="167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309.10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olor w:val="000000"/>
                <w:kern w:val="0"/>
                <w:sz w:val="20"/>
                <w:szCs w:val="20"/>
              </w:rPr>
              <w:t>6407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21201</w:t>
            </w:r>
          </w:p>
        </w:tc>
        <w:tc>
          <w:tcPr>
            <w:tcW w:w="195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城乡社区管理事务</w:t>
            </w:r>
          </w:p>
        </w:tc>
        <w:tc>
          <w:tcPr>
            <w:tcW w:w="155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309.10</w:t>
            </w:r>
          </w:p>
        </w:tc>
        <w:tc>
          <w:tcPr>
            <w:tcW w:w="167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309.10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2120101</w:t>
            </w:r>
          </w:p>
        </w:tc>
        <w:tc>
          <w:tcPr>
            <w:tcW w:w="195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 xml:space="preserve">  </w:t>
            </w:r>
            <w:r>
              <w:rPr>
                <w:rFonts w:hint="eastAsia" w:ascii="宋体" w:hAnsi="宋体"/>
                <w:color w:val="000000"/>
                <w:kern w:val="0"/>
                <w:sz w:val="20"/>
                <w:szCs w:val="20"/>
              </w:rPr>
              <w:t>行政运行</w:t>
            </w:r>
          </w:p>
        </w:tc>
        <w:tc>
          <w:tcPr>
            <w:tcW w:w="155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309.10</w:t>
            </w:r>
          </w:p>
        </w:tc>
        <w:tc>
          <w:tcPr>
            <w:tcW w:w="167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309.10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21203</w:t>
            </w:r>
          </w:p>
        </w:tc>
        <w:tc>
          <w:tcPr>
            <w:tcW w:w="195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城乡社区公共设施</w:t>
            </w:r>
          </w:p>
        </w:tc>
        <w:tc>
          <w:tcPr>
            <w:tcW w:w="155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3095</w:t>
            </w:r>
          </w:p>
        </w:tc>
        <w:tc>
          <w:tcPr>
            <w:tcW w:w="167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3095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2120399</w:t>
            </w:r>
          </w:p>
        </w:tc>
        <w:tc>
          <w:tcPr>
            <w:tcW w:w="195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 xml:space="preserve">   </w:t>
            </w:r>
            <w:r>
              <w:rPr>
                <w:rFonts w:hint="eastAsia" w:ascii="宋体" w:hAnsi="宋体"/>
                <w:color w:val="000000"/>
                <w:kern w:val="0"/>
                <w:sz w:val="20"/>
                <w:szCs w:val="20"/>
              </w:rPr>
              <w:t>其他城乡社区公共设施支出</w:t>
            </w:r>
          </w:p>
        </w:tc>
        <w:tc>
          <w:tcPr>
            <w:tcW w:w="155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3095</w:t>
            </w:r>
          </w:p>
        </w:tc>
        <w:tc>
          <w:tcPr>
            <w:tcW w:w="167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3095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21208</w:t>
            </w:r>
          </w:p>
        </w:tc>
        <w:tc>
          <w:tcPr>
            <w:tcW w:w="195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国有土地使用权出让收入及对应专项债务收入安排的支出</w:t>
            </w:r>
          </w:p>
        </w:tc>
        <w:tc>
          <w:tcPr>
            <w:tcW w:w="155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3312</w:t>
            </w:r>
          </w:p>
        </w:tc>
        <w:tc>
          <w:tcPr>
            <w:tcW w:w="167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3312</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450" w:hRule="atLeast"/>
        </w:trPr>
        <w:tc>
          <w:tcPr>
            <w:tcW w:w="1183"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2120803</w:t>
            </w:r>
          </w:p>
        </w:tc>
        <w:tc>
          <w:tcPr>
            <w:tcW w:w="195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 xml:space="preserve">  </w:t>
            </w:r>
            <w:r>
              <w:rPr>
                <w:rFonts w:hint="eastAsia" w:ascii="宋体" w:hAnsi="宋体"/>
                <w:color w:val="000000"/>
                <w:kern w:val="0"/>
                <w:sz w:val="20"/>
                <w:szCs w:val="20"/>
              </w:rPr>
              <w:t>城市建设支出</w:t>
            </w:r>
          </w:p>
        </w:tc>
        <w:tc>
          <w:tcPr>
            <w:tcW w:w="155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3312</w:t>
            </w:r>
          </w:p>
        </w:tc>
        <w:tc>
          <w:tcPr>
            <w:tcW w:w="167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3312</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120" w:type="dxa"/>
          <w:trHeight w:val="630" w:hRule="atLeast"/>
        </w:trPr>
        <w:tc>
          <w:tcPr>
            <w:tcW w:w="13988" w:type="dxa"/>
            <w:gridSpan w:val="12"/>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注：本表反映部门本年度各项支出情况。本表金额转换为万元时，因四舍五入可能存在尾差。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3994"/>
        <w:gridCol w:w="720"/>
        <w:gridCol w:w="1210"/>
        <w:gridCol w:w="3400"/>
        <w:gridCol w:w="597"/>
        <w:gridCol w:w="708"/>
        <w:gridCol w:w="1343"/>
        <w:gridCol w:w="336"/>
        <w:gridCol w:w="1680"/>
      </w:tblGrid>
      <w:tr>
        <w:tblPrEx>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财政拨款收入支出决算总表</w:t>
            </w:r>
          </w:p>
        </w:tc>
      </w:tr>
      <w:tr>
        <w:tblPrEx>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34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部门：永城市产业集聚区管理委员会</w:t>
            </w: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34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支出</w:t>
            </w:r>
          </w:p>
        </w:tc>
      </w:tr>
      <w:tr>
        <w:tblPrEx>
          <w:tblCellMar>
            <w:top w:w="0" w:type="dxa"/>
            <w:left w:w="0" w:type="dxa"/>
            <w:bottom w:w="0" w:type="dxa"/>
            <w:right w:w="0" w:type="dxa"/>
          </w:tblCellMar>
        </w:tblPrEx>
        <w:trPr>
          <w:trHeight w:val="63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金额</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行次</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6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一般公共预算财政拨款</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政府性基金预算财政拨款</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w:t>
            </w:r>
            <w:r>
              <w:rPr>
                <w:rFonts w:ascii="宋体" w:hAnsi="宋体" w:cs="宋体"/>
                <w:color w:val="000000"/>
                <w:kern w:val="0"/>
                <w:sz w:val="20"/>
                <w:szCs w:val="20"/>
              </w:rPr>
              <w:t xml:space="preserve">    </w:t>
            </w:r>
            <w:r>
              <w:rPr>
                <w:rFonts w:hint="eastAsia" w:ascii="宋体" w:hAnsi="宋体" w:cs="宋体"/>
                <w:color w:val="000000"/>
                <w:kern w:val="0"/>
                <w:sz w:val="20"/>
                <w:szCs w:val="20"/>
              </w:rPr>
              <w:t>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w:t>
            </w:r>
            <w:r>
              <w:rPr>
                <w:rFonts w:ascii="宋体" w:hAnsi="宋体" w:cs="宋体"/>
                <w:color w:val="000000"/>
                <w:kern w:val="0"/>
                <w:sz w:val="20"/>
                <w:szCs w:val="20"/>
              </w:rPr>
              <w:t xml:space="preserve">    </w:t>
            </w:r>
            <w:r>
              <w:rPr>
                <w:rFonts w:hint="eastAsia" w:ascii="宋体" w:hAnsi="宋体" w:cs="宋体"/>
                <w:color w:val="000000"/>
                <w:kern w:val="0"/>
                <w:sz w:val="20"/>
                <w:szCs w:val="20"/>
              </w:rPr>
              <w:t>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3448.22</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一、一般公共服务支出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15</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3312</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二、外交支出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16</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三、国防支出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17</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四、公共安全支出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18</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五、教育支出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19</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六、科学技术支出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20</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7</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七、文化体育与传媒支出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36</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8</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八、社会保障和就业支出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37</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35.4835</w:t>
            </w: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35.4835</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九、医疗卫生与计划生育支出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38</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8.64</w:t>
            </w: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8.64</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十、节能环保支出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39</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十一、城乡社区支出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40</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rPr>
                <w:rFonts w:ascii="宋体" w:cs="宋体"/>
                <w:color w:val="000000"/>
                <w:sz w:val="20"/>
                <w:szCs w:val="20"/>
              </w:rPr>
            </w:pPr>
            <w:r>
              <w:rPr>
                <w:rFonts w:ascii="宋体" w:hAnsi="宋体" w:cs="宋体"/>
                <w:color w:val="000000"/>
                <w:sz w:val="20"/>
                <w:szCs w:val="20"/>
              </w:rPr>
              <w:t>6716.1005</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3404.1005</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3312</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12</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十二、农林水支出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41</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13</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十三、交通运输支出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42</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14</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十四、资源勘探信息等支出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43</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15</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十五、商业服务业等支出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44</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16</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十六、金融支出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45</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17</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十七、援助其他地区支出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46</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18</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十八、国土海洋气象等支出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47</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19</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十九、住房保障支出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48</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20</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二十、粮油物资储备支出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49</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21</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二十一、其他支出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50</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22</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二十二、债务还本支出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51</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23</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二十三、债务付息支出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52</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20"/>
                <w:szCs w:val="20"/>
              </w:rPr>
            </w:pPr>
            <w:r>
              <w:rPr>
                <w:rFonts w:ascii="宋体" w:hAnsi="宋体" w:cs="宋体"/>
                <w:b/>
                <w:color w:val="000000"/>
                <w:sz w:val="20"/>
                <w:szCs w:val="20"/>
              </w:rPr>
              <w:t>6760.22</w:t>
            </w: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本年支出合计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23</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b/>
                <w:color w:val="000000"/>
                <w:sz w:val="20"/>
                <w:szCs w:val="20"/>
              </w:rPr>
            </w:pPr>
            <w:r>
              <w:rPr>
                <w:rFonts w:ascii="宋体" w:hAnsi="宋体" w:cs="宋体"/>
                <w:b/>
                <w:color w:val="000000"/>
                <w:sz w:val="20"/>
                <w:szCs w:val="20"/>
              </w:rPr>
              <w:t>6760.22</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b/>
                <w:color w:val="000000"/>
                <w:sz w:val="20"/>
                <w:szCs w:val="20"/>
              </w:rPr>
            </w:pPr>
            <w:r>
              <w:rPr>
                <w:rFonts w:ascii="宋体" w:hAnsi="宋体" w:cs="宋体"/>
                <w:b/>
                <w:color w:val="000000"/>
                <w:sz w:val="20"/>
                <w:szCs w:val="20"/>
              </w:rPr>
              <w:t>3448.224</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b/>
                <w:color w:val="000000"/>
                <w:sz w:val="20"/>
                <w:szCs w:val="20"/>
              </w:rPr>
            </w:pPr>
            <w:r>
              <w:rPr>
                <w:rFonts w:ascii="宋体" w:hAnsi="宋体" w:cs="宋体"/>
                <w:b/>
                <w:color w:val="000000"/>
                <w:sz w:val="20"/>
                <w:szCs w:val="20"/>
              </w:rPr>
              <w:t>3312</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1.08</w:t>
            </w: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24</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1.08</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1.08</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left"/>
              <w:rPr>
                <w:rFonts w:asci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25</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12</w:t>
            </w:r>
          </w:p>
        </w:tc>
        <w:tc>
          <w:tcPr>
            <w:tcW w:w="121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right"/>
              <w:rPr>
                <w:rFonts w:ascii="宋体" w:cs="宋体"/>
                <w:color w:val="000000"/>
                <w:sz w:val="20"/>
                <w:szCs w:val="20"/>
              </w:rPr>
            </w:pPr>
            <w:r>
              <w:rPr>
                <w:rFonts w:ascii="宋体" w:hAnsi="宋体" w:cs="宋体"/>
                <w:color w:val="000000"/>
                <w:sz w:val="20"/>
                <w:szCs w:val="20"/>
              </w:rPr>
              <w:t>1.08</w:t>
            </w:r>
          </w:p>
        </w:tc>
        <w:tc>
          <w:tcPr>
            <w:tcW w:w="3400" w:type="dxa"/>
            <w:tcBorders>
              <w:top w:val="single" w:color="000000" w:sz="4" w:space="0"/>
              <w:left w:val="single" w:color="000000" w:sz="4" w:space="0"/>
              <w:bottom w:val="nil"/>
              <w:right w:val="nil"/>
            </w:tcBorders>
            <w:noWrap/>
            <w:tcMar>
              <w:top w:w="15" w:type="dxa"/>
              <w:left w:w="15" w:type="dxa"/>
              <w:right w:w="15" w:type="dxa"/>
            </w:tcMar>
            <w:vAlign w:val="center"/>
          </w:tcPr>
          <w:p>
            <w:pPr>
              <w:jc w:val="left"/>
              <w:rPr>
                <w:rFonts w:asci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26</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noWrap/>
            <w:tcMar>
              <w:top w:w="15" w:type="dxa"/>
              <w:left w:w="15" w:type="dxa"/>
              <w:right w:w="15" w:type="dxa"/>
            </w:tcMar>
            <w:vAlign w:val="center"/>
          </w:tcPr>
          <w:p>
            <w:pPr>
              <w:jc w:val="center"/>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13</w:t>
            </w:r>
          </w:p>
        </w:tc>
        <w:tc>
          <w:tcPr>
            <w:tcW w:w="121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right"/>
              <w:rPr>
                <w:rFonts w:ascii="宋体" w:cs="宋体"/>
                <w:color w:val="000000"/>
                <w:sz w:val="20"/>
                <w:szCs w:val="20"/>
              </w:rPr>
            </w:pPr>
          </w:p>
        </w:tc>
        <w:tc>
          <w:tcPr>
            <w:tcW w:w="3400" w:type="dxa"/>
            <w:tcBorders>
              <w:top w:val="single" w:color="000000" w:sz="4" w:space="0"/>
              <w:left w:val="single" w:color="000000" w:sz="4" w:space="0"/>
              <w:bottom w:val="nil"/>
              <w:right w:val="nil"/>
            </w:tcBorders>
            <w:noWrap/>
            <w:tcMar>
              <w:top w:w="15" w:type="dxa"/>
              <w:left w:w="15" w:type="dxa"/>
              <w:right w:w="15" w:type="dxa"/>
            </w:tcMar>
            <w:vAlign w:val="center"/>
          </w:tcPr>
          <w:p>
            <w:pPr>
              <w:jc w:val="left"/>
              <w:rPr>
                <w:rFonts w:asci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27</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14</w:t>
            </w:r>
          </w:p>
        </w:tc>
        <w:tc>
          <w:tcPr>
            <w:tcW w:w="1210"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6761.30</w:t>
            </w:r>
          </w:p>
        </w:tc>
        <w:tc>
          <w:tcPr>
            <w:tcW w:w="3400"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总计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28</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6761.30</w:t>
            </w:r>
          </w:p>
        </w:tc>
        <w:tc>
          <w:tcPr>
            <w:tcW w:w="1679"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3449.30</w:t>
            </w:r>
          </w:p>
        </w:tc>
        <w:tc>
          <w:tcPr>
            <w:tcW w:w="1680"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3312</w:t>
            </w:r>
          </w:p>
        </w:tc>
      </w:tr>
      <w:tr>
        <w:tblPrEx>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注：本表反映部门本年度一般公共预算财政拨款和政府性基金预算财政拨款的总收支和年末结转结余情况。本表金额转换为万元时，因四舍五入可能存在尾差。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4048" w:type="dxa"/>
        <w:tblInd w:w="0" w:type="dxa"/>
        <w:tblLayout w:type="fixed"/>
        <w:tblCellMar>
          <w:top w:w="0" w:type="dxa"/>
          <w:left w:w="0" w:type="dxa"/>
          <w:bottom w:w="0" w:type="dxa"/>
          <w:right w:w="0" w:type="dxa"/>
        </w:tblCellMar>
      </w:tblPr>
      <w:tblGrid>
        <w:gridCol w:w="1414"/>
        <w:gridCol w:w="2145"/>
        <w:gridCol w:w="80"/>
        <w:gridCol w:w="10"/>
        <w:gridCol w:w="50"/>
        <w:gridCol w:w="3389"/>
        <w:gridCol w:w="60"/>
        <w:gridCol w:w="3389"/>
        <w:gridCol w:w="60"/>
        <w:gridCol w:w="3391"/>
        <w:gridCol w:w="60"/>
      </w:tblGrid>
      <w:tr>
        <w:tblPrEx>
          <w:tblCellMar>
            <w:top w:w="0" w:type="dxa"/>
            <w:left w:w="0" w:type="dxa"/>
            <w:bottom w:w="0" w:type="dxa"/>
            <w:right w:w="0" w:type="dxa"/>
          </w:tblCellMar>
        </w:tblPrEx>
        <w:trPr>
          <w:gridAfter w:val="1"/>
          <w:wAfter w:w="60" w:type="dxa"/>
          <w:trHeight w:val="600" w:hRule="atLeast"/>
        </w:trPr>
        <w:tc>
          <w:tcPr>
            <w:tcW w:w="13988" w:type="dxa"/>
            <w:gridSpan w:val="10"/>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一般公共预算财政拨款支出决算表</w:t>
            </w:r>
          </w:p>
        </w:tc>
      </w:tr>
      <w:tr>
        <w:tblPrEx>
          <w:tblCellMar>
            <w:top w:w="0" w:type="dxa"/>
            <w:left w:w="0" w:type="dxa"/>
            <w:bottom w:w="0" w:type="dxa"/>
            <w:right w:w="0" w:type="dxa"/>
          </w:tblCellMar>
        </w:tblPrEx>
        <w:trPr>
          <w:trHeight w:val="222" w:hRule="atLeast"/>
        </w:trPr>
        <w:tc>
          <w:tcPr>
            <w:tcW w:w="10597" w:type="dxa"/>
            <w:gridSpan w:val="9"/>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3451"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cs="宋体"/>
                <w:color w:val="000000"/>
                <w:kern w:val="0"/>
                <w:sz w:val="20"/>
                <w:szCs w:val="20"/>
              </w:rPr>
              <w:t>0</w:t>
            </w:r>
            <w:r>
              <w:rPr>
                <w:rStyle w:val="21"/>
              </w:rPr>
              <w:t>5</w:t>
            </w:r>
            <w:r>
              <w:rPr>
                <w:rStyle w:val="21"/>
                <w:rFonts w:hint="eastAsia"/>
              </w:rPr>
              <w:t>表</w:t>
            </w:r>
          </w:p>
        </w:tc>
      </w:tr>
      <w:tr>
        <w:tblPrEx>
          <w:tblCellMar>
            <w:top w:w="0" w:type="dxa"/>
            <w:left w:w="0" w:type="dxa"/>
            <w:bottom w:w="0" w:type="dxa"/>
            <w:right w:w="0" w:type="dxa"/>
          </w:tblCellMar>
        </w:tblPrEx>
        <w:trPr>
          <w:trHeight w:val="300" w:hRule="atLeast"/>
        </w:trPr>
        <w:tc>
          <w:tcPr>
            <w:tcW w:w="355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部门：永城市产业集聚区管理委员会</w:t>
            </w:r>
            <w:r>
              <w:rPr>
                <w:rFonts w:ascii="宋体" w:hAnsi="宋体" w:cs="宋体"/>
                <w:color w:val="000000"/>
                <w:kern w:val="0"/>
                <w:sz w:val="20"/>
                <w:szCs w:val="20"/>
              </w:rPr>
              <w:t xml:space="preserve">    </w:t>
            </w:r>
          </w:p>
        </w:tc>
        <w:tc>
          <w:tcPr>
            <w:tcW w:w="90"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 xml:space="preserve">     </w:t>
            </w:r>
          </w:p>
        </w:tc>
        <w:tc>
          <w:tcPr>
            <w:tcW w:w="50"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 xml:space="preserve">        </w:t>
            </w:r>
          </w:p>
        </w:tc>
        <w:tc>
          <w:tcPr>
            <w:tcW w:w="3449" w:type="dxa"/>
            <w:gridSpan w:val="2"/>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3449" w:type="dxa"/>
            <w:gridSpan w:val="2"/>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3451"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gridAfter w:val="1"/>
          <w:wAfter w:w="60" w:type="dxa"/>
          <w:trHeight w:val="405" w:hRule="atLeast"/>
        </w:trPr>
        <w:tc>
          <w:tcPr>
            <w:tcW w:w="3639"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Style w:val="20"/>
                <w:sz w:val="20"/>
                <w:szCs w:val="20"/>
              </w:rPr>
              <w:t xml:space="preserve">   </w:t>
            </w:r>
            <w:r>
              <w:rPr>
                <w:rStyle w:val="22"/>
                <w:rFonts w:hint="eastAsia"/>
                <w:sz w:val="20"/>
                <w:szCs w:val="20"/>
              </w:rPr>
              <w:t>目</w:t>
            </w:r>
          </w:p>
        </w:tc>
        <w:tc>
          <w:tcPr>
            <w:tcW w:w="10349" w:type="dxa"/>
            <w:gridSpan w:val="7"/>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r>
      <w:tr>
        <w:tblPrEx>
          <w:tblCellMar>
            <w:top w:w="0" w:type="dxa"/>
            <w:left w:w="0" w:type="dxa"/>
            <w:bottom w:w="0" w:type="dxa"/>
            <w:right w:w="0" w:type="dxa"/>
          </w:tblCellMar>
        </w:tblPrEx>
        <w:trPr>
          <w:gridAfter w:val="1"/>
          <w:wAfter w:w="60" w:type="dxa"/>
          <w:trHeight w:val="495" w:hRule="atLeast"/>
        </w:trPr>
        <w:tc>
          <w:tcPr>
            <w:tcW w:w="1414"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科目编码</w:t>
            </w:r>
          </w:p>
        </w:tc>
        <w:tc>
          <w:tcPr>
            <w:tcW w:w="222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3449"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3449"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3451" w:type="dxa"/>
            <w:gridSpan w:val="2"/>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r>
      <w:tr>
        <w:tblPrEx>
          <w:tblCellMar>
            <w:top w:w="0" w:type="dxa"/>
            <w:left w:w="0" w:type="dxa"/>
            <w:bottom w:w="0" w:type="dxa"/>
            <w:right w:w="0" w:type="dxa"/>
          </w:tblCellMar>
        </w:tblPrEx>
        <w:trPr>
          <w:gridAfter w:val="1"/>
          <w:wAfter w:w="60" w:type="dxa"/>
          <w:trHeight w:val="360" w:hRule="atLeast"/>
        </w:trPr>
        <w:tc>
          <w:tcPr>
            <w:tcW w:w="1414"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222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3449"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3449"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3451" w:type="dxa"/>
            <w:gridSpan w:val="2"/>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gridAfter w:val="1"/>
          <w:wAfter w:w="60" w:type="dxa"/>
          <w:trHeight w:val="312" w:hRule="atLeast"/>
        </w:trPr>
        <w:tc>
          <w:tcPr>
            <w:tcW w:w="1414"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222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3449"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3449"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3451" w:type="dxa"/>
            <w:gridSpan w:val="2"/>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gridAfter w:val="1"/>
          <w:wAfter w:w="60" w:type="dxa"/>
          <w:trHeight w:val="404" w:hRule="atLeast"/>
        </w:trPr>
        <w:tc>
          <w:tcPr>
            <w:tcW w:w="363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34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34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3451"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r>
      <w:tr>
        <w:tblPrEx>
          <w:tblCellMar>
            <w:top w:w="0" w:type="dxa"/>
            <w:left w:w="0" w:type="dxa"/>
            <w:bottom w:w="0" w:type="dxa"/>
            <w:right w:w="0" w:type="dxa"/>
          </w:tblCellMar>
        </w:tblPrEx>
        <w:trPr>
          <w:gridAfter w:val="1"/>
          <w:wAfter w:w="60" w:type="dxa"/>
          <w:trHeight w:val="395" w:hRule="atLeast"/>
        </w:trPr>
        <w:tc>
          <w:tcPr>
            <w:tcW w:w="363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34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6760.22</w:t>
            </w:r>
          </w:p>
        </w:tc>
        <w:tc>
          <w:tcPr>
            <w:tcW w:w="34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353.22</w:t>
            </w:r>
          </w:p>
        </w:tc>
        <w:tc>
          <w:tcPr>
            <w:tcW w:w="3451"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r>
              <w:rPr>
                <w:rFonts w:ascii="宋体" w:hAnsi="宋体"/>
                <w:color w:val="000000"/>
                <w:kern w:val="0"/>
                <w:sz w:val="20"/>
                <w:szCs w:val="20"/>
              </w:rPr>
              <w:t>6407</w:t>
            </w:r>
          </w:p>
        </w:tc>
      </w:tr>
      <w:tr>
        <w:tblPrEx>
          <w:tblCellMar>
            <w:top w:w="0" w:type="dxa"/>
            <w:left w:w="0" w:type="dxa"/>
            <w:bottom w:w="0" w:type="dxa"/>
            <w:right w:w="0" w:type="dxa"/>
          </w:tblCellMar>
        </w:tblPrEx>
        <w:trPr>
          <w:gridAfter w:val="1"/>
          <w:wAfter w:w="60" w:type="dxa"/>
          <w:trHeight w:val="450" w:hRule="atLeast"/>
        </w:trPr>
        <w:tc>
          <w:tcPr>
            <w:tcW w:w="141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ind w:firstLine="400" w:firstLineChars="200"/>
              <w:jc w:val="left"/>
              <w:rPr>
                <w:rFonts w:ascii="宋体"/>
                <w:bCs/>
                <w:color w:val="000000"/>
                <w:sz w:val="20"/>
                <w:szCs w:val="20"/>
              </w:rPr>
            </w:pPr>
            <w:r>
              <w:rPr>
                <w:rFonts w:ascii="宋体" w:hAnsi="宋体" w:cs="宋体"/>
                <w:color w:val="000000"/>
                <w:sz w:val="20"/>
                <w:szCs w:val="20"/>
              </w:rPr>
              <w:t>208</w:t>
            </w:r>
          </w:p>
        </w:tc>
        <w:tc>
          <w:tcPr>
            <w:tcW w:w="2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bCs/>
                <w:color w:val="000000"/>
                <w:sz w:val="20"/>
                <w:szCs w:val="20"/>
              </w:rPr>
            </w:pPr>
            <w:r>
              <w:rPr>
                <w:rFonts w:hint="eastAsia" w:ascii="宋体" w:hAnsi="宋体" w:cs="宋体"/>
                <w:color w:val="000000"/>
                <w:sz w:val="20"/>
                <w:szCs w:val="20"/>
              </w:rPr>
              <w:t>社会保障和就业支出</w:t>
            </w:r>
          </w:p>
        </w:tc>
        <w:tc>
          <w:tcPr>
            <w:tcW w:w="34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35.48</w:t>
            </w:r>
          </w:p>
        </w:tc>
        <w:tc>
          <w:tcPr>
            <w:tcW w:w="34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35.48</w:t>
            </w:r>
          </w:p>
        </w:tc>
        <w:tc>
          <w:tcPr>
            <w:tcW w:w="3451"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gridAfter w:val="1"/>
          <w:wAfter w:w="60" w:type="dxa"/>
          <w:trHeight w:val="450" w:hRule="atLeast"/>
        </w:trPr>
        <w:tc>
          <w:tcPr>
            <w:tcW w:w="141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20805</w:t>
            </w:r>
          </w:p>
        </w:tc>
        <w:tc>
          <w:tcPr>
            <w:tcW w:w="2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hint="eastAsia" w:ascii="宋体" w:hAnsi="宋体"/>
                <w:color w:val="000000"/>
                <w:sz w:val="20"/>
                <w:szCs w:val="20"/>
              </w:rPr>
              <w:t>行政事业单位离退休</w:t>
            </w:r>
          </w:p>
        </w:tc>
        <w:tc>
          <w:tcPr>
            <w:tcW w:w="34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35.48</w:t>
            </w:r>
          </w:p>
        </w:tc>
        <w:tc>
          <w:tcPr>
            <w:tcW w:w="34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35.48</w:t>
            </w:r>
          </w:p>
        </w:tc>
        <w:tc>
          <w:tcPr>
            <w:tcW w:w="3451"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gridAfter w:val="1"/>
          <w:wAfter w:w="60" w:type="dxa"/>
          <w:trHeight w:val="450" w:hRule="atLeast"/>
        </w:trPr>
        <w:tc>
          <w:tcPr>
            <w:tcW w:w="141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2080505</w:t>
            </w:r>
          </w:p>
        </w:tc>
        <w:tc>
          <w:tcPr>
            <w:tcW w:w="2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机关事业单位基本养老保险缴费支出</w:t>
            </w:r>
          </w:p>
        </w:tc>
        <w:tc>
          <w:tcPr>
            <w:tcW w:w="34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35.48</w:t>
            </w:r>
          </w:p>
        </w:tc>
        <w:tc>
          <w:tcPr>
            <w:tcW w:w="34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bCs/>
                <w:color w:val="000000"/>
                <w:sz w:val="20"/>
                <w:szCs w:val="20"/>
              </w:rPr>
            </w:pPr>
            <w:r>
              <w:rPr>
                <w:rFonts w:ascii="宋体" w:hAnsi="宋体"/>
                <w:bCs/>
                <w:color w:val="000000"/>
                <w:sz w:val="20"/>
                <w:szCs w:val="20"/>
              </w:rPr>
              <w:t>35.48</w:t>
            </w:r>
          </w:p>
        </w:tc>
        <w:tc>
          <w:tcPr>
            <w:tcW w:w="3451"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gridAfter w:val="1"/>
          <w:wAfter w:w="60" w:type="dxa"/>
          <w:trHeight w:val="450" w:hRule="atLeast"/>
        </w:trPr>
        <w:tc>
          <w:tcPr>
            <w:tcW w:w="141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210</w:t>
            </w:r>
          </w:p>
        </w:tc>
        <w:tc>
          <w:tcPr>
            <w:tcW w:w="2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卫生健康支出</w:t>
            </w:r>
          </w:p>
        </w:tc>
        <w:tc>
          <w:tcPr>
            <w:tcW w:w="34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8.64</w:t>
            </w:r>
          </w:p>
        </w:tc>
        <w:tc>
          <w:tcPr>
            <w:tcW w:w="34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8.64</w:t>
            </w:r>
          </w:p>
        </w:tc>
        <w:tc>
          <w:tcPr>
            <w:tcW w:w="3451"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gridAfter w:val="1"/>
          <w:wAfter w:w="60" w:type="dxa"/>
          <w:trHeight w:val="450" w:hRule="atLeast"/>
        </w:trPr>
        <w:tc>
          <w:tcPr>
            <w:tcW w:w="141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21011</w:t>
            </w:r>
          </w:p>
        </w:tc>
        <w:tc>
          <w:tcPr>
            <w:tcW w:w="2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行政事业单位医疗</w:t>
            </w:r>
          </w:p>
        </w:tc>
        <w:tc>
          <w:tcPr>
            <w:tcW w:w="34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8.64</w:t>
            </w:r>
          </w:p>
        </w:tc>
        <w:tc>
          <w:tcPr>
            <w:tcW w:w="34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8.64</w:t>
            </w:r>
          </w:p>
        </w:tc>
        <w:tc>
          <w:tcPr>
            <w:tcW w:w="3451"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gridAfter w:val="1"/>
          <w:wAfter w:w="60" w:type="dxa"/>
          <w:trHeight w:val="450" w:hRule="atLeast"/>
        </w:trPr>
        <w:tc>
          <w:tcPr>
            <w:tcW w:w="1414"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2101102</w:t>
            </w:r>
          </w:p>
        </w:tc>
        <w:tc>
          <w:tcPr>
            <w:tcW w:w="22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事业单位医疗</w:t>
            </w:r>
          </w:p>
        </w:tc>
        <w:tc>
          <w:tcPr>
            <w:tcW w:w="3449"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8.64</w:t>
            </w:r>
          </w:p>
        </w:tc>
        <w:tc>
          <w:tcPr>
            <w:tcW w:w="344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8.64</w:t>
            </w:r>
          </w:p>
        </w:tc>
        <w:tc>
          <w:tcPr>
            <w:tcW w:w="3451"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gridAfter w:val="1"/>
          <w:wAfter w:w="60" w:type="dxa"/>
          <w:trHeight w:val="450" w:hRule="atLeast"/>
        </w:trPr>
        <w:tc>
          <w:tcPr>
            <w:tcW w:w="1414"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212</w:t>
            </w:r>
          </w:p>
        </w:tc>
        <w:tc>
          <w:tcPr>
            <w:tcW w:w="22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hint="eastAsia" w:ascii="宋体" w:hAnsi="宋体"/>
                <w:color w:val="000000"/>
                <w:sz w:val="20"/>
                <w:szCs w:val="20"/>
              </w:rPr>
              <w:t>城乡社区支出</w:t>
            </w:r>
          </w:p>
        </w:tc>
        <w:tc>
          <w:tcPr>
            <w:tcW w:w="3449"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6716.10</w:t>
            </w:r>
          </w:p>
        </w:tc>
        <w:tc>
          <w:tcPr>
            <w:tcW w:w="344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309.10</w:t>
            </w:r>
          </w:p>
        </w:tc>
        <w:tc>
          <w:tcPr>
            <w:tcW w:w="3451"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cs="宋体"/>
                <w:color w:val="000000"/>
                <w:sz w:val="20"/>
                <w:szCs w:val="20"/>
              </w:rPr>
            </w:pPr>
            <w:r>
              <w:rPr>
                <w:rFonts w:ascii="宋体" w:hAnsi="宋体"/>
                <w:color w:val="000000"/>
                <w:kern w:val="0"/>
                <w:sz w:val="20"/>
                <w:szCs w:val="20"/>
              </w:rPr>
              <w:t>6407</w:t>
            </w:r>
          </w:p>
        </w:tc>
      </w:tr>
      <w:tr>
        <w:tblPrEx>
          <w:tblCellMar>
            <w:top w:w="0" w:type="dxa"/>
            <w:left w:w="0" w:type="dxa"/>
            <w:bottom w:w="0" w:type="dxa"/>
            <w:right w:w="0" w:type="dxa"/>
          </w:tblCellMar>
        </w:tblPrEx>
        <w:trPr>
          <w:gridAfter w:val="1"/>
          <w:wAfter w:w="60" w:type="dxa"/>
          <w:trHeight w:val="450" w:hRule="atLeast"/>
        </w:trPr>
        <w:tc>
          <w:tcPr>
            <w:tcW w:w="1414"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21201</w:t>
            </w:r>
          </w:p>
        </w:tc>
        <w:tc>
          <w:tcPr>
            <w:tcW w:w="22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城乡社区管理事务</w:t>
            </w:r>
          </w:p>
        </w:tc>
        <w:tc>
          <w:tcPr>
            <w:tcW w:w="3449"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309.10</w:t>
            </w:r>
          </w:p>
        </w:tc>
        <w:tc>
          <w:tcPr>
            <w:tcW w:w="344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sz w:val="20"/>
                <w:szCs w:val="20"/>
              </w:rPr>
              <w:t>309.10</w:t>
            </w:r>
          </w:p>
        </w:tc>
        <w:tc>
          <w:tcPr>
            <w:tcW w:w="3451"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cs="宋体"/>
                <w:color w:val="000000"/>
                <w:sz w:val="20"/>
                <w:szCs w:val="20"/>
              </w:rPr>
            </w:pPr>
          </w:p>
        </w:tc>
      </w:tr>
      <w:tr>
        <w:tblPrEx>
          <w:tblCellMar>
            <w:top w:w="0" w:type="dxa"/>
            <w:left w:w="0" w:type="dxa"/>
            <w:bottom w:w="0" w:type="dxa"/>
            <w:right w:w="0" w:type="dxa"/>
          </w:tblCellMar>
        </w:tblPrEx>
        <w:trPr>
          <w:gridAfter w:val="1"/>
          <w:wAfter w:w="60" w:type="dxa"/>
          <w:trHeight w:val="450" w:hRule="atLeast"/>
        </w:trPr>
        <w:tc>
          <w:tcPr>
            <w:tcW w:w="1414"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2120101</w:t>
            </w:r>
          </w:p>
        </w:tc>
        <w:tc>
          <w:tcPr>
            <w:tcW w:w="22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 xml:space="preserve">  </w:t>
            </w:r>
            <w:r>
              <w:rPr>
                <w:rFonts w:hint="eastAsia" w:ascii="宋体" w:hAnsi="宋体"/>
                <w:color w:val="000000"/>
                <w:kern w:val="0"/>
                <w:sz w:val="20"/>
                <w:szCs w:val="20"/>
              </w:rPr>
              <w:t>行政运行</w:t>
            </w:r>
          </w:p>
        </w:tc>
        <w:tc>
          <w:tcPr>
            <w:tcW w:w="3449"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kern w:val="0"/>
                <w:sz w:val="20"/>
                <w:szCs w:val="20"/>
              </w:rPr>
              <w:t>309.10</w:t>
            </w:r>
          </w:p>
        </w:tc>
        <w:tc>
          <w:tcPr>
            <w:tcW w:w="344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kern w:val="0"/>
                <w:sz w:val="20"/>
                <w:szCs w:val="20"/>
              </w:rPr>
              <w:t>309.10</w:t>
            </w:r>
          </w:p>
        </w:tc>
        <w:tc>
          <w:tcPr>
            <w:tcW w:w="3451"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p>
        </w:tc>
      </w:tr>
      <w:tr>
        <w:tblPrEx>
          <w:tblCellMar>
            <w:top w:w="0" w:type="dxa"/>
            <w:left w:w="0" w:type="dxa"/>
            <w:bottom w:w="0" w:type="dxa"/>
            <w:right w:w="0" w:type="dxa"/>
          </w:tblCellMar>
        </w:tblPrEx>
        <w:trPr>
          <w:gridAfter w:val="1"/>
          <w:wAfter w:w="60" w:type="dxa"/>
          <w:trHeight w:val="450" w:hRule="atLeast"/>
        </w:trPr>
        <w:tc>
          <w:tcPr>
            <w:tcW w:w="1414"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21203</w:t>
            </w:r>
          </w:p>
        </w:tc>
        <w:tc>
          <w:tcPr>
            <w:tcW w:w="22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城乡社区公共设施</w:t>
            </w:r>
          </w:p>
        </w:tc>
        <w:tc>
          <w:tcPr>
            <w:tcW w:w="3449"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kern w:val="0"/>
                <w:sz w:val="20"/>
                <w:szCs w:val="20"/>
              </w:rPr>
              <w:t>3095</w:t>
            </w:r>
          </w:p>
        </w:tc>
        <w:tc>
          <w:tcPr>
            <w:tcW w:w="344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p>
        </w:tc>
        <w:tc>
          <w:tcPr>
            <w:tcW w:w="3451"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olor w:val="000000"/>
                <w:kern w:val="0"/>
                <w:sz w:val="20"/>
                <w:szCs w:val="20"/>
              </w:rPr>
              <w:t>3095</w:t>
            </w:r>
          </w:p>
        </w:tc>
      </w:tr>
      <w:tr>
        <w:tblPrEx>
          <w:tblCellMar>
            <w:top w:w="0" w:type="dxa"/>
            <w:left w:w="0" w:type="dxa"/>
            <w:bottom w:w="0" w:type="dxa"/>
            <w:right w:w="0" w:type="dxa"/>
          </w:tblCellMar>
        </w:tblPrEx>
        <w:trPr>
          <w:gridAfter w:val="1"/>
          <w:wAfter w:w="60" w:type="dxa"/>
          <w:trHeight w:val="450" w:hRule="atLeast"/>
        </w:trPr>
        <w:tc>
          <w:tcPr>
            <w:tcW w:w="1414"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2120399</w:t>
            </w:r>
          </w:p>
        </w:tc>
        <w:tc>
          <w:tcPr>
            <w:tcW w:w="22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 xml:space="preserve">   </w:t>
            </w:r>
            <w:r>
              <w:rPr>
                <w:rFonts w:hint="eastAsia" w:ascii="宋体" w:hAnsi="宋体"/>
                <w:color w:val="000000"/>
                <w:kern w:val="0"/>
                <w:sz w:val="20"/>
                <w:szCs w:val="20"/>
              </w:rPr>
              <w:t>其他城乡社区公共设施支出</w:t>
            </w:r>
          </w:p>
        </w:tc>
        <w:tc>
          <w:tcPr>
            <w:tcW w:w="3449"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kern w:val="0"/>
                <w:sz w:val="20"/>
                <w:szCs w:val="20"/>
              </w:rPr>
              <w:t>3095</w:t>
            </w:r>
          </w:p>
        </w:tc>
        <w:tc>
          <w:tcPr>
            <w:tcW w:w="344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p>
        </w:tc>
        <w:tc>
          <w:tcPr>
            <w:tcW w:w="3451"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olor w:val="000000"/>
                <w:kern w:val="0"/>
                <w:sz w:val="20"/>
                <w:szCs w:val="20"/>
              </w:rPr>
              <w:t>3095</w:t>
            </w:r>
          </w:p>
        </w:tc>
      </w:tr>
      <w:tr>
        <w:tblPrEx>
          <w:tblCellMar>
            <w:top w:w="0" w:type="dxa"/>
            <w:left w:w="0" w:type="dxa"/>
            <w:bottom w:w="0" w:type="dxa"/>
            <w:right w:w="0" w:type="dxa"/>
          </w:tblCellMar>
        </w:tblPrEx>
        <w:trPr>
          <w:gridAfter w:val="1"/>
          <w:wAfter w:w="60" w:type="dxa"/>
          <w:trHeight w:val="450" w:hRule="atLeast"/>
        </w:trPr>
        <w:tc>
          <w:tcPr>
            <w:tcW w:w="1414"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21208</w:t>
            </w:r>
          </w:p>
        </w:tc>
        <w:tc>
          <w:tcPr>
            <w:tcW w:w="22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国有土地使用权出让收入及对应专项债务收入安排的支出</w:t>
            </w:r>
          </w:p>
        </w:tc>
        <w:tc>
          <w:tcPr>
            <w:tcW w:w="3449"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kern w:val="0"/>
                <w:sz w:val="20"/>
                <w:szCs w:val="20"/>
              </w:rPr>
              <w:t>3312</w:t>
            </w:r>
          </w:p>
        </w:tc>
        <w:tc>
          <w:tcPr>
            <w:tcW w:w="344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p>
        </w:tc>
        <w:tc>
          <w:tcPr>
            <w:tcW w:w="3451"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olor w:val="000000"/>
                <w:kern w:val="0"/>
                <w:sz w:val="20"/>
                <w:szCs w:val="20"/>
              </w:rPr>
              <w:t>3312</w:t>
            </w:r>
          </w:p>
        </w:tc>
      </w:tr>
      <w:tr>
        <w:tblPrEx>
          <w:tblCellMar>
            <w:top w:w="0" w:type="dxa"/>
            <w:left w:w="0" w:type="dxa"/>
            <w:bottom w:w="0" w:type="dxa"/>
            <w:right w:w="0" w:type="dxa"/>
          </w:tblCellMar>
        </w:tblPrEx>
        <w:trPr>
          <w:gridAfter w:val="1"/>
          <w:wAfter w:w="60" w:type="dxa"/>
          <w:trHeight w:val="450" w:hRule="atLeast"/>
        </w:trPr>
        <w:tc>
          <w:tcPr>
            <w:tcW w:w="1414"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2120803</w:t>
            </w:r>
          </w:p>
        </w:tc>
        <w:tc>
          <w:tcPr>
            <w:tcW w:w="22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 xml:space="preserve">  </w:t>
            </w:r>
            <w:r>
              <w:rPr>
                <w:rFonts w:hint="eastAsia" w:ascii="宋体" w:hAnsi="宋体"/>
                <w:color w:val="000000"/>
                <w:kern w:val="0"/>
                <w:sz w:val="20"/>
                <w:szCs w:val="20"/>
              </w:rPr>
              <w:t>城市建设支出</w:t>
            </w:r>
          </w:p>
        </w:tc>
        <w:tc>
          <w:tcPr>
            <w:tcW w:w="3449"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r>
              <w:rPr>
                <w:rFonts w:ascii="宋体" w:hAnsi="宋体"/>
                <w:color w:val="000000"/>
                <w:kern w:val="0"/>
                <w:sz w:val="20"/>
                <w:szCs w:val="20"/>
              </w:rPr>
              <w:t>3312</w:t>
            </w:r>
          </w:p>
        </w:tc>
        <w:tc>
          <w:tcPr>
            <w:tcW w:w="344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宋体"/>
                <w:color w:val="000000"/>
                <w:sz w:val="20"/>
                <w:szCs w:val="20"/>
              </w:rPr>
            </w:pPr>
          </w:p>
        </w:tc>
        <w:tc>
          <w:tcPr>
            <w:tcW w:w="3451"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olor w:val="000000"/>
                <w:kern w:val="0"/>
                <w:sz w:val="20"/>
                <w:szCs w:val="20"/>
              </w:rPr>
              <w:t>3312</w:t>
            </w:r>
          </w:p>
        </w:tc>
      </w:tr>
      <w:tr>
        <w:tblPrEx>
          <w:tblCellMar>
            <w:top w:w="0" w:type="dxa"/>
            <w:left w:w="0" w:type="dxa"/>
            <w:bottom w:w="0" w:type="dxa"/>
            <w:right w:w="0" w:type="dxa"/>
          </w:tblCellMar>
        </w:tblPrEx>
        <w:trPr>
          <w:gridAfter w:val="1"/>
          <w:wAfter w:w="60" w:type="dxa"/>
          <w:trHeight w:val="645" w:hRule="atLeast"/>
        </w:trPr>
        <w:tc>
          <w:tcPr>
            <w:tcW w:w="13988" w:type="dxa"/>
            <w:gridSpan w:val="10"/>
            <w:tcBorders>
              <w:top w:val="nil"/>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注：本表反映部门本年度一般公共预算财政拨款支出情况。本表金额转换为万元时，因四舍五入可能存在尾差。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一般公共预算财政拨款基本支出决算表</w:t>
            </w:r>
          </w:p>
        </w:tc>
      </w:tr>
      <w:tr>
        <w:tblPrEx>
          <w:tblCellMar>
            <w:top w:w="0" w:type="dxa"/>
            <w:left w:w="0" w:type="dxa"/>
            <w:bottom w:w="0" w:type="dxa"/>
            <w:right w:w="0" w:type="dxa"/>
          </w:tblCellMar>
        </w:tblPrEx>
        <w:trPr>
          <w:trHeight w:val="405" w:hRule="atLeast"/>
        </w:trPr>
        <w:tc>
          <w:tcPr>
            <w:tcW w:w="13050" w:type="dxa"/>
            <w:gridSpan w:val="8"/>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06</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300" w:hRule="atLeast"/>
        </w:trPr>
        <w:tc>
          <w:tcPr>
            <w:tcW w:w="13050" w:type="dxa"/>
            <w:gridSpan w:val="8"/>
            <w:tcBorders>
              <w:top w:val="nil"/>
              <w:left w:val="nil"/>
              <w:bottom w:val="nil"/>
              <w:right w:val="nil"/>
            </w:tcBorders>
            <w:noWrap/>
            <w:tcMar>
              <w:top w:w="15" w:type="dxa"/>
              <w:left w:w="15" w:type="dxa"/>
              <w:right w:w="15" w:type="dxa"/>
            </w:tcMar>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部门：永城市产业集聚区管理委员会</w:t>
            </w:r>
            <w:r>
              <w:rPr>
                <w:rFonts w:ascii="Arial" w:hAnsi="Arial" w:cs="Arial"/>
                <w:color w:val="000000"/>
                <w:kern w:val="0"/>
                <w:sz w:val="20"/>
                <w:szCs w:val="20"/>
              </w:rPr>
              <w:t xml:space="preserve">  </w:t>
            </w:r>
          </w:p>
        </w:tc>
        <w:tc>
          <w:tcPr>
            <w:tcW w:w="938" w:type="dxa"/>
            <w:tcBorders>
              <w:top w:val="nil"/>
              <w:left w:val="nil"/>
              <w:bottom w:val="nil"/>
              <w:right w:val="nil"/>
            </w:tcBorders>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经济分类科目编码</w:t>
            </w:r>
          </w:p>
        </w:tc>
        <w:tc>
          <w:tcPr>
            <w:tcW w:w="2923"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经济分类科目编码</w:t>
            </w:r>
          </w:p>
        </w:tc>
        <w:tc>
          <w:tcPr>
            <w:tcW w:w="206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经济分类科目编码</w:t>
            </w:r>
          </w:p>
        </w:tc>
        <w:tc>
          <w:tcPr>
            <w:tcW w:w="357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276.61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76.61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217.52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16.7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7.38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6.62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r>
              <w:rPr>
                <w:rFonts w:ascii="宋体" w:hAnsi="宋体" w:cs="宋体"/>
                <w:color w:val="000000"/>
                <w:sz w:val="20"/>
                <w:szCs w:val="20"/>
              </w:rPr>
              <w:t>38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35.48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0.65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0.96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8.64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0.25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30111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0.60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30112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0.47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3.54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30113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30114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38.16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30199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0.5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4.10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0.15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0.6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30305</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30399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r>
              <w:rPr>
                <w:rFonts w:ascii="宋体" w:hAnsi="宋体" w:cs="宋体"/>
                <w:color w:val="000000"/>
                <w:sz w:val="20"/>
                <w:szCs w:val="20"/>
              </w:rPr>
              <w:t>1.63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276.61</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公用经费合计</w:t>
            </w:r>
            <w:r>
              <w:rPr>
                <w:rFonts w:ascii="宋体" w:hAnsi="宋体" w:cs="宋体"/>
                <w:color w:val="000000"/>
                <w:kern w:val="0"/>
                <w:sz w:val="20"/>
                <w:szCs w:val="20"/>
              </w:rPr>
              <w:t>76.61</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注：本表反映部门本年度一般公共预算财政拨款基本支出明细情况。本表金额转换为万元时，因四舍五入可能存在尾差。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3810" w:type="dxa"/>
        <w:tblInd w:w="0" w:type="dxa"/>
        <w:tblLayout w:type="fixed"/>
        <w:tblCellMar>
          <w:top w:w="0" w:type="dxa"/>
          <w:left w:w="0" w:type="dxa"/>
          <w:bottom w:w="0" w:type="dxa"/>
          <w:right w:w="0" w:type="dxa"/>
        </w:tblCellMar>
      </w:tblPr>
      <w:tblGrid>
        <w:gridCol w:w="1151"/>
        <w:gridCol w:w="1150"/>
        <w:gridCol w:w="1151"/>
        <w:gridCol w:w="1150"/>
        <w:gridCol w:w="1151"/>
        <w:gridCol w:w="1151"/>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10"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222" w:hRule="atLeast"/>
        </w:trPr>
        <w:tc>
          <w:tcPr>
            <w:tcW w:w="12659" w:type="dxa"/>
            <w:gridSpan w:val="11"/>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07</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300" w:hRule="atLeast"/>
        </w:trPr>
        <w:tc>
          <w:tcPr>
            <w:tcW w:w="12659" w:type="dxa"/>
            <w:gridSpan w:val="11"/>
            <w:tcBorders>
              <w:top w:val="nil"/>
              <w:left w:val="nil"/>
              <w:bottom w:val="nil"/>
              <w:right w:val="nil"/>
            </w:tcBorders>
            <w:shd w:val="clear" w:color="auto" w:fill="FFFFFF"/>
            <w:noWrap/>
            <w:tcMar>
              <w:top w:w="15" w:type="dxa"/>
              <w:left w:w="15" w:type="dxa"/>
              <w:right w:w="15" w:type="dxa"/>
            </w:tcMar>
            <w:vAlign w:val="center"/>
          </w:tcPr>
          <w:p>
            <w:pPr>
              <w:rPr>
                <w:rFonts w:ascii="宋体" w:cs="宋体"/>
                <w:color w:val="000000"/>
                <w:sz w:val="20"/>
                <w:szCs w:val="20"/>
              </w:rPr>
            </w:pPr>
            <w:r>
              <w:rPr>
                <w:rFonts w:hint="eastAsia" w:ascii="宋体" w:hAnsi="宋体" w:cs="宋体"/>
                <w:color w:val="000000"/>
                <w:kern w:val="0"/>
                <w:sz w:val="20"/>
                <w:szCs w:val="20"/>
              </w:rPr>
              <w:t>部门：永城市产业集聚区管理委员会</w:t>
            </w: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559" w:hRule="atLeast"/>
        </w:trPr>
        <w:tc>
          <w:tcPr>
            <w:tcW w:w="6904"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因公出国（境）费</w:t>
            </w:r>
          </w:p>
        </w:tc>
        <w:tc>
          <w:tcPr>
            <w:tcW w:w="345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公务用车购置及运行费</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w:t>
            </w:r>
            <w:r>
              <w:rPr>
                <w:rFonts w:ascii="宋体" w:cs="宋体"/>
                <w:color w:val="000000"/>
                <w:kern w:val="0"/>
                <w:sz w:val="20"/>
                <w:szCs w:val="20"/>
              </w:rPr>
              <w:br w:type="textWrapping"/>
            </w:r>
            <w:r>
              <w:rPr>
                <w:rFonts w:hint="eastAsia" w:ascii="宋体" w:hAnsi="宋体" w:cs="宋体"/>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w:t>
            </w:r>
            <w:r>
              <w:rPr>
                <w:rFonts w:ascii="宋体" w:cs="宋体"/>
                <w:color w:val="000000"/>
                <w:kern w:val="0"/>
                <w:sz w:val="20"/>
                <w:szCs w:val="20"/>
              </w:rPr>
              <w:br w:type="textWrapping"/>
            </w:r>
            <w:r>
              <w:rPr>
                <w:rFonts w:hint="eastAsia" w:ascii="宋体" w:hAnsi="宋体" w:cs="宋体"/>
                <w:color w:val="000000"/>
                <w:kern w:val="0"/>
                <w:sz w:val="20"/>
                <w:szCs w:val="20"/>
              </w:rPr>
              <w:t>运行费</w:t>
            </w: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w:t>
            </w:r>
            <w:r>
              <w:rPr>
                <w:rFonts w:ascii="宋体" w:cs="宋体"/>
                <w:color w:val="000000"/>
                <w:kern w:val="0"/>
                <w:sz w:val="20"/>
                <w:szCs w:val="20"/>
              </w:rPr>
              <w:br w:type="textWrapping"/>
            </w:r>
            <w:r>
              <w:rPr>
                <w:rFonts w:hint="eastAsia" w:ascii="宋体" w:hAnsi="宋体" w:cs="宋体"/>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公务用车</w:t>
            </w:r>
            <w:r>
              <w:rPr>
                <w:rFonts w:ascii="宋体" w:cs="宋体"/>
                <w:color w:val="000000"/>
                <w:kern w:val="0"/>
                <w:sz w:val="20"/>
                <w:szCs w:val="20"/>
              </w:rPr>
              <w:br w:type="textWrapping"/>
            </w:r>
            <w:r>
              <w:rPr>
                <w:rFonts w:hint="eastAsia" w:ascii="宋体" w:hAnsi="宋体" w:cs="宋体"/>
                <w:color w:val="000000"/>
                <w:kern w:val="0"/>
                <w:sz w:val="20"/>
                <w:szCs w:val="20"/>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 xml:space="preserve">0 </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0</w:t>
            </w:r>
          </w:p>
        </w:tc>
      </w:tr>
      <w:tr>
        <w:tblPrEx>
          <w:tblCellMar>
            <w:top w:w="0" w:type="dxa"/>
            <w:left w:w="0" w:type="dxa"/>
            <w:bottom w:w="0" w:type="dxa"/>
            <w:right w:w="0" w:type="dxa"/>
          </w:tblCellMar>
        </w:tblPrEx>
        <w:trPr>
          <w:trHeight w:val="900" w:hRule="atLeast"/>
        </w:trPr>
        <w:tc>
          <w:tcPr>
            <w:tcW w:w="13810" w:type="dxa"/>
            <w:gridSpan w:val="12"/>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注：本表反映部门本年度“三公”经费支出预决算情况。其中，</w:t>
            </w:r>
            <w:r>
              <w:rPr>
                <w:rStyle w:val="23"/>
                <w:rFonts w:hint="eastAsia"/>
                <w:sz w:val="20"/>
                <w:szCs w:val="20"/>
              </w:rPr>
              <w:t>预算数为</w:t>
            </w:r>
            <w:r>
              <w:rPr>
                <w:rStyle w:val="23"/>
                <w:rFonts w:hint="eastAsia" w:hAnsi="Calibri"/>
                <w:sz w:val="20"/>
                <w:szCs w:val="20"/>
              </w:rPr>
              <w:t>“</w:t>
            </w:r>
            <w:r>
              <w:rPr>
                <w:rStyle w:val="23"/>
                <w:rFonts w:hint="eastAsia"/>
                <w:sz w:val="20"/>
                <w:szCs w:val="20"/>
              </w:rPr>
              <w:t>三公</w:t>
            </w:r>
            <w:r>
              <w:rPr>
                <w:rStyle w:val="23"/>
                <w:rFonts w:hint="eastAsia" w:hAnsi="Calibri"/>
                <w:sz w:val="20"/>
                <w:szCs w:val="20"/>
              </w:rPr>
              <w:t>”</w:t>
            </w:r>
            <w:r>
              <w:rPr>
                <w:rStyle w:val="23"/>
                <w:rFonts w:hint="eastAsia"/>
                <w:sz w:val="20"/>
                <w:szCs w:val="20"/>
              </w:rPr>
              <w:t>经费年初预算数，决算数是包括当年一般公共预算财政拨款和以前年度结转资金安排的实际支出。</w:t>
            </w:r>
            <w:r>
              <w:rPr>
                <w:rFonts w:hint="eastAsia" w:ascii="宋体" w:hAnsi="宋体" w:cs="宋体"/>
                <w:color w:val="000000"/>
                <w:kern w:val="0"/>
                <w:sz w:val="20"/>
                <w:szCs w:val="20"/>
              </w:rPr>
              <w:t>本表金额转换为万元时，因四舍五入可能存在尾差。</w:t>
            </w:r>
          </w:p>
        </w:tc>
      </w:tr>
    </w:tbl>
    <w:p>
      <w:pPr>
        <w:ind w:firstLine="2560" w:firstLineChars="800"/>
        <w:rPr>
          <w:rFonts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说明：我部门无三公经费支出，故本表无数据。</w:t>
      </w:r>
    </w:p>
    <w:tbl>
      <w:tblPr>
        <w:tblStyle w:val="8"/>
        <w:tblW w:w="0" w:type="auto"/>
        <w:tblInd w:w="0" w:type="dxa"/>
        <w:tblLayout w:type="fixed"/>
        <w:tblCellMar>
          <w:top w:w="0" w:type="dxa"/>
          <w:left w:w="0" w:type="dxa"/>
          <w:bottom w:w="0" w:type="dxa"/>
          <w:right w:w="0" w:type="dxa"/>
        </w:tblCellMar>
      </w:tblPr>
      <w:tblGrid>
        <w:gridCol w:w="1148"/>
        <w:gridCol w:w="1561"/>
        <w:gridCol w:w="1701"/>
        <w:gridCol w:w="186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8"/>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0" w:type="dxa"/>
            <w:left w:w="0" w:type="dxa"/>
            <w:bottom w:w="0" w:type="dxa"/>
            <w:right w:w="0" w:type="dxa"/>
          </w:tblCellMar>
        </w:tblPrEx>
        <w:trPr>
          <w:trHeight w:val="222" w:hRule="atLeast"/>
        </w:trPr>
        <w:tc>
          <w:tcPr>
            <w:tcW w:w="12055" w:type="dxa"/>
            <w:gridSpan w:val="7"/>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08</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300" w:hRule="atLeast"/>
        </w:trPr>
        <w:tc>
          <w:tcPr>
            <w:tcW w:w="12055" w:type="dxa"/>
            <w:gridSpan w:val="7"/>
            <w:tcBorders>
              <w:top w:val="nil"/>
              <w:left w:val="nil"/>
              <w:bottom w:val="nil"/>
              <w:right w:val="nil"/>
            </w:tcBorders>
            <w:shd w:val="clear" w:color="auto" w:fill="FFFFFF"/>
            <w:noWrap/>
            <w:tcMar>
              <w:top w:w="15" w:type="dxa"/>
              <w:left w:w="15" w:type="dxa"/>
              <w:right w:w="15" w:type="dxa"/>
            </w:tcMar>
            <w:vAlign w:val="center"/>
          </w:tcPr>
          <w:p>
            <w:pPr>
              <w:rPr>
                <w:rFonts w:ascii="宋体" w:cs="宋体"/>
                <w:color w:val="000000"/>
                <w:sz w:val="20"/>
                <w:szCs w:val="20"/>
              </w:rPr>
            </w:pPr>
            <w:r>
              <w:rPr>
                <w:rFonts w:hint="eastAsia" w:ascii="宋体" w:hAnsi="宋体" w:cs="宋体"/>
                <w:color w:val="000000"/>
                <w:kern w:val="0"/>
                <w:sz w:val="20"/>
                <w:szCs w:val="20"/>
              </w:rPr>
              <w:t>部门：永城市产业集聚区管理委员会</w:t>
            </w: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05" w:hRule="atLeast"/>
        </w:trPr>
        <w:tc>
          <w:tcPr>
            <w:tcW w:w="2709" w:type="dxa"/>
            <w:gridSpan w:val="2"/>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1701"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年初结转和结余</w:t>
            </w:r>
          </w:p>
        </w:tc>
        <w:tc>
          <w:tcPr>
            <w:tcW w:w="186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年末结转和结余</w:t>
            </w:r>
          </w:p>
        </w:tc>
      </w:tr>
      <w:tr>
        <w:tblPrEx>
          <w:tblCellMar>
            <w:top w:w="0" w:type="dxa"/>
            <w:left w:w="0" w:type="dxa"/>
            <w:bottom w:w="0" w:type="dxa"/>
            <w:right w:w="0" w:type="dxa"/>
          </w:tblCellMar>
        </w:tblPrEx>
        <w:trPr>
          <w:trHeight w:val="540" w:hRule="atLeast"/>
        </w:trPr>
        <w:tc>
          <w:tcPr>
            <w:tcW w:w="1148"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科目编码</w:t>
            </w:r>
          </w:p>
        </w:tc>
        <w:tc>
          <w:tcPr>
            <w:tcW w:w="156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701"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20"/>
                <w:szCs w:val="20"/>
              </w:rPr>
            </w:pPr>
          </w:p>
        </w:tc>
        <w:tc>
          <w:tcPr>
            <w:tcW w:w="186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360" w:hRule="atLeast"/>
        </w:trPr>
        <w:tc>
          <w:tcPr>
            <w:tcW w:w="1148"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5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701"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20"/>
                <w:szCs w:val="20"/>
              </w:rPr>
            </w:pPr>
          </w:p>
        </w:tc>
        <w:tc>
          <w:tcPr>
            <w:tcW w:w="186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5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701"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20"/>
                <w:szCs w:val="20"/>
              </w:rPr>
            </w:pPr>
          </w:p>
        </w:tc>
        <w:tc>
          <w:tcPr>
            <w:tcW w:w="186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270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r>
      <w:tr>
        <w:tblPrEx>
          <w:tblCellMar>
            <w:top w:w="0" w:type="dxa"/>
            <w:left w:w="0" w:type="dxa"/>
            <w:bottom w:w="0" w:type="dxa"/>
            <w:right w:w="0" w:type="dxa"/>
          </w:tblCellMar>
        </w:tblPrEx>
        <w:trPr>
          <w:trHeight w:val="450" w:hRule="atLeast"/>
        </w:trPr>
        <w:tc>
          <w:tcPr>
            <w:tcW w:w="2709" w:type="dxa"/>
            <w:gridSpan w:val="2"/>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hAnsi="宋体"/>
                <w:color w:val="000000"/>
                <w:kern w:val="0"/>
                <w:sz w:val="20"/>
                <w:szCs w:val="20"/>
              </w:rPr>
              <w:t>3312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hAnsi="宋体"/>
                <w:color w:val="000000"/>
                <w:kern w:val="0"/>
                <w:sz w:val="20"/>
                <w:szCs w:val="20"/>
              </w:rPr>
              <w:t>3312</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hAnsi="宋体"/>
                <w:color w:val="000000"/>
                <w:kern w:val="0"/>
                <w:sz w:val="20"/>
                <w:szCs w:val="20"/>
              </w:rPr>
              <w:t>3312</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20"/>
                <w:szCs w:val="20"/>
              </w:rPr>
            </w:pPr>
            <w:r>
              <w:rPr>
                <w:rFonts w:ascii="宋体" w:hAnsi="宋体"/>
                <w:color w:val="000000"/>
                <w:kern w:val="0"/>
                <w:sz w:val="20"/>
                <w:szCs w:val="20"/>
              </w:rPr>
              <w:t>3312</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3312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3312</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r>
              <w:rPr>
                <w:rFonts w:ascii="宋体" w:hAnsi="宋体"/>
                <w:color w:val="000000"/>
                <w:kern w:val="0"/>
                <w:sz w:val="20"/>
                <w:szCs w:val="20"/>
              </w:rPr>
              <w:t>3312</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3312</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21208</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hint="eastAsia" w:ascii="宋体" w:hAnsi="宋体"/>
                <w:color w:val="000000"/>
                <w:kern w:val="0"/>
                <w:sz w:val="20"/>
                <w:szCs w:val="20"/>
              </w:rPr>
              <w:t>国有土地使用权出让收入及对应专项债务收入安排的支出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3312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3312</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r>
              <w:rPr>
                <w:rFonts w:ascii="宋体" w:hAnsi="宋体"/>
                <w:color w:val="000000"/>
                <w:kern w:val="0"/>
                <w:sz w:val="20"/>
                <w:szCs w:val="20"/>
              </w:rPr>
              <w:t>3312</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3312</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2120803</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 xml:space="preserve">  </w:t>
            </w:r>
            <w:r>
              <w:rPr>
                <w:rFonts w:hint="eastAsia" w:ascii="宋体" w:hAnsi="宋体"/>
                <w:color w:val="000000"/>
                <w:kern w:val="0"/>
                <w:sz w:val="20"/>
                <w:szCs w:val="20"/>
              </w:rPr>
              <w:t>城市建设支出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3312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3312</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0"/>
                <w:szCs w:val="20"/>
              </w:rPr>
            </w:pPr>
            <w:r>
              <w:rPr>
                <w:rFonts w:ascii="宋体" w:hAnsi="宋体"/>
                <w:color w:val="000000"/>
                <w:kern w:val="0"/>
                <w:sz w:val="20"/>
                <w:szCs w:val="20"/>
              </w:rPr>
              <w:t>3312</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olor w:val="000000"/>
                <w:kern w:val="0"/>
                <w:sz w:val="20"/>
                <w:szCs w:val="20"/>
              </w:rPr>
            </w:pPr>
            <w:r>
              <w:rPr>
                <w:rFonts w:ascii="宋体" w:hAnsi="宋体"/>
                <w:color w:val="000000"/>
                <w:kern w:val="0"/>
                <w:sz w:val="20"/>
                <w:szCs w:val="20"/>
              </w:rPr>
              <w:t>3312</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8"/>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注：本表反映部门本年度政府性基金预算财政拨款收入、支出及结转和结余情况。</w:t>
            </w:r>
          </w:p>
        </w:tc>
      </w:tr>
    </w:tbl>
    <w:p>
      <w:pPr>
        <w:jc w:val="cente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r>
        <w:rPr>
          <w:rFonts w:hint="eastAsia" w:ascii="黑体" w:hAnsi="黑体" w:eastAsia="黑体" w:cs="黑体"/>
          <w:sz w:val="48"/>
          <w:szCs w:val="48"/>
        </w:rPr>
        <w:t>第三部分</w:t>
      </w:r>
      <w:r>
        <w:rPr>
          <w:rFonts w:ascii="黑体" w:hAnsi="黑体" w:eastAsia="黑体" w:cs="黑体"/>
          <w:sz w:val="48"/>
          <w:szCs w:val="48"/>
        </w:rPr>
        <w:t xml:space="preserve">  2019</w:t>
      </w:r>
      <w:r>
        <w:rPr>
          <w:rFonts w:hint="eastAsia" w:ascii="黑体" w:hAnsi="黑体" w:eastAsia="黑体" w:cs="黑体"/>
          <w:sz w:val="48"/>
          <w:szCs w:val="48"/>
        </w:rPr>
        <w:t>年度部门决算情况说明</w:t>
      </w:r>
    </w:p>
    <w:p>
      <w:pPr>
        <w:autoSpaceDE w:val="0"/>
        <w:autoSpaceDN w:val="0"/>
        <w:adjustRightInd w:val="0"/>
        <w:jc w:val="left"/>
        <w:rPr>
          <w:rFonts w:ascii="宋体" w:hAnsi="Times New Roman" w:cs="宋体"/>
          <w:szCs w:val="21"/>
        </w:rPr>
      </w:pP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一、收入支出决算总体情况说明</w:t>
      </w:r>
    </w:p>
    <w:p>
      <w:pPr>
        <w:ind w:firstLine="560" w:firstLineChars="200"/>
        <w:rPr>
          <w:rFonts w:ascii="黑体" w:hAnsi="黑体" w:eastAsia="黑体" w:cs="黑体"/>
          <w:color w:val="auto"/>
          <w:sz w:val="32"/>
          <w:szCs w:val="32"/>
        </w:rPr>
      </w:pPr>
      <w:r>
        <w:rPr>
          <w:rFonts w:ascii="宋体" w:hAnsi="Times New Roman" w:cs="宋体"/>
          <w:color w:val="auto"/>
          <w:sz w:val="28"/>
          <w:szCs w:val="21"/>
        </w:rPr>
        <w:t>2019</w:t>
      </w:r>
      <w:r>
        <w:rPr>
          <w:rFonts w:hint="eastAsia" w:ascii="宋体" w:hAnsi="Times New Roman" w:cs="宋体"/>
          <w:color w:val="auto"/>
          <w:sz w:val="28"/>
          <w:szCs w:val="21"/>
        </w:rPr>
        <w:t>年度收、支总计均为6761.3万元。与上年度相比，收、支总计各增加</w:t>
      </w:r>
      <w:r>
        <w:rPr>
          <w:rFonts w:hint="eastAsia" w:ascii="宋体" w:hAnsi="Times New Roman" w:cs="宋体"/>
          <w:color w:val="auto"/>
          <w:sz w:val="28"/>
          <w:szCs w:val="21"/>
          <w:lang w:val="en-US" w:eastAsia="zh-CN"/>
        </w:rPr>
        <w:t>2950.36</w:t>
      </w:r>
      <w:r>
        <w:rPr>
          <w:rFonts w:ascii="宋体" w:hAnsi="Times New Roman" w:cs="宋体"/>
          <w:color w:val="auto"/>
          <w:sz w:val="28"/>
          <w:szCs w:val="21"/>
        </w:rPr>
        <w:t xml:space="preserve"> </w:t>
      </w:r>
      <w:r>
        <w:rPr>
          <w:rFonts w:hint="eastAsia" w:ascii="宋体" w:hAnsi="Times New Roman" w:cs="宋体"/>
          <w:color w:val="auto"/>
          <w:sz w:val="28"/>
          <w:szCs w:val="21"/>
        </w:rPr>
        <w:t>万元，增长</w:t>
      </w:r>
      <w:r>
        <w:rPr>
          <w:rFonts w:ascii="宋体" w:hAnsi="Times New Roman" w:cs="宋体"/>
          <w:color w:val="auto"/>
          <w:sz w:val="28"/>
          <w:szCs w:val="21"/>
        </w:rPr>
        <w:t>77.</w:t>
      </w:r>
      <w:r>
        <w:rPr>
          <w:rFonts w:hint="eastAsia" w:ascii="宋体" w:hAnsi="Times New Roman" w:cs="宋体"/>
          <w:color w:val="auto"/>
          <w:sz w:val="28"/>
          <w:szCs w:val="21"/>
          <w:lang w:val="en-US" w:eastAsia="zh-CN"/>
        </w:rPr>
        <w:t>4</w:t>
      </w:r>
      <w:r>
        <w:rPr>
          <w:rFonts w:ascii="宋体" w:hAnsi="Times New Roman" w:cs="宋体"/>
          <w:color w:val="auto"/>
          <w:sz w:val="28"/>
          <w:szCs w:val="21"/>
        </w:rPr>
        <w:t>%</w:t>
      </w:r>
      <w:r>
        <w:rPr>
          <w:rFonts w:hint="eastAsia" w:ascii="宋体" w:hAnsi="Times New Roman" w:cs="宋体"/>
          <w:color w:val="auto"/>
          <w:sz w:val="28"/>
          <w:szCs w:val="21"/>
        </w:rPr>
        <w:t>。主要原因是</w:t>
      </w:r>
      <w:r>
        <w:rPr>
          <w:rFonts w:hint="eastAsia" w:ascii="宋体" w:hAnsi="宋体"/>
          <w:color w:val="auto"/>
          <w:sz w:val="32"/>
          <w:szCs w:val="32"/>
        </w:rPr>
        <w:t>由于加大了产业集聚区基础设施建设投入。</w:t>
      </w:r>
    </w:p>
    <w:p>
      <w:pPr>
        <w:autoSpaceDE w:val="0"/>
        <w:autoSpaceDN w:val="0"/>
        <w:adjustRightInd w:val="0"/>
        <w:spacing w:beforeLines="50" w:afterLines="50" w:line="360" w:lineRule="auto"/>
        <w:ind w:firstLine="640" w:firstLineChars="200"/>
        <w:jc w:val="left"/>
        <w:rPr>
          <w:rFonts w:ascii="黑体" w:hAnsi="黑体" w:eastAsia="黑体" w:cs="宋体"/>
          <w:color w:val="auto"/>
          <w:sz w:val="32"/>
          <w:szCs w:val="32"/>
        </w:rPr>
      </w:pPr>
      <w:r>
        <w:rPr>
          <w:rFonts w:hint="eastAsia" w:ascii="黑体" w:hAnsi="黑体" w:eastAsia="黑体" w:cs="宋体"/>
          <w:color w:val="auto"/>
          <w:sz w:val="32"/>
          <w:szCs w:val="32"/>
        </w:rPr>
        <w:t>二、收入决算情况说明</w:t>
      </w:r>
    </w:p>
    <w:p>
      <w:pPr>
        <w:autoSpaceDE w:val="0"/>
        <w:autoSpaceDN w:val="0"/>
        <w:adjustRightInd w:val="0"/>
        <w:spacing w:beforeLines="50" w:afterLines="50" w:line="360" w:lineRule="auto"/>
        <w:ind w:firstLine="560" w:firstLineChars="200"/>
        <w:jc w:val="left"/>
        <w:rPr>
          <w:rFonts w:ascii="宋体" w:hAnsi="Times New Roman" w:cs="宋体"/>
          <w:color w:val="auto"/>
          <w:sz w:val="28"/>
          <w:szCs w:val="21"/>
        </w:rPr>
      </w:pPr>
      <w:r>
        <w:rPr>
          <w:rFonts w:ascii="宋体" w:hAnsi="Times New Roman" w:cs="宋体"/>
          <w:color w:val="auto"/>
          <w:sz w:val="28"/>
          <w:szCs w:val="21"/>
        </w:rPr>
        <w:t>2019</w:t>
      </w:r>
      <w:r>
        <w:rPr>
          <w:rFonts w:hint="eastAsia" w:ascii="宋体" w:hAnsi="Times New Roman" w:cs="宋体"/>
          <w:color w:val="auto"/>
          <w:sz w:val="28"/>
          <w:szCs w:val="21"/>
        </w:rPr>
        <w:t>年度收入合计</w:t>
      </w:r>
      <w:r>
        <w:rPr>
          <w:rFonts w:ascii="宋体" w:hAnsi="Times New Roman" w:cs="宋体"/>
          <w:color w:val="auto"/>
          <w:sz w:val="28"/>
          <w:szCs w:val="21"/>
        </w:rPr>
        <w:t>6760.22</w:t>
      </w:r>
      <w:r>
        <w:rPr>
          <w:rFonts w:hint="eastAsia" w:ascii="宋体" w:hAnsi="Times New Roman" w:cs="宋体"/>
          <w:color w:val="auto"/>
          <w:sz w:val="28"/>
          <w:szCs w:val="21"/>
        </w:rPr>
        <w:t>万元，其中：财政拨款收入</w:t>
      </w:r>
      <w:r>
        <w:rPr>
          <w:rFonts w:ascii="宋体" w:hAnsi="Times New Roman" w:cs="宋体"/>
          <w:color w:val="auto"/>
          <w:sz w:val="28"/>
          <w:szCs w:val="21"/>
        </w:rPr>
        <w:t>6760.22</w:t>
      </w:r>
      <w:r>
        <w:rPr>
          <w:rFonts w:hint="eastAsia" w:ascii="宋体" w:hAnsi="Times New Roman" w:cs="宋体"/>
          <w:color w:val="auto"/>
          <w:sz w:val="28"/>
          <w:szCs w:val="21"/>
        </w:rPr>
        <w:t>万元，占</w:t>
      </w:r>
      <w:r>
        <w:rPr>
          <w:rFonts w:ascii="宋体" w:hAnsi="Times New Roman" w:cs="宋体"/>
          <w:color w:val="auto"/>
          <w:sz w:val="28"/>
          <w:szCs w:val="21"/>
        </w:rPr>
        <w:t>100%</w:t>
      </w:r>
      <w:r>
        <w:rPr>
          <w:rFonts w:hint="eastAsia" w:ascii="宋体" w:hAnsi="Times New Roman" w:cs="宋体"/>
          <w:color w:val="auto"/>
          <w:sz w:val="28"/>
          <w:szCs w:val="21"/>
        </w:rPr>
        <w:t>。</w:t>
      </w:r>
    </w:p>
    <w:p>
      <w:pPr>
        <w:autoSpaceDE w:val="0"/>
        <w:autoSpaceDN w:val="0"/>
        <w:adjustRightInd w:val="0"/>
        <w:spacing w:beforeLines="50" w:afterLines="50" w:line="360" w:lineRule="auto"/>
        <w:ind w:firstLine="640" w:firstLineChars="200"/>
        <w:jc w:val="left"/>
        <w:rPr>
          <w:rFonts w:ascii="宋体" w:hAnsi="Times New Roman" w:cs="宋体"/>
          <w:color w:val="auto"/>
          <w:sz w:val="28"/>
          <w:szCs w:val="21"/>
        </w:rPr>
      </w:pPr>
      <w:r>
        <w:rPr>
          <w:rFonts w:hint="eastAsia" w:ascii="黑体" w:hAnsi="黑体" w:eastAsia="黑体" w:cs="宋体"/>
          <w:color w:val="auto"/>
          <w:sz w:val="32"/>
          <w:szCs w:val="32"/>
        </w:rPr>
        <w:t>三、支出决算情况说明</w:t>
      </w:r>
      <w:bookmarkStart w:id="0" w:name="_GoBack"/>
      <w:bookmarkEnd w:id="0"/>
    </w:p>
    <w:p>
      <w:pPr>
        <w:autoSpaceDE w:val="0"/>
        <w:autoSpaceDN w:val="0"/>
        <w:adjustRightInd w:val="0"/>
        <w:spacing w:beforeLines="50" w:afterLines="50" w:line="360" w:lineRule="auto"/>
        <w:ind w:firstLine="560" w:firstLineChars="200"/>
        <w:jc w:val="left"/>
        <w:rPr>
          <w:rFonts w:ascii="宋体" w:hAnsi="Times New Roman" w:cs="宋体"/>
          <w:color w:val="auto"/>
          <w:sz w:val="28"/>
          <w:szCs w:val="21"/>
        </w:rPr>
      </w:pPr>
      <w:r>
        <w:rPr>
          <w:rFonts w:ascii="宋体" w:hAnsi="Times New Roman" w:cs="宋体"/>
          <w:color w:val="auto"/>
          <w:sz w:val="28"/>
          <w:szCs w:val="21"/>
        </w:rPr>
        <w:t>2019</w:t>
      </w:r>
      <w:r>
        <w:rPr>
          <w:rFonts w:hint="eastAsia" w:ascii="宋体" w:hAnsi="Times New Roman" w:cs="宋体"/>
          <w:color w:val="auto"/>
          <w:sz w:val="28"/>
          <w:szCs w:val="21"/>
        </w:rPr>
        <w:t>年度支出合计</w:t>
      </w:r>
      <w:r>
        <w:rPr>
          <w:rFonts w:ascii="宋体" w:hAnsi="Times New Roman" w:cs="宋体"/>
          <w:color w:val="auto"/>
          <w:sz w:val="28"/>
          <w:szCs w:val="21"/>
        </w:rPr>
        <w:t>6760.22</w:t>
      </w:r>
      <w:r>
        <w:rPr>
          <w:rFonts w:hint="eastAsia" w:ascii="宋体" w:hAnsi="Times New Roman" w:cs="宋体"/>
          <w:color w:val="auto"/>
          <w:sz w:val="28"/>
          <w:szCs w:val="21"/>
        </w:rPr>
        <w:t>万元，其中：基本支出</w:t>
      </w:r>
      <w:r>
        <w:rPr>
          <w:rFonts w:ascii="宋体" w:hAnsi="Times New Roman" w:cs="宋体"/>
          <w:color w:val="auto"/>
          <w:sz w:val="28"/>
          <w:szCs w:val="21"/>
        </w:rPr>
        <w:t>353.22</w:t>
      </w:r>
      <w:r>
        <w:rPr>
          <w:rFonts w:hint="eastAsia" w:ascii="宋体" w:hAnsi="Times New Roman" w:cs="宋体"/>
          <w:color w:val="auto"/>
          <w:sz w:val="28"/>
          <w:szCs w:val="21"/>
        </w:rPr>
        <w:t>万元，占</w:t>
      </w:r>
      <w:r>
        <w:rPr>
          <w:rFonts w:ascii="宋体" w:hAnsi="Times New Roman" w:cs="宋体"/>
          <w:color w:val="auto"/>
          <w:sz w:val="28"/>
          <w:szCs w:val="21"/>
        </w:rPr>
        <w:t>5.2%</w:t>
      </w:r>
      <w:r>
        <w:rPr>
          <w:rFonts w:hint="eastAsia" w:ascii="宋体" w:hAnsi="Times New Roman" w:cs="宋体"/>
          <w:color w:val="auto"/>
          <w:sz w:val="28"/>
          <w:szCs w:val="21"/>
        </w:rPr>
        <w:t>；项目支出</w:t>
      </w:r>
      <w:r>
        <w:rPr>
          <w:rFonts w:ascii="宋体" w:hAnsi="Times New Roman" w:cs="宋体"/>
          <w:color w:val="auto"/>
          <w:sz w:val="28"/>
          <w:szCs w:val="21"/>
        </w:rPr>
        <w:t>6407</w:t>
      </w:r>
      <w:r>
        <w:rPr>
          <w:rFonts w:hint="eastAsia" w:ascii="宋体" w:hAnsi="Times New Roman" w:cs="宋体"/>
          <w:color w:val="auto"/>
          <w:sz w:val="28"/>
          <w:szCs w:val="21"/>
        </w:rPr>
        <w:t>万元，占</w:t>
      </w:r>
      <w:r>
        <w:rPr>
          <w:rFonts w:ascii="宋体" w:hAnsi="Times New Roman" w:cs="宋体"/>
          <w:color w:val="auto"/>
          <w:sz w:val="28"/>
          <w:szCs w:val="21"/>
        </w:rPr>
        <w:t>94.8%</w:t>
      </w:r>
      <w:r>
        <w:rPr>
          <w:rFonts w:hint="eastAsia" w:ascii="宋体" w:hAnsi="Times New Roman" w:cs="宋体"/>
          <w:color w:val="auto"/>
          <w:sz w:val="28"/>
          <w:szCs w:val="21"/>
        </w:rPr>
        <w:t>。</w:t>
      </w:r>
    </w:p>
    <w:p>
      <w:pPr>
        <w:autoSpaceDE w:val="0"/>
        <w:autoSpaceDN w:val="0"/>
        <w:adjustRightInd w:val="0"/>
        <w:spacing w:beforeLines="50" w:afterLines="50" w:line="360" w:lineRule="auto"/>
        <w:ind w:firstLine="640" w:firstLineChars="200"/>
        <w:jc w:val="left"/>
        <w:rPr>
          <w:rFonts w:ascii="黑体" w:hAnsi="黑体" w:eastAsia="黑体" w:cs="宋体"/>
          <w:color w:val="auto"/>
          <w:sz w:val="32"/>
          <w:szCs w:val="32"/>
        </w:rPr>
      </w:pPr>
      <w:r>
        <w:rPr>
          <w:rFonts w:hint="eastAsia" w:ascii="黑体" w:hAnsi="黑体" w:eastAsia="黑体" w:cs="宋体"/>
          <w:color w:val="auto"/>
          <w:sz w:val="32"/>
          <w:szCs w:val="32"/>
        </w:rPr>
        <w:t>四、财政拨款收入支出决算总体情况说明</w:t>
      </w:r>
    </w:p>
    <w:p>
      <w:pPr>
        <w:ind w:firstLine="560" w:firstLineChars="200"/>
        <w:rPr>
          <w:rFonts w:ascii="宋体" w:hAnsi="Times New Roman" w:cs="宋体"/>
          <w:color w:val="auto"/>
          <w:sz w:val="28"/>
          <w:szCs w:val="21"/>
        </w:rPr>
      </w:pPr>
      <w:r>
        <w:rPr>
          <w:rFonts w:ascii="宋体" w:hAnsi="Times New Roman" w:cs="宋体"/>
          <w:color w:val="auto"/>
          <w:sz w:val="28"/>
          <w:szCs w:val="21"/>
        </w:rPr>
        <w:t>2019</w:t>
      </w:r>
      <w:r>
        <w:rPr>
          <w:rFonts w:hint="eastAsia" w:ascii="宋体" w:hAnsi="Times New Roman" w:cs="宋体"/>
          <w:color w:val="auto"/>
          <w:sz w:val="28"/>
          <w:szCs w:val="21"/>
        </w:rPr>
        <w:t>年度财政拨款收、支总计均为6761.3万元。与上年度相比，财政拨款收、支总计各增加</w:t>
      </w:r>
      <w:r>
        <w:rPr>
          <w:rFonts w:hint="eastAsia" w:ascii="宋体" w:hAnsi="Times New Roman" w:cs="宋体"/>
          <w:color w:val="auto"/>
          <w:sz w:val="28"/>
          <w:szCs w:val="21"/>
          <w:lang w:val="en-US" w:eastAsia="zh-CN"/>
        </w:rPr>
        <w:t>2950.36</w:t>
      </w:r>
      <w:r>
        <w:rPr>
          <w:rFonts w:hint="eastAsia" w:ascii="宋体" w:hAnsi="Times New Roman" w:cs="宋体"/>
          <w:color w:val="auto"/>
          <w:sz w:val="28"/>
          <w:szCs w:val="21"/>
        </w:rPr>
        <w:t>万元，增长</w:t>
      </w:r>
      <w:r>
        <w:rPr>
          <w:rFonts w:ascii="宋体" w:hAnsi="Times New Roman" w:cs="宋体"/>
          <w:color w:val="auto"/>
          <w:sz w:val="28"/>
          <w:szCs w:val="21"/>
        </w:rPr>
        <w:t>77.</w:t>
      </w:r>
      <w:r>
        <w:rPr>
          <w:rFonts w:hint="eastAsia" w:ascii="宋体" w:hAnsi="Times New Roman" w:cs="宋体"/>
          <w:color w:val="auto"/>
          <w:sz w:val="28"/>
          <w:szCs w:val="21"/>
          <w:lang w:val="en-US" w:eastAsia="zh-CN"/>
        </w:rPr>
        <w:t>4</w:t>
      </w:r>
      <w:r>
        <w:rPr>
          <w:rFonts w:ascii="宋体" w:hAnsi="Times New Roman" w:cs="宋体"/>
          <w:color w:val="auto"/>
          <w:sz w:val="28"/>
          <w:szCs w:val="21"/>
        </w:rPr>
        <w:t>%</w:t>
      </w:r>
      <w:r>
        <w:rPr>
          <w:rFonts w:hint="eastAsia" w:ascii="宋体" w:hAnsi="Times New Roman" w:cs="宋体"/>
          <w:color w:val="auto"/>
          <w:sz w:val="28"/>
          <w:szCs w:val="21"/>
        </w:rPr>
        <w:t>。主要原因是由于加大了产业集聚区基础设施建设投入。</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五、一般公共预算财政拨款支出决算情况说明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（一）总体情况。</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年度一般公共预算财政拨款支出</w:t>
      </w:r>
      <w:r>
        <w:rPr>
          <w:rFonts w:ascii="宋体" w:hAnsi="Times New Roman" w:cs="宋体"/>
          <w:sz w:val="28"/>
          <w:szCs w:val="21"/>
        </w:rPr>
        <w:t>3448.22</w:t>
      </w:r>
      <w:r>
        <w:rPr>
          <w:rFonts w:hint="eastAsia" w:ascii="宋体" w:hAnsi="Times New Roman" w:cs="宋体"/>
          <w:sz w:val="28"/>
          <w:szCs w:val="21"/>
        </w:rPr>
        <w:t>万元，占本年支出合计的</w:t>
      </w:r>
      <w:r>
        <w:rPr>
          <w:rFonts w:ascii="宋体" w:hAnsi="Times New Roman" w:cs="宋体"/>
          <w:sz w:val="28"/>
          <w:szCs w:val="21"/>
        </w:rPr>
        <w:t>51%</w:t>
      </w:r>
      <w:r>
        <w:rPr>
          <w:rFonts w:hint="eastAsia" w:ascii="宋体" w:hAnsi="Times New Roman" w:cs="宋体"/>
          <w:sz w:val="28"/>
          <w:szCs w:val="21"/>
        </w:rPr>
        <w:t>。与上年度相比，一般公共预算财政拨款支出减少</w:t>
      </w:r>
      <w:r>
        <w:rPr>
          <w:rFonts w:ascii="宋体" w:hAnsi="Times New Roman" w:cs="宋体"/>
          <w:sz w:val="28"/>
          <w:szCs w:val="21"/>
        </w:rPr>
        <w:t>361.72</w:t>
      </w:r>
      <w:r>
        <w:rPr>
          <w:rFonts w:hint="eastAsia" w:ascii="宋体" w:hAnsi="Times New Roman" w:cs="宋体"/>
          <w:sz w:val="28"/>
          <w:szCs w:val="21"/>
        </w:rPr>
        <w:t>万元，下降</w:t>
      </w:r>
      <w:r>
        <w:rPr>
          <w:rFonts w:ascii="宋体" w:hAnsi="Times New Roman" w:cs="宋体"/>
          <w:sz w:val="28"/>
          <w:szCs w:val="21"/>
        </w:rPr>
        <w:t>9.48 %</w:t>
      </w:r>
      <w:r>
        <w:rPr>
          <w:rFonts w:hint="eastAsia" w:ascii="宋体" w:hAnsi="Times New Roman" w:cs="宋体"/>
          <w:sz w:val="28"/>
          <w:szCs w:val="21"/>
        </w:rPr>
        <w:t>。主要原因是加强预算管理，压缩公用经费支出。</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（二）结构情况。</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年度一般公共预算财政拨款支出</w:t>
      </w:r>
      <w:r>
        <w:rPr>
          <w:rFonts w:ascii="宋体" w:hAnsi="Times New Roman" w:cs="宋体"/>
          <w:sz w:val="28"/>
          <w:szCs w:val="21"/>
        </w:rPr>
        <w:t>3448.22</w:t>
      </w:r>
      <w:r>
        <w:rPr>
          <w:rFonts w:hint="eastAsia" w:ascii="宋体" w:hAnsi="Times New Roman" w:cs="宋体"/>
          <w:sz w:val="28"/>
          <w:szCs w:val="21"/>
        </w:rPr>
        <w:t>万元，主要用于以下方面：一般公共服务（类）支出</w:t>
      </w:r>
      <w:r>
        <w:rPr>
          <w:rFonts w:ascii="宋体" w:hAnsi="Times New Roman" w:cs="宋体"/>
          <w:sz w:val="28"/>
          <w:szCs w:val="21"/>
        </w:rPr>
        <w:t>353.22</w:t>
      </w:r>
      <w:r>
        <w:rPr>
          <w:rFonts w:hint="eastAsia" w:ascii="宋体" w:hAnsi="Times New Roman" w:cs="宋体"/>
          <w:sz w:val="28"/>
          <w:szCs w:val="21"/>
        </w:rPr>
        <w:t>万元，占</w:t>
      </w:r>
      <w:r>
        <w:rPr>
          <w:rFonts w:ascii="宋体" w:hAnsi="Times New Roman" w:cs="宋体"/>
          <w:sz w:val="28"/>
          <w:szCs w:val="21"/>
        </w:rPr>
        <w:t>10.3%</w:t>
      </w:r>
      <w:r>
        <w:rPr>
          <w:rFonts w:hint="eastAsia" w:ascii="宋体" w:hAnsi="Times New Roman" w:cs="宋体"/>
          <w:sz w:val="28"/>
          <w:szCs w:val="21"/>
        </w:rPr>
        <w:t>；城乡社区支出（类）支出</w:t>
      </w:r>
      <w:r>
        <w:rPr>
          <w:rFonts w:ascii="宋体" w:hAnsi="Times New Roman" w:cs="宋体"/>
          <w:sz w:val="28"/>
          <w:szCs w:val="21"/>
        </w:rPr>
        <w:t>3095</w:t>
      </w:r>
      <w:r>
        <w:rPr>
          <w:rFonts w:hint="eastAsia" w:ascii="宋体" w:hAnsi="Times New Roman" w:cs="宋体"/>
          <w:sz w:val="28"/>
          <w:szCs w:val="21"/>
        </w:rPr>
        <w:t>万元，占</w:t>
      </w:r>
      <w:r>
        <w:rPr>
          <w:rFonts w:ascii="宋体" w:hAnsi="Times New Roman" w:cs="宋体"/>
          <w:sz w:val="28"/>
          <w:szCs w:val="21"/>
        </w:rPr>
        <w:t>89.7%</w:t>
      </w:r>
      <w:r>
        <w:rPr>
          <w:rFonts w:hint="eastAsia" w:ascii="宋体" w:hAnsi="Times New Roman" w:cs="宋体"/>
          <w:sz w:val="28"/>
          <w:szCs w:val="21"/>
        </w:rPr>
        <w:t>。</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（三）具体情况。</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年度一般公共预算财政拨款支出年初预算为</w:t>
      </w:r>
      <w:r>
        <w:rPr>
          <w:rFonts w:ascii="宋体" w:hAnsi="Times New Roman" w:cs="宋体"/>
          <w:sz w:val="28"/>
          <w:szCs w:val="21"/>
        </w:rPr>
        <w:t>3448.22</w:t>
      </w:r>
      <w:r>
        <w:rPr>
          <w:rFonts w:hint="eastAsia" w:ascii="宋体" w:hAnsi="Times New Roman" w:cs="宋体"/>
          <w:sz w:val="28"/>
          <w:szCs w:val="21"/>
        </w:rPr>
        <w:t>万元，支出决算为</w:t>
      </w:r>
      <w:r>
        <w:rPr>
          <w:rFonts w:ascii="宋体" w:hAnsi="Times New Roman" w:cs="宋体"/>
          <w:sz w:val="28"/>
          <w:szCs w:val="21"/>
        </w:rPr>
        <w:t>3448.22</w:t>
      </w:r>
      <w:r>
        <w:rPr>
          <w:rFonts w:hint="eastAsia" w:ascii="宋体" w:hAnsi="Times New Roman" w:cs="宋体"/>
          <w:sz w:val="28"/>
          <w:szCs w:val="21"/>
        </w:rPr>
        <w:t>万元，完成年初预算的</w:t>
      </w:r>
      <w:r>
        <w:rPr>
          <w:rFonts w:ascii="宋体" w:hAnsi="Times New Roman" w:cs="宋体"/>
          <w:sz w:val="28"/>
          <w:szCs w:val="21"/>
        </w:rPr>
        <w:t>100%</w:t>
      </w:r>
      <w:r>
        <w:rPr>
          <w:rFonts w:hint="eastAsia" w:ascii="宋体" w:hAnsi="Times New Roman" w:cs="宋体"/>
          <w:sz w:val="28"/>
          <w:szCs w:val="21"/>
        </w:rPr>
        <w:t>。其中：</w:t>
      </w:r>
    </w:p>
    <w:p>
      <w:pPr>
        <w:numPr>
          <w:ilvl w:val="0"/>
          <w:numId w:val="2"/>
        </w:num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社会保障和就业支出（类）行政事业单位离退休（款）机关事业单位基本养老保险缴费支出（项）。年初预算为</w:t>
      </w:r>
      <w:r>
        <w:rPr>
          <w:rFonts w:ascii="宋体" w:hAnsi="Times New Roman" w:cs="宋体"/>
          <w:sz w:val="28"/>
          <w:szCs w:val="21"/>
        </w:rPr>
        <w:t>35.48</w:t>
      </w:r>
      <w:r>
        <w:rPr>
          <w:rFonts w:hint="eastAsia" w:ascii="宋体" w:hAnsi="Times New Roman" w:cs="宋体"/>
          <w:sz w:val="28"/>
          <w:szCs w:val="21"/>
        </w:rPr>
        <w:t>万元，支出决算为</w:t>
      </w:r>
      <w:r>
        <w:rPr>
          <w:rFonts w:ascii="宋体" w:hAnsi="Times New Roman" w:cs="宋体"/>
          <w:sz w:val="28"/>
          <w:szCs w:val="21"/>
        </w:rPr>
        <w:t>35.48</w:t>
      </w:r>
      <w:r>
        <w:rPr>
          <w:rFonts w:hint="eastAsia" w:ascii="宋体" w:hAnsi="Times New Roman" w:cs="宋体"/>
          <w:sz w:val="28"/>
          <w:szCs w:val="21"/>
        </w:rPr>
        <w:t>万元，完成年初预算的</w:t>
      </w:r>
      <w:r>
        <w:rPr>
          <w:rFonts w:ascii="宋体" w:hAnsi="Times New Roman" w:cs="宋体"/>
          <w:sz w:val="28"/>
          <w:szCs w:val="21"/>
        </w:rPr>
        <w:t>100%</w:t>
      </w:r>
      <w:r>
        <w:rPr>
          <w:rFonts w:hint="eastAsia" w:ascii="宋体" w:hAnsi="Times New Roman" w:cs="宋体"/>
          <w:sz w:val="28"/>
          <w:szCs w:val="21"/>
        </w:rPr>
        <w:t>。</w:t>
      </w:r>
    </w:p>
    <w:p>
      <w:pPr>
        <w:numPr>
          <w:ilvl w:val="0"/>
          <w:numId w:val="2"/>
        </w:num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卫生健康支出（类）行政事业单位医疗（款）事业单位医疗（项）。年初预算为</w:t>
      </w:r>
      <w:r>
        <w:rPr>
          <w:rFonts w:ascii="宋体" w:hAnsi="Times New Roman" w:cs="宋体"/>
          <w:sz w:val="28"/>
          <w:szCs w:val="21"/>
        </w:rPr>
        <w:t>8.64</w:t>
      </w:r>
      <w:r>
        <w:rPr>
          <w:rFonts w:hint="eastAsia" w:ascii="宋体" w:hAnsi="Times New Roman" w:cs="宋体"/>
          <w:sz w:val="28"/>
          <w:szCs w:val="21"/>
        </w:rPr>
        <w:t>万元，支出决算为</w:t>
      </w:r>
      <w:r>
        <w:rPr>
          <w:rFonts w:ascii="宋体" w:hAnsi="Times New Roman" w:cs="宋体"/>
          <w:sz w:val="28"/>
          <w:szCs w:val="21"/>
        </w:rPr>
        <w:t>8.64</w:t>
      </w:r>
      <w:r>
        <w:rPr>
          <w:rFonts w:hint="eastAsia" w:ascii="宋体" w:hAnsi="Times New Roman" w:cs="宋体"/>
          <w:sz w:val="28"/>
          <w:szCs w:val="21"/>
        </w:rPr>
        <w:t>万元，完成年初预算的</w:t>
      </w:r>
      <w:r>
        <w:rPr>
          <w:rFonts w:ascii="宋体" w:hAnsi="Times New Roman" w:cs="宋体"/>
          <w:sz w:val="28"/>
          <w:szCs w:val="21"/>
        </w:rPr>
        <w:t>100%</w:t>
      </w:r>
      <w:r>
        <w:rPr>
          <w:rFonts w:hint="eastAsia" w:ascii="宋体" w:hAnsi="Times New Roman" w:cs="宋体"/>
          <w:sz w:val="28"/>
          <w:szCs w:val="21"/>
        </w:rPr>
        <w:t>。</w:t>
      </w:r>
    </w:p>
    <w:p>
      <w:pPr>
        <w:numPr>
          <w:ilvl w:val="0"/>
          <w:numId w:val="2"/>
        </w:num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城乡社区支出（类）城乡社区管理事务（款）行政运行（项）。年初预算为</w:t>
      </w:r>
      <w:r>
        <w:rPr>
          <w:rFonts w:ascii="宋体" w:hAnsi="Times New Roman" w:cs="宋体"/>
          <w:sz w:val="28"/>
          <w:szCs w:val="21"/>
        </w:rPr>
        <w:t>309.1005</w:t>
      </w:r>
      <w:r>
        <w:rPr>
          <w:rFonts w:hint="eastAsia" w:ascii="宋体" w:hAnsi="Times New Roman" w:cs="宋体"/>
          <w:sz w:val="28"/>
          <w:szCs w:val="21"/>
        </w:rPr>
        <w:t>万元，支出决算为</w:t>
      </w:r>
      <w:r>
        <w:rPr>
          <w:rFonts w:ascii="宋体" w:hAnsi="Times New Roman" w:cs="宋体"/>
          <w:sz w:val="28"/>
          <w:szCs w:val="21"/>
        </w:rPr>
        <w:t>309.10</w:t>
      </w:r>
      <w:r>
        <w:rPr>
          <w:rFonts w:hint="eastAsia" w:ascii="宋体" w:hAnsi="Times New Roman" w:cs="宋体"/>
          <w:sz w:val="28"/>
          <w:szCs w:val="21"/>
        </w:rPr>
        <w:t>万元，完成年初预算的</w:t>
      </w:r>
      <w:r>
        <w:rPr>
          <w:rFonts w:ascii="宋体" w:hAnsi="Times New Roman" w:cs="宋体"/>
          <w:sz w:val="28"/>
          <w:szCs w:val="21"/>
        </w:rPr>
        <w:t>100%</w:t>
      </w:r>
      <w:r>
        <w:rPr>
          <w:rFonts w:hint="eastAsia" w:ascii="宋体" w:hAnsi="Times New Roman" w:cs="宋体"/>
          <w:sz w:val="28"/>
          <w:szCs w:val="21"/>
        </w:rPr>
        <w:t>。</w:t>
      </w:r>
    </w:p>
    <w:p>
      <w:pPr>
        <w:numPr>
          <w:ilvl w:val="0"/>
          <w:numId w:val="2"/>
        </w:num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城乡社区支出（类）城乡社区公共设施（款）</w:t>
      </w:r>
      <w:r>
        <w:rPr>
          <w:rFonts w:ascii="宋体" w:hAnsi="Times New Roman" w:cs="宋体"/>
          <w:sz w:val="28"/>
          <w:szCs w:val="21"/>
        </w:rPr>
        <w:t xml:space="preserve"> </w:t>
      </w:r>
      <w:r>
        <w:rPr>
          <w:rFonts w:hint="eastAsia" w:ascii="宋体" w:hAnsi="Times New Roman" w:cs="宋体"/>
          <w:sz w:val="28"/>
          <w:szCs w:val="21"/>
        </w:rPr>
        <w:t>其他城乡社区公共设施支出（项）。年初预算为</w:t>
      </w:r>
      <w:r>
        <w:rPr>
          <w:rFonts w:ascii="宋体" w:hAnsi="Times New Roman" w:cs="宋体"/>
          <w:sz w:val="28"/>
          <w:szCs w:val="21"/>
        </w:rPr>
        <w:t>3095</w:t>
      </w:r>
      <w:r>
        <w:rPr>
          <w:rFonts w:hint="eastAsia" w:ascii="宋体" w:hAnsi="Times New Roman" w:cs="宋体"/>
          <w:sz w:val="28"/>
          <w:szCs w:val="21"/>
        </w:rPr>
        <w:t>万元，支出决算为</w:t>
      </w:r>
      <w:r>
        <w:rPr>
          <w:rFonts w:ascii="宋体" w:hAnsi="Times New Roman" w:cs="宋体"/>
          <w:sz w:val="28"/>
          <w:szCs w:val="21"/>
        </w:rPr>
        <w:t>3095</w:t>
      </w:r>
      <w:r>
        <w:rPr>
          <w:rFonts w:hint="eastAsia" w:ascii="宋体" w:hAnsi="Times New Roman" w:cs="宋体"/>
          <w:sz w:val="28"/>
          <w:szCs w:val="21"/>
        </w:rPr>
        <w:t>万元，完成年初预算的</w:t>
      </w:r>
      <w:r>
        <w:rPr>
          <w:rFonts w:ascii="宋体" w:hAnsi="Times New Roman" w:cs="宋体"/>
          <w:sz w:val="28"/>
          <w:szCs w:val="21"/>
        </w:rPr>
        <w:t>100%</w:t>
      </w:r>
      <w:r>
        <w:rPr>
          <w:rFonts w:hint="eastAsia" w:ascii="宋体" w:hAnsi="Times New Roman" w:cs="宋体"/>
          <w:sz w:val="28"/>
          <w:szCs w:val="21"/>
        </w:rPr>
        <w:t>。</w:t>
      </w:r>
    </w:p>
    <w:p>
      <w:pPr>
        <w:numPr>
          <w:ilvl w:val="0"/>
          <w:numId w:val="2"/>
        </w:num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城乡社区支出（类）</w:t>
      </w:r>
      <w:r>
        <w:rPr>
          <w:rFonts w:hint="eastAsia" w:ascii="宋体" w:hAnsi="Times New Roman" w:cs="宋体"/>
          <w:sz w:val="28"/>
          <w:szCs w:val="21"/>
          <w:lang w:val="en-US" w:eastAsia="zh-CN"/>
        </w:rPr>
        <w:t>国有土地使用权出让收入及对应专项债务收入安排的支出</w:t>
      </w:r>
      <w:r>
        <w:rPr>
          <w:rFonts w:hint="eastAsia" w:ascii="宋体" w:hAnsi="Times New Roman" w:cs="宋体"/>
          <w:sz w:val="28"/>
          <w:szCs w:val="21"/>
        </w:rPr>
        <w:t>（款）</w:t>
      </w:r>
      <w:r>
        <w:rPr>
          <w:rFonts w:ascii="宋体" w:hAnsi="Times New Roman" w:cs="宋体"/>
          <w:sz w:val="28"/>
          <w:szCs w:val="21"/>
        </w:rPr>
        <w:t xml:space="preserve"> </w:t>
      </w:r>
      <w:r>
        <w:rPr>
          <w:rFonts w:hint="eastAsia" w:ascii="宋体" w:hAnsi="Times New Roman" w:cs="宋体"/>
          <w:sz w:val="28"/>
          <w:szCs w:val="21"/>
          <w:lang w:val="en-US" w:eastAsia="zh-CN"/>
        </w:rPr>
        <w:t>城市建设</w:t>
      </w:r>
      <w:r>
        <w:rPr>
          <w:rFonts w:hint="eastAsia" w:ascii="宋体" w:hAnsi="Times New Roman" w:cs="宋体"/>
          <w:sz w:val="28"/>
          <w:szCs w:val="21"/>
        </w:rPr>
        <w:t>支出（项）。年初预算为</w:t>
      </w:r>
      <w:r>
        <w:rPr>
          <w:rFonts w:hint="eastAsia" w:ascii="宋体" w:hAnsi="Times New Roman" w:cs="宋体"/>
          <w:sz w:val="28"/>
          <w:szCs w:val="21"/>
          <w:lang w:val="en-US" w:eastAsia="zh-CN"/>
        </w:rPr>
        <w:t>3312</w:t>
      </w:r>
      <w:r>
        <w:rPr>
          <w:rFonts w:hint="eastAsia" w:ascii="宋体" w:hAnsi="Times New Roman" w:cs="宋体"/>
          <w:sz w:val="28"/>
          <w:szCs w:val="21"/>
        </w:rPr>
        <w:t>万元，支出决算为</w:t>
      </w:r>
      <w:r>
        <w:rPr>
          <w:rFonts w:ascii="宋体" w:hAnsi="Times New Roman" w:cs="宋体"/>
          <w:sz w:val="28"/>
          <w:szCs w:val="21"/>
        </w:rPr>
        <w:t>3</w:t>
      </w:r>
      <w:r>
        <w:rPr>
          <w:rFonts w:hint="eastAsia" w:ascii="宋体" w:hAnsi="Times New Roman" w:cs="宋体"/>
          <w:sz w:val="28"/>
          <w:szCs w:val="21"/>
          <w:lang w:val="en-US" w:eastAsia="zh-CN"/>
        </w:rPr>
        <w:t>312</w:t>
      </w:r>
      <w:r>
        <w:rPr>
          <w:rFonts w:hint="eastAsia" w:ascii="宋体" w:hAnsi="Times New Roman" w:cs="宋体"/>
          <w:sz w:val="28"/>
          <w:szCs w:val="21"/>
        </w:rPr>
        <w:t>万元，完成年初预算的</w:t>
      </w:r>
      <w:r>
        <w:rPr>
          <w:rFonts w:ascii="宋体" w:hAnsi="Times New Roman" w:cs="宋体"/>
          <w:sz w:val="28"/>
          <w:szCs w:val="21"/>
        </w:rPr>
        <w:t>100%</w:t>
      </w:r>
      <w:r>
        <w:rPr>
          <w:rFonts w:hint="eastAsia" w:ascii="宋体" w:hAnsi="Times New Roman" w:cs="宋体"/>
          <w:sz w:val="28"/>
          <w:szCs w:val="21"/>
        </w:rPr>
        <w:t>。</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六、一般公共预算财政拨款基本支出决算情况说明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年度一般公共预算财政拨款基本支出</w:t>
      </w:r>
      <w:r>
        <w:rPr>
          <w:rFonts w:ascii="宋体" w:hAnsi="Times New Roman" w:cs="宋体"/>
          <w:sz w:val="28"/>
          <w:szCs w:val="21"/>
        </w:rPr>
        <w:t>353.22</w:t>
      </w:r>
      <w:r>
        <w:rPr>
          <w:rFonts w:hint="eastAsia" w:ascii="宋体" w:hAnsi="Times New Roman" w:cs="宋体"/>
          <w:sz w:val="28"/>
          <w:szCs w:val="21"/>
        </w:rPr>
        <w:t>万元。其中：人员经费</w:t>
      </w:r>
      <w:r>
        <w:rPr>
          <w:rFonts w:ascii="宋体" w:hAnsi="Times New Roman" w:cs="宋体"/>
          <w:sz w:val="28"/>
          <w:szCs w:val="21"/>
        </w:rPr>
        <w:t>276.61</w:t>
      </w:r>
      <w:r>
        <w:rPr>
          <w:rFonts w:hint="eastAsia" w:ascii="宋体" w:hAnsi="Times New Roman" w:cs="宋体"/>
          <w:sz w:val="28"/>
          <w:szCs w:val="21"/>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宋体" w:hAnsi="Times New Roman" w:cs="宋体"/>
          <w:sz w:val="28"/>
          <w:szCs w:val="21"/>
        </w:rPr>
        <w:t>76.61</w:t>
      </w:r>
      <w:r>
        <w:rPr>
          <w:rFonts w:hint="eastAsia" w:ascii="宋体" w:hAnsi="Times New Roman" w:cs="宋体"/>
          <w:sz w:val="28"/>
          <w:szCs w:val="21"/>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七、一般公共预算财政拨款“三公”经费支出决算情况说明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（一）</w:t>
      </w:r>
      <w:r>
        <w:rPr>
          <w:rFonts w:ascii="宋体" w:hAnsi="Times New Roman" w:cs="宋体"/>
          <w:sz w:val="28"/>
          <w:szCs w:val="21"/>
        </w:rPr>
        <w:t>“</w:t>
      </w:r>
      <w:r>
        <w:rPr>
          <w:rFonts w:hint="eastAsia" w:ascii="宋体" w:hAnsi="Times New Roman" w:cs="宋体"/>
          <w:sz w:val="28"/>
          <w:szCs w:val="21"/>
        </w:rPr>
        <w:t>三公</w:t>
      </w:r>
      <w:r>
        <w:rPr>
          <w:rFonts w:ascii="宋体" w:hAnsi="Times New Roman" w:cs="宋体"/>
          <w:sz w:val="28"/>
          <w:szCs w:val="21"/>
        </w:rPr>
        <w:t>”</w:t>
      </w:r>
      <w:r>
        <w:rPr>
          <w:rFonts w:hint="eastAsia" w:ascii="宋体" w:hAnsi="Times New Roman" w:cs="宋体"/>
          <w:sz w:val="28"/>
          <w:szCs w:val="21"/>
        </w:rPr>
        <w:t>经费财政拨款支出决算总体情况说明。</w:t>
      </w:r>
    </w:p>
    <w:p>
      <w:pPr>
        <w:autoSpaceDE w:val="0"/>
        <w:autoSpaceDN w:val="0"/>
        <w:adjustRightInd w:val="0"/>
        <w:spacing w:beforeLines="50" w:afterLines="50" w:line="360" w:lineRule="auto"/>
        <w:ind w:firstLine="560" w:firstLineChars="200"/>
        <w:jc w:val="left"/>
        <w:rPr>
          <w:rFonts w:hint="eastAsia"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w:t>
      </w:r>
      <w:r>
        <w:rPr>
          <w:rFonts w:ascii="宋体" w:hAnsi="Times New Roman" w:cs="宋体"/>
          <w:sz w:val="28"/>
          <w:szCs w:val="21"/>
        </w:rPr>
        <w:t>“</w:t>
      </w:r>
      <w:r>
        <w:rPr>
          <w:rFonts w:hint="eastAsia" w:ascii="宋体" w:hAnsi="Times New Roman" w:cs="宋体"/>
          <w:sz w:val="28"/>
          <w:szCs w:val="21"/>
        </w:rPr>
        <w:t>三公</w:t>
      </w:r>
      <w:r>
        <w:rPr>
          <w:rFonts w:ascii="宋体" w:hAnsi="Times New Roman" w:cs="宋体"/>
          <w:sz w:val="28"/>
          <w:szCs w:val="21"/>
        </w:rPr>
        <w:t>”</w:t>
      </w:r>
      <w:r>
        <w:rPr>
          <w:rFonts w:hint="eastAsia" w:ascii="宋体" w:hAnsi="Times New Roman" w:cs="宋体"/>
          <w:sz w:val="28"/>
          <w:szCs w:val="21"/>
        </w:rPr>
        <w:t>经费财政拨款支出预算为</w:t>
      </w:r>
      <w:r>
        <w:rPr>
          <w:rFonts w:ascii="宋体" w:hAnsi="Times New Roman" w:cs="宋体"/>
          <w:sz w:val="28"/>
          <w:szCs w:val="21"/>
        </w:rPr>
        <w:t>0</w:t>
      </w:r>
      <w:r>
        <w:rPr>
          <w:rFonts w:hint="eastAsia" w:ascii="宋体" w:hAnsi="Times New Roman" w:cs="宋体"/>
          <w:sz w:val="28"/>
          <w:szCs w:val="21"/>
        </w:rPr>
        <w:t>万元，支出决算为</w:t>
      </w:r>
      <w:r>
        <w:rPr>
          <w:rFonts w:ascii="宋体" w:hAnsi="Times New Roman" w:cs="宋体"/>
          <w:sz w:val="28"/>
          <w:szCs w:val="21"/>
        </w:rPr>
        <w:t>0</w:t>
      </w:r>
      <w:r>
        <w:rPr>
          <w:rFonts w:hint="eastAsia" w:ascii="宋体" w:hAnsi="Times New Roman" w:cs="宋体"/>
          <w:sz w:val="28"/>
          <w:szCs w:val="21"/>
        </w:rPr>
        <w:t>万元。完成预算的0</w:t>
      </w:r>
      <w:r>
        <w:rPr>
          <w:rFonts w:ascii="宋体" w:hAnsi="Times New Roman" w:cs="宋体"/>
          <w:sz w:val="28"/>
          <w:szCs w:val="21"/>
        </w:rPr>
        <w:t>%</w:t>
      </w:r>
      <w:r>
        <w:rPr>
          <w:rFonts w:hint="eastAsia" w:ascii="宋体" w:hAnsi="Times New Roman" w:cs="宋体"/>
          <w:sz w:val="28"/>
          <w:szCs w:val="21"/>
        </w:rPr>
        <w:t>。</w:t>
      </w:r>
    </w:p>
    <w:p>
      <w:pPr>
        <w:autoSpaceDE w:val="0"/>
        <w:autoSpaceDN w:val="0"/>
        <w:adjustRightInd w:val="0"/>
        <w:spacing w:before="158" w:beforeLines="50" w:after="158" w:afterLines="50" w:line="360" w:lineRule="auto"/>
        <w:ind w:firstLine="560" w:firstLineChars="200"/>
        <w:jc w:val="left"/>
        <w:rPr>
          <w:rFonts w:hint="eastAsia" w:ascii="宋体" w:hAnsi="Times New Roman" w:cs="宋体"/>
          <w:sz w:val="28"/>
          <w:szCs w:val="21"/>
        </w:rPr>
      </w:pPr>
      <w:r>
        <w:rPr>
          <w:rFonts w:hint="eastAsia" w:ascii="宋体" w:hAnsi="Times New Roman" w:cs="宋体"/>
          <w:sz w:val="28"/>
          <w:szCs w:val="21"/>
        </w:rPr>
        <w:t>（二）</w:t>
      </w:r>
      <w:r>
        <w:rPr>
          <w:rFonts w:ascii="宋体" w:hAnsi="Times New Roman" w:cs="宋体"/>
          <w:sz w:val="28"/>
          <w:szCs w:val="21"/>
        </w:rPr>
        <w:t>“</w:t>
      </w:r>
      <w:r>
        <w:rPr>
          <w:rFonts w:hint="eastAsia" w:ascii="宋体" w:hAnsi="Times New Roman" w:cs="宋体"/>
          <w:sz w:val="28"/>
          <w:szCs w:val="21"/>
        </w:rPr>
        <w:t>三公</w:t>
      </w:r>
      <w:r>
        <w:rPr>
          <w:rFonts w:ascii="宋体" w:hAnsi="Times New Roman" w:cs="宋体"/>
          <w:sz w:val="28"/>
          <w:szCs w:val="21"/>
        </w:rPr>
        <w:t>”</w:t>
      </w:r>
      <w:r>
        <w:rPr>
          <w:rFonts w:hint="eastAsia" w:ascii="宋体" w:hAnsi="Times New Roman" w:cs="宋体"/>
          <w:sz w:val="28"/>
          <w:szCs w:val="21"/>
        </w:rPr>
        <w:t>经费财政拨款支出决算具体情况说明。</w:t>
      </w:r>
    </w:p>
    <w:p>
      <w:pPr>
        <w:autoSpaceDE w:val="0"/>
        <w:autoSpaceDN w:val="0"/>
        <w:adjustRightInd w:val="0"/>
        <w:spacing w:before="158" w:beforeLines="50" w:after="158" w:afterLines="50" w:line="360" w:lineRule="auto"/>
        <w:ind w:firstLine="560" w:firstLineChars="200"/>
        <w:jc w:val="left"/>
        <w:rPr>
          <w:rFonts w:hint="eastAsia"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w:t>
      </w:r>
      <w:r>
        <w:rPr>
          <w:rFonts w:ascii="宋体" w:hAnsi="Times New Roman" w:cs="宋体"/>
          <w:sz w:val="28"/>
          <w:szCs w:val="21"/>
        </w:rPr>
        <w:t>“</w:t>
      </w:r>
      <w:r>
        <w:rPr>
          <w:rFonts w:hint="eastAsia" w:ascii="宋体" w:hAnsi="Times New Roman" w:cs="宋体"/>
          <w:sz w:val="28"/>
          <w:szCs w:val="21"/>
        </w:rPr>
        <w:t>三公</w:t>
      </w:r>
      <w:r>
        <w:rPr>
          <w:rFonts w:ascii="宋体" w:hAnsi="Times New Roman" w:cs="宋体"/>
          <w:sz w:val="28"/>
          <w:szCs w:val="21"/>
        </w:rPr>
        <w:t>”</w:t>
      </w:r>
      <w:r>
        <w:rPr>
          <w:rFonts w:hint="eastAsia" w:ascii="宋体" w:hAnsi="Times New Roman" w:cs="宋体"/>
          <w:sz w:val="28"/>
          <w:szCs w:val="21"/>
        </w:rPr>
        <w:t>经费财政拨款支出决算中，因公出国（境）费支出决算0万元，完成预算的0</w:t>
      </w:r>
      <w:r>
        <w:rPr>
          <w:rFonts w:ascii="宋体" w:hAnsi="Times New Roman" w:cs="宋体"/>
          <w:sz w:val="28"/>
          <w:szCs w:val="21"/>
        </w:rPr>
        <w:t>%</w:t>
      </w:r>
      <w:r>
        <w:rPr>
          <w:rFonts w:hint="eastAsia" w:ascii="宋体" w:hAnsi="Times New Roman" w:cs="宋体"/>
          <w:sz w:val="28"/>
          <w:szCs w:val="21"/>
        </w:rPr>
        <w:t>，占0</w:t>
      </w:r>
      <w:r>
        <w:rPr>
          <w:rFonts w:ascii="宋体" w:hAnsi="Times New Roman" w:cs="宋体"/>
          <w:sz w:val="28"/>
          <w:szCs w:val="21"/>
        </w:rPr>
        <w:t>%</w:t>
      </w:r>
      <w:r>
        <w:rPr>
          <w:rFonts w:hint="eastAsia" w:ascii="宋体" w:hAnsi="Times New Roman" w:cs="宋体"/>
          <w:sz w:val="28"/>
          <w:szCs w:val="21"/>
        </w:rPr>
        <w:t>；公务用车购置及运行费支出决算0万元，完成预算的0</w:t>
      </w:r>
      <w:r>
        <w:rPr>
          <w:rFonts w:ascii="宋体" w:hAnsi="Times New Roman" w:cs="宋体"/>
          <w:sz w:val="28"/>
          <w:szCs w:val="21"/>
        </w:rPr>
        <w:t>%</w:t>
      </w:r>
      <w:r>
        <w:rPr>
          <w:rFonts w:hint="eastAsia" w:ascii="宋体" w:hAnsi="Times New Roman" w:cs="宋体"/>
          <w:sz w:val="28"/>
          <w:szCs w:val="21"/>
        </w:rPr>
        <w:t>，占0</w:t>
      </w:r>
      <w:r>
        <w:rPr>
          <w:rFonts w:ascii="宋体" w:hAnsi="Times New Roman" w:cs="宋体"/>
          <w:sz w:val="28"/>
          <w:szCs w:val="21"/>
        </w:rPr>
        <w:t>%</w:t>
      </w:r>
      <w:r>
        <w:rPr>
          <w:rFonts w:hint="eastAsia" w:ascii="宋体" w:hAnsi="Times New Roman" w:cs="宋体"/>
          <w:sz w:val="28"/>
          <w:szCs w:val="21"/>
        </w:rPr>
        <w:t>；公务接待费支出决算</w:t>
      </w:r>
      <w:r>
        <w:rPr>
          <w:rFonts w:hint="eastAsia" w:ascii="宋体" w:hAnsi="Times New Roman" w:cs="宋体"/>
          <w:sz w:val="28"/>
          <w:szCs w:val="21"/>
          <w:lang w:val="en-US" w:eastAsia="zh-CN"/>
        </w:rPr>
        <w:t>0</w:t>
      </w:r>
      <w:r>
        <w:rPr>
          <w:rFonts w:hint="eastAsia" w:ascii="宋体" w:hAnsi="Times New Roman" w:cs="宋体"/>
          <w:sz w:val="28"/>
          <w:szCs w:val="21"/>
        </w:rPr>
        <w:t>万元，完成预算的</w:t>
      </w:r>
      <w:r>
        <w:rPr>
          <w:rFonts w:hint="eastAsia" w:ascii="宋体" w:hAnsi="Times New Roman" w:cs="宋体"/>
          <w:sz w:val="28"/>
          <w:szCs w:val="21"/>
          <w:lang w:val="en-US" w:eastAsia="zh-CN"/>
        </w:rPr>
        <w:t>0</w:t>
      </w:r>
      <w:r>
        <w:rPr>
          <w:rFonts w:ascii="宋体" w:hAnsi="Times New Roman" w:cs="宋体"/>
          <w:sz w:val="28"/>
          <w:szCs w:val="21"/>
        </w:rPr>
        <w:t>%</w:t>
      </w:r>
      <w:r>
        <w:rPr>
          <w:rFonts w:hint="eastAsia" w:ascii="宋体" w:hAnsi="Times New Roman" w:cs="宋体"/>
          <w:sz w:val="28"/>
          <w:szCs w:val="21"/>
        </w:rPr>
        <w:t>，占</w:t>
      </w:r>
      <w:r>
        <w:rPr>
          <w:rFonts w:hint="eastAsia" w:ascii="宋体" w:hAnsi="Times New Roman" w:cs="宋体"/>
          <w:sz w:val="28"/>
          <w:szCs w:val="21"/>
          <w:lang w:val="en-US" w:eastAsia="zh-CN"/>
        </w:rPr>
        <w:t>0</w:t>
      </w:r>
      <w:r>
        <w:rPr>
          <w:rFonts w:ascii="宋体" w:hAnsi="Times New Roman" w:cs="宋体"/>
          <w:sz w:val="28"/>
          <w:szCs w:val="21"/>
        </w:rPr>
        <w:t>%</w:t>
      </w:r>
      <w:r>
        <w:rPr>
          <w:rFonts w:hint="eastAsia" w:ascii="宋体" w:hAnsi="Times New Roman" w:cs="宋体"/>
          <w:sz w:val="28"/>
          <w:szCs w:val="21"/>
        </w:rPr>
        <w:t>。具体情况如下：</w:t>
      </w:r>
    </w:p>
    <w:p>
      <w:pPr>
        <w:autoSpaceDE w:val="0"/>
        <w:autoSpaceDN w:val="0"/>
        <w:adjustRightInd w:val="0"/>
        <w:spacing w:before="158" w:beforeLines="50" w:after="158" w:afterLines="50" w:line="360" w:lineRule="auto"/>
        <w:ind w:firstLine="560" w:firstLineChars="200"/>
        <w:jc w:val="left"/>
        <w:rPr>
          <w:rFonts w:hint="eastAsia" w:ascii="宋体" w:hAnsi="Times New Roman" w:cs="宋体"/>
          <w:sz w:val="28"/>
          <w:szCs w:val="21"/>
        </w:rPr>
      </w:pPr>
      <w:r>
        <w:rPr>
          <w:rFonts w:ascii="宋体" w:hAnsi="Times New Roman" w:cs="宋体"/>
          <w:sz w:val="28"/>
          <w:szCs w:val="21"/>
        </w:rPr>
        <w:t>1</w:t>
      </w:r>
      <w:r>
        <w:rPr>
          <w:rFonts w:hint="eastAsia" w:ascii="宋体" w:hAnsi="Times New Roman" w:cs="宋体"/>
          <w:sz w:val="28"/>
          <w:szCs w:val="21"/>
        </w:rPr>
        <w:t>．因公出国（境）费预算为0万元，支出决算为0万元，完成预算的0</w:t>
      </w:r>
      <w:r>
        <w:rPr>
          <w:rFonts w:ascii="宋体" w:hAnsi="Times New Roman" w:cs="宋体"/>
          <w:sz w:val="28"/>
          <w:szCs w:val="21"/>
        </w:rPr>
        <w:t>%</w:t>
      </w:r>
      <w:r>
        <w:rPr>
          <w:rFonts w:hint="eastAsia" w:ascii="宋体" w:hAnsi="Times New Roman" w:cs="宋体"/>
          <w:sz w:val="28"/>
          <w:szCs w:val="21"/>
        </w:rPr>
        <w:t>。全年因公出国（境）团组0个，累计0人次。</w:t>
      </w:r>
    </w:p>
    <w:p>
      <w:pPr>
        <w:numPr>
          <w:ilvl w:val="0"/>
          <w:numId w:val="3"/>
        </w:numPr>
        <w:autoSpaceDE w:val="0"/>
        <w:autoSpaceDN w:val="0"/>
        <w:adjustRightInd w:val="0"/>
        <w:spacing w:before="158" w:beforeLines="50" w:after="158" w:afterLines="50" w:line="360" w:lineRule="auto"/>
        <w:ind w:firstLine="560" w:firstLineChars="200"/>
        <w:jc w:val="left"/>
        <w:rPr>
          <w:rFonts w:hint="eastAsia" w:ascii="宋体" w:hAnsi="Times New Roman" w:cs="宋体"/>
          <w:sz w:val="28"/>
          <w:szCs w:val="21"/>
        </w:rPr>
      </w:pPr>
      <w:r>
        <w:rPr>
          <w:rFonts w:hint="eastAsia" w:ascii="宋体" w:hAnsi="Times New Roman" w:cs="宋体"/>
          <w:sz w:val="28"/>
          <w:szCs w:val="21"/>
        </w:rPr>
        <w:t>公务用车购置及运行费预算为0万元，支出决算为0万元，完成预算的0</w:t>
      </w:r>
      <w:r>
        <w:rPr>
          <w:rFonts w:ascii="宋体" w:hAnsi="Times New Roman" w:cs="宋体"/>
          <w:sz w:val="28"/>
          <w:szCs w:val="21"/>
        </w:rPr>
        <w:t>%</w:t>
      </w:r>
      <w:r>
        <w:rPr>
          <w:rFonts w:hint="eastAsia" w:ascii="宋体" w:hAnsi="Times New Roman" w:cs="宋体"/>
          <w:sz w:val="28"/>
          <w:szCs w:val="21"/>
        </w:rPr>
        <w:t>。</w:t>
      </w:r>
    </w:p>
    <w:p>
      <w:pPr>
        <w:numPr>
          <w:ilvl w:val="0"/>
          <w:numId w:val="0"/>
        </w:numPr>
        <w:autoSpaceDE w:val="0"/>
        <w:autoSpaceDN w:val="0"/>
        <w:adjustRightInd w:val="0"/>
        <w:spacing w:before="158" w:beforeLines="50" w:after="158" w:afterLines="50" w:line="360" w:lineRule="auto"/>
        <w:ind w:firstLine="840" w:firstLineChars="300"/>
        <w:jc w:val="left"/>
        <w:rPr>
          <w:rFonts w:hint="eastAsia" w:ascii="宋体" w:hAnsi="Times New Roman" w:cs="宋体"/>
          <w:sz w:val="28"/>
          <w:szCs w:val="21"/>
        </w:rPr>
      </w:pPr>
      <w:r>
        <w:rPr>
          <w:rFonts w:hint="eastAsia" w:ascii="宋体" w:hAnsi="Times New Roman" w:cs="宋体"/>
          <w:sz w:val="28"/>
          <w:szCs w:val="21"/>
        </w:rPr>
        <w:t>公务用车购置支出为0万元，购置车辆0辆。</w:t>
      </w:r>
    </w:p>
    <w:p>
      <w:pPr>
        <w:numPr>
          <w:ilvl w:val="0"/>
          <w:numId w:val="0"/>
        </w:numPr>
        <w:autoSpaceDE w:val="0"/>
        <w:autoSpaceDN w:val="0"/>
        <w:adjustRightInd w:val="0"/>
        <w:spacing w:before="158" w:beforeLines="50" w:after="158" w:afterLines="50" w:line="360" w:lineRule="auto"/>
        <w:ind w:firstLine="840" w:firstLineChars="300"/>
        <w:jc w:val="left"/>
        <w:rPr>
          <w:rFonts w:hint="eastAsia" w:ascii="宋体" w:hAnsi="Times New Roman" w:cs="宋体"/>
          <w:sz w:val="28"/>
          <w:szCs w:val="21"/>
        </w:rPr>
      </w:pPr>
      <w:r>
        <w:rPr>
          <w:rFonts w:hint="eastAsia" w:ascii="宋体" w:hAnsi="Times New Roman" w:cs="宋体"/>
          <w:sz w:val="28"/>
          <w:szCs w:val="21"/>
        </w:rPr>
        <w:t>公务用车运行支出0万元。</w:t>
      </w:r>
      <w:r>
        <w:rPr>
          <w:rFonts w:ascii="宋体" w:hAnsi="Times New Roman" w:cs="宋体"/>
          <w:sz w:val="28"/>
          <w:szCs w:val="21"/>
        </w:rPr>
        <w:t>2019</w:t>
      </w:r>
      <w:r>
        <w:rPr>
          <w:rFonts w:hint="eastAsia" w:ascii="宋体" w:hAnsi="Times New Roman" w:cs="宋体"/>
          <w:sz w:val="28"/>
          <w:szCs w:val="21"/>
        </w:rPr>
        <w:t>年期末，部门开支财政拨款的公务用车保有量为0辆。</w:t>
      </w:r>
    </w:p>
    <w:p>
      <w:pPr>
        <w:numPr>
          <w:ilvl w:val="0"/>
          <w:numId w:val="4"/>
        </w:numPr>
        <w:autoSpaceDE w:val="0"/>
        <w:autoSpaceDN w:val="0"/>
        <w:adjustRightInd w:val="0"/>
        <w:spacing w:before="158" w:beforeLines="50" w:after="158" w:afterLines="50" w:line="360" w:lineRule="auto"/>
        <w:ind w:firstLine="560" w:firstLineChars="200"/>
        <w:jc w:val="left"/>
        <w:rPr>
          <w:rFonts w:hint="eastAsia" w:ascii="宋体" w:hAnsi="Times New Roman" w:cs="宋体"/>
          <w:sz w:val="28"/>
          <w:szCs w:val="21"/>
        </w:rPr>
      </w:pPr>
      <w:r>
        <w:rPr>
          <w:rFonts w:hint="eastAsia" w:ascii="宋体" w:hAnsi="Times New Roman" w:cs="宋体"/>
          <w:sz w:val="28"/>
          <w:szCs w:val="21"/>
        </w:rPr>
        <w:t>公务接待费预算为</w:t>
      </w:r>
      <w:r>
        <w:rPr>
          <w:rFonts w:hint="eastAsia" w:ascii="宋体" w:hAnsi="Times New Roman" w:cs="宋体"/>
          <w:sz w:val="28"/>
          <w:szCs w:val="21"/>
          <w:lang w:val="en-US" w:eastAsia="zh-CN"/>
        </w:rPr>
        <w:t>0</w:t>
      </w:r>
      <w:r>
        <w:rPr>
          <w:rFonts w:hint="eastAsia" w:ascii="宋体" w:hAnsi="Times New Roman" w:cs="宋体"/>
          <w:sz w:val="28"/>
          <w:szCs w:val="21"/>
        </w:rPr>
        <w:t>万元，支出决算为</w:t>
      </w:r>
      <w:r>
        <w:rPr>
          <w:rFonts w:hint="eastAsia" w:ascii="宋体" w:hAnsi="Times New Roman" w:cs="宋体"/>
          <w:sz w:val="28"/>
          <w:szCs w:val="21"/>
          <w:lang w:val="en-US" w:eastAsia="zh-CN"/>
        </w:rPr>
        <w:t>0</w:t>
      </w:r>
      <w:r>
        <w:rPr>
          <w:rFonts w:hint="eastAsia" w:ascii="宋体" w:hAnsi="Times New Roman" w:cs="宋体"/>
          <w:sz w:val="28"/>
          <w:szCs w:val="21"/>
        </w:rPr>
        <w:t>万元，完成预算的</w:t>
      </w:r>
      <w:r>
        <w:rPr>
          <w:rFonts w:hint="eastAsia" w:ascii="宋体" w:hAnsi="Times New Roman" w:cs="宋体"/>
          <w:sz w:val="28"/>
          <w:szCs w:val="21"/>
          <w:lang w:val="en-US" w:eastAsia="zh-CN"/>
        </w:rPr>
        <w:t>0</w:t>
      </w:r>
      <w:r>
        <w:rPr>
          <w:rFonts w:ascii="宋体" w:hAnsi="Times New Roman" w:cs="宋体"/>
          <w:sz w:val="28"/>
          <w:szCs w:val="21"/>
        </w:rPr>
        <w:t>%</w:t>
      </w:r>
      <w:r>
        <w:rPr>
          <w:rFonts w:hint="eastAsia" w:ascii="宋体" w:hAnsi="Times New Roman" w:cs="宋体"/>
          <w:sz w:val="28"/>
          <w:szCs w:val="21"/>
        </w:rPr>
        <w:t>。全年因公</w:t>
      </w:r>
      <w:r>
        <w:rPr>
          <w:rFonts w:hint="eastAsia" w:ascii="宋体" w:hAnsi="Times New Roman" w:cs="宋体"/>
          <w:sz w:val="28"/>
          <w:szCs w:val="21"/>
          <w:lang w:val="en-US" w:eastAsia="zh-CN"/>
        </w:rPr>
        <w:t>接待</w:t>
      </w:r>
      <w:r>
        <w:rPr>
          <w:rFonts w:hint="eastAsia" w:ascii="宋体" w:hAnsi="Times New Roman" w:cs="宋体"/>
          <w:sz w:val="28"/>
          <w:szCs w:val="21"/>
        </w:rPr>
        <w:t>团组</w:t>
      </w:r>
      <w:r>
        <w:rPr>
          <w:rFonts w:hint="eastAsia" w:ascii="宋体" w:hAnsi="Times New Roman" w:cs="宋体"/>
          <w:sz w:val="28"/>
          <w:szCs w:val="21"/>
          <w:lang w:val="en-US" w:eastAsia="zh-CN"/>
        </w:rPr>
        <w:t>0</w:t>
      </w:r>
      <w:r>
        <w:rPr>
          <w:rFonts w:hint="eastAsia" w:ascii="宋体" w:hAnsi="Times New Roman" w:cs="宋体"/>
          <w:sz w:val="28"/>
          <w:szCs w:val="21"/>
        </w:rPr>
        <w:t>个，累计</w:t>
      </w:r>
      <w:r>
        <w:rPr>
          <w:rFonts w:hint="eastAsia" w:ascii="宋体" w:hAnsi="Times New Roman" w:cs="宋体"/>
          <w:sz w:val="28"/>
          <w:szCs w:val="21"/>
          <w:lang w:val="en-US" w:eastAsia="zh-CN"/>
        </w:rPr>
        <w:t>0</w:t>
      </w:r>
      <w:r>
        <w:rPr>
          <w:rFonts w:hint="eastAsia" w:ascii="宋体" w:hAnsi="Times New Roman" w:cs="宋体"/>
          <w:sz w:val="28"/>
          <w:szCs w:val="21"/>
        </w:rPr>
        <w:t>人次。</w:t>
      </w:r>
    </w:p>
    <w:p>
      <w:pPr>
        <w:numPr>
          <w:ilvl w:val="0"/>
          <w:numId w:val="4"/>
        </w:numPr>
        <w:autoSpaceDE w:val="0"/>
        <w:autoSpaceDN w:val="0"/>
        <w:adjustRightInd w:val="0"/>
        <w:spacing w:before="158" w:beforeLines="50" w:after="158" w:afterLines="50" w:line="360" w:lineRule="auto"/>
        <w:ind w:firstLine="560" w:firstLineChars="200"/>
        <w:jc w:val="left"/>
        <w:rPr>
          <w:rFonts w:hint="eastAsia" w:ascii="宋体" w:hAnsi="Times New Roman" w:cs="宋体"/>
          <w:sz w:val="28"/>
          <w:szCs w:val="21"/>
        </w:rPr>
      </w:pPr>
      <w:r>
        <w:rPr>
          <w:rFonts w:hint="eastAsia" w:ascii="宋体" w:hAnsi="Times New Roman" w:cs="宋体"/>
          <w:sz w:val="28"/>
          <w:szCs w:val="21"/>
        </w:rPr>
        <w:t>外宾接待支出0万元。</w:t>
      </w:r>
      <w:r>
        <w:rPr>
          <w:rFonts w:ascii="宋体" w:hAnsi="Times New Roman" w:cs="宋体"/>
          <w:sz w:val="28"/>
          <w:szCs w:val="21"/>
        </w:rPr>
        <w:t>2019</w:t>
      </w:r>
      <w:r>
        <w:rPr>
          <w:rFonts w:hint="eastAsia" w:ascii="宋体" w:hAnsi="Times New Roman" w:cs="宋体"/>
          <w:sz w:val="28"/>
          <w:szCs w:val="21"/>
        </w:rPr>
        <w:t>年共接待国（境）外来访团组0个、来访外宾0人次（不包括陪同人员）。</w:t>
      </w:r>
    </w:p>
    <w:p>
      <w:pPr>
        <w:autoSpaceDE w:val="0"/>
        <w:autoSpaceDN w:val="0"/>
        <w:adjustRightInd w:val="0"/>
        <w:spacing w:before="158" w:beforeLines="50" w:after="158" w:afterLines="50" w:line="360" w:lineRule="auto"/>
        <w:ind w:firstLine="560" w:firstLineChars="200"/>
        <w:jc w:val="left"/>
        <w:rPr>
          <w:rFonts w:hint="eastAsia" w:ascii="宋体" w:hAnsi="Times New Roman" w:eastAsia="宋体" w:cs="宋体"/>
          <w:sz w:val="28"/>
          <w:szCs w:val="21"/>
          <w:lang w:val="en-US" w:eastAsia="zh-CN"/>
        </w:rPr>
      </w:pPr>
      <w:r>
        <w:rPr>
          <w:rFonts w:hint="eastAsia" w:ascii="宋体" w:hAnsi="Times New Roman" w:cs="宋体"/>
          <w:sz w:val="28"/>
          <w:szCs w:val="21"/>
        </w:rPr>
        <w:t>其他国内公务接待支出0万元。</w:t>
      </w:r>
      <w:r>
        <w:rPr>
          <w:rFonts w:ascii="宋体" w:hAnsi="Times New Roman" w:cs="宋体"/>
          <w:sz w:val="28"/>
          <w:szCs w:val="21"/>
        </w:rPr>
        <w:t>2019</w:t>
      </w:r>
      <w:r>
        <w:rPr>
          <w:rFonts w:hint="eastAsia" w:ascii="宋体" w:hAnsi="Times New Roman" w:cs="宋体"/>
          <w:sz w:val="28"/>
          <w:szCs w:val="21"/>
        </w:rPr>
        <w:t>年共接待国内来访团组0个、来宾0人次（不包括陪同人员）。</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八、预算绩效情况说明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（一）绩效管理工作开展情况。</w:t>
      </w:r>
    </w:p>
    <w:p>
      <w:pPr>
        <w:ind w:firstLine="560" w:firstLineChars="200"/>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年我单位在市委、市政府的正确领导下，从预算配置、预算执行、预算管理、职责履行、履职效益等五方面入手，将绩效评价作为预算管理和安排以后年度预算的重要依据，认真负责、客观公正地开展</w:t>
      </w:r>
      <w:r>
        <w:rPr>
          <w:rFonts w:ascii="宋体" w:hAnsi="Times New Roman" w:cs="宋体"/>
          <w:sz w:val="28"/>
          <w:szCs w:val="21"/>
        </w:rPr>
        <w:t>2019</w:t>
      </w:r>
      <w:r>
        <w:rPr>
          <w:rFonts w:hint="eastAsia" w:ascii="宋体" w:hAnsi="Times New Roman" w:cs="宋体"/>
          <w:sz w:val="28"/>
          <w:szCs w:val="21"/>
        </w:rPr>
        <w:t>年度部门整体支出绩效自评工作，全面完成了年初绩效工作目标。</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（二）项目绩效自评结果。</w:t>
      </w:r>
    </w:p>
    <w:p>
      <w:pPr>
        <w:ind w:firstLine="560" w:firstLineChars="200"/>
        <w:rPr>
          <w:rFonts w:hint="default" w:ascii="宋体" w:hAnsi="Times New Roman" w:cs="宋体"/>
          <w:sz w:val="28"/>
          <w:szCs w:val="21"/>
          <w:lang w:val="en-US"/>
        </w:rPr>
      </w:pPr>
      <w:r>
        <w:rPr>
          <w:rFonts w:hint="eastAsia" w:ascii="宋体" w:hAnsi="宋体" w:eastAsia="宋体" w:cs="宋体"/>
          <w:sz w:val="28"/>
          <w:szCs w:val="28"/>
        </w:rPr>
        <w:t>明确绩效评价工作方法和内容，根据评价报告提出的问题，集体研究进行整改。财政支出绩效评价工作的开展</w:t>
      </w:r>
      <w:r>
        <w:rPr>
          <w:rFonts w:hint="eastAsia" w:ascii="宋体" w:hAnsi="宋体" w:eastAsia="宋体" w:cs="宋体"/>
          <w:sz w:val="28"/>
          <w:szCs w:val="28"/>
          <w:lang w:eastAsia="zh-CN"/>
        </w:rPr>
        <w:t>。</w:t>
      </w:r>
      <w:r>
        <w:rPr>
          <w:rFonts w:hint="eastAsia" w:ascii="宋体" w:hAnsi="宋体" w:eastAsia="宋体" w:cs="宋体"/>
          <w:sz w:val="28"/>
          <w:szCs w:val="28"/>
        </w:rPr>
        <w:t>提高了单位加强财政资金使用管理的意识</w:t>
      </w:r>
      <w:r>
        <w:rPr>
          <w:rFonts w:hint="eastAsia" w:ascii="宋体" w:hAnsi="宋体" w:eastAsia="宋体" w:cs="宋体"/>
          <w:sz w:val="28"/>
          <w:szCs w:val="28"/>
          <w:lang w:eastAsia="zh-CN"/>
        </w:rPr>
        <w:t>。</w:t>
      </w:r>
      <w:r>
        <w:rPr>
          <w:rFonts w:hint="eastAsia" w:ascii="宋体" w:hAnsi="宋体" w:cs="宋体"/>
          <w:sz w:val="28"/>
          <w:szCs w:val="28"/>
          <w:lang w:val="en-US" w:eastAsia="zh-CN"/>
        </w:rPr>
        <w:t>完成效果良好。</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（三）以部门为主体开展的重点绩效评价结果。</w:t>
      </w:r>
    </w:p>
    <w:p>
      <w:pPr>
        <w:autoSpaceDE w:val="0"/>
        <w:autoSpaceDN w:val="0"/>
        <w:adjustRightInd w:val="0"/>
        <w:spacing w:before="158" w:beforeLines="50" w:after="158" w:afterLines="50" w:line="360" w:lineRule="auto"/>
        <w:ind w:firstLine="560" w:firstLineChars="200"/>
        <w:jc w:val="left"/>
        <w:rPr>
          <w:rFonts w:ascii="宋体" w:hAnsi="Times New Roman" w:cs="宋体"/>
          <w:sz w:val="28"/>
          <w:szCs w:val="21"/>
        </w:rPr>
      </w:pPr>
      <w:r>
        <w:rPr>
          <w:rFonts w:hint="eastAsia" w:ascii="宋体" w:hAnsi="Times New Roman" w:cs="宋体"/>
          <w:sz w:val="28"/>
          <w:szCs w:val="21"/>
        </w:rPr>
        <w:t>进一步加强制度建设，提升自评质量，预算绩效管理取得新成效。</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九、政府性基金预算财政拨款支出决算情况说明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年度政府性基金预算财政拨款支出年初预算为</w:t>
      </w:r>
      <w:r>
        <w:rPr>
          <w:rFonts w:ascii="宋体" w:hAnsi="Times New Roman" w:cs="宋体"/>
          <w:sz w:val="28"/>
          <w:szCs w:val="21"/>
        </w:rPr>
        <w:t>3312</w:t>
      </w:r>
      <w:r>
        <w:rPr>
          <w:rFonts w:hint="eastAsia" w:ascii="宋体" w:hAnsi="Times New Roman" w:cs="宋体"/>
          <w:sz w:val="28"/>
          <w:szCs w:val="21"/>
        </w:rPr>
        <w:t>万元，支出决算为</w:t>
      </w:r>
      <w:r>
        <w:rPr>
          <w:rFonts w:ascii="宋体" w:hAnsi="Times New Roman" w:cs="宋体"/>
          <w:sz w:val="28"/>
          <w:szCs w:val="21"/>
        </w:rPr>
        <w:t>3312</w:t>
      </w:r>
      <w:r>
        <w:rPr>
          <w:rFonts w:hint="eastAsia" w:ascii="宋体" w:hAnsi="Times New Roman" w:cs="宋体"/>
          <w:sz w:val="28"/>
          <w:szCs w:val="21"/>
        </w:rPr>
        <w:t>万元，完成年初预算的</w:t>
      </w:r>
      <w:r>
        <w:rPr>
          <w:rFonts w:ascii="宋体" w:hAnsi="Times New Roman" w:cs="宋体"/>
          <w:sz w:val="28"/>
          <w:szCs w:val="21"/>
        </w:rPr>
        <w:t>100%</w:t>
      </w:r>
      <w:r>
        <w:rPr>
          <w:rFonts w:hint="eastAsia" w:ascii="宋体" w:hAnsi="Times New Roman" w:cs="宋体"/>
          <w:sz w:val="28"/>
          <w:szCs w:val="21"/>
        </w:rPr>
        <w:t>。主要用于产业集聚区基础设施建设。</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十、机关运行经费支出情况说明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年度机关运行经费年初预算为</w:t>
      </w:r>
      <w:r>
        <w:rPr>
          <w:rFonts w:hint="eastAsia" w:ascii="宋体" w:hAnsi="Times New Roman" w:cs="宋体"/>
          <w:sz w:val="28"/>
          <w:szCs w:val="21"/>
          <w:lang w:val="en-US" w:eastAsia="zh-CN"/>
        </w:rPr>
        <w:t>76.61</w:t>
      </w:r>
      <w:r>
        <w:rPr>
          <w:rFonts w:hint="eastAsia" w:ascii="宋体" w:hAnsi="Times New Roman" w:cs="宋体"/>
          <w:sz w:val="28"/>
          <w:szCs w:val="21"/>
        </w:rPr>
        <w:t>万元，支出决算为</w:t>
      </w:r>
      <w:r>
        <w:rPr>
          <w:rFonts w:hint="eastAsia" w:ascii="宋体" w:hAnsi="Times New Roman" w:cs="宋体"/>
          <w:sz w:val="28"/>
          <w:szCs w:val="21"/>
          <w:lang w:val="en-US" w:eastAsia="zh-CN"/>
        </w:rPr>
        <w:t>76.61</w:t>
      </w:r>
      <w:r>
        <w:rPr>
          <w:rFonts w:hint="eastAsia" w:ascii="宋体" w:hAnsi="Times New Roman" w:cs="宋体"/>
          <w:sz w:val="28"/>
          <w:szCs w:val="21"/>
        </w:rPr>
        <w:t>万元，完成年初预算的</w:t>
      </w:r>
      <w:r>
        <w:rPr>
          <w:rFonts w:hint="eastAsia" w:ascii="宋体" w:hAnsi="Times New Roman" w:cs="宋体"/>
          <w:sz w:val="28"/>
          <w:szCs w:val="21"/>
          <w:lang w:val="en-US" w:eastAsia="zh-CN"/>
        </w:rPr>
        <w:t>10</w:t>
      </w:r>
      <w:r>
        <w:rPr>
          <w:rFonts w:ascii="宋体" w:hAnsi="Times New Roman" w:cs="宋体"/>
          <w:sz w:val="28"/>
          <w:szCs w:val="21"/>
        </w:rPr>
        <w:t>0%</w:t>
      </w:r>
      <w:r>
        <w:rPr>
          <w:rFonts w:hint="eastAsia" w:ascii="宋体" w:hAnsi="Times New Roman" w:cs="宋体"/>
          <w:sz w:val="28"/>
          <w:szCs w:val="21"/>
        </w:rPr>
        <w:t>。</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十一、政府采购支出情况说明</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年度政府采购支出总额</w:t>
      </w:r>
      <w:r>
        <w:rPr>
          <w:rFonts w:ascii="宋体" w:hAnsi="Times New Roman" w:cs="宋体"/>
          <w:sz w:val="28"/>
          <w:szCs w:val="21"/>
        </w:rPr>
        <w:t>0</w:t>
      </w:r>
      <w:r>
        <w:rPr>
          <w:rFonts w:hint="eastAsia" w:ascii="宋体" w:hAnsi="Times New Roman" w:cs="宋体"/>
          <w:sz w:val="28"/>
          <w:szCs w:val="21"/>
        </w:rPr>
        <w:t>万元，其中：政府采购货物支出</w:t>
      </w:r>
      <w:r>
        <w:rPr>
          <w:rFonts w:ascii="宋体" w:hAnsi="Times New Roman" w:cs="宋体"/>
          <w:sz w:val="28"/>
          <w:szCs w:val="21"/>
        </w:rPr>
        <w:t>0</w:t>
      </w:r>
      <w:r>
        <w:rPr>
          <w:rFonts w:hint="eastAsia" w:ascii="宋体" w:hAnsi="Times New Roman" w:cs="宋体"/>
          <w:sz w:val="28"/>
          <w:szCs w:val="21"/>
        </w:rPr>
        <w:t>万元、政府采购工程支出</w:t>
      </w:r>
      <w:r>
        <w:rPr>
          <w:rFonts w:ascii="宋体" w:hAnsi="Times New Roman" w:cs="宋体"/>
          <w:sz w:val="28"/>
          <w:szCs w:val="21"/>
        </w:rPr>
        <w:t>0</w:t>
      </w:r>
      <w:r>
        <w:rPr>
          <w:rFonts w:hint="eastAsia" w:ascii="宋体" w:hAnsi="Times New Roman" w:cs="宋体"/>
          <w:sz w:val="28"/>
          <w:szCs w:val="21"/>
        </w:rPr>
        <w:t>万元、政府采购服务支出</w:t>
      </w:r>
      <w:r>
        <w:rPr>
          <w:rFonts w:ascii="宋体" w:hAnsi="Times New Roman" w:cs="宋体"/>
          <w:sz w:val="28"/>
          <w:szCs w:val="21"/>
        </w:rPr>
        <w:t>0</w:t>
      </w:r>
      <w:r>
        <w:rPr>
          <w:rFonts w:hint="eastAsia" w:ascii="宋体" w:hAnsi="Times New Roman" w:cs="宋体"/>
          <w:sz w:val="28"/>
          <w:szCs w:val="21"/>
        </w:rPr>
        <w:t>万元。授予中小企业合同金额</w:t>
      </w:r>
      <w:r>
        <w:rPr>
          <w:rFonts w:ascii="宋体" w:hAnsi="Times New Roman" w:cs="宋体"/>
          <w:sz w:val="28"/>
          <w:szCs w:val="21"/>
        </w:rPr>
        <w:t>0</w:t>
      </w:r>
      <w:r>
        <w:rPr>
          <w:rFonts w:hint="eastAsia" w:ascii="宋体" w:hAnsi="Times New Roman" w:cs="宋体"/>
          <w:sz w:val="28"/>
          <w:szCs w:val="21"/>
        </w:rPr>
        <w:t>万元，占政府采购支出总额的</w:t>
      </w:r>
      <w:r>
        <w:rPr>
          <w:rFonts w:ascii="宋体" w:hAnsi="Times New Roman" w:cs="宋体"/>
          <w:sz w:val="28"/>
          <w:szCs w:val="21"/>
        </w:rPr>
        <w:t>0%</w:t>
      </w:r>
      <w:r>
        <w:rPr>
          <w:rFonts w:hint="eastAsia" w:ascii="宋体" w:hAnsi="Times New Roman" w:cs="宋体"/>
          <w:sz w:val="28"/>
          <w:szCs w:val="21"/>
        </w:rPr>
        <w:t>，其中：授予小微企业合同金额</w:t>
      </w:r>
      <w:r>
        <w:rPr>
          <w:rFonts w:ascii="宋体" w:hAnsi="Times New Roman" w:cs="宋体"/>
          <w:sz w:val="28"/>
          <w:szCs w:val="21"/>
        </w:rPr>
        <w:t>0</w:t>
      </w:r>
      <w:r>
        <w:rPr>
          <w:rFonts w:hint="eastAsia" w:ascii="宋体" w:hAnsi="Times New Roman" w:cs="宋体"/>
          <w:sz w:val="28"/>
          <w:szCs w:val="21"/>
        </w:rPr>
        <w:t>万元，占政府采购支出总额的</w:t>
      </w:r>
      <w:r>
        <w:rPr>
          <w:rFonts w:ascii="宋体" w:hAnsi="Times New Roman" w:cs="宋体"/>
          <w:sz w:val="28"/>
          <w:szCs w:val="21"/>
        </w:rPr>
        <w:t>0%</w:t>
      </w:r>
      <w:r>
        <w:rPr>
          <w:rFonts w:hint="eastAsia" w:ascii="宋体" w:hAnsi="Times New Roman" w:cs="宋体"/>
          <w:sz w:val="28"/>
          <w:szCs w:val="21"/>
        </w:rPr>
        <w:t>。</w:t>
      </w:r>
    </w:p>
    <w:p>
      <w:pPr>
        <w:autoSpaceDE w:val="0"/>
        <w:autoSpaceDN w:val="0"/>
        <w:adjustRightInd w:val="0"/>
        <w:spacing w:beforeLines="50" w:afterLines="50" w:line="360" w:lineRule="auto"/>
        <w:ind w:firstLine="640" w:firstLineChars="200"/>
        <w:jc w:val="left"/>
        <w:rPr>
          <w:rFonts w:ascii="黑体" w:hAnsi="黑体" w:eastAsia="黑体" w:cs="宋体"/>
          <w:sz w:val="32"/>
          <w:szCs w:val="32"/>
        </w:rPr>
      </w:pPr>
      <w:r>
        <w:rPr>
          <w:rFonts w:hint="eastAsia" w:ascii="黑体" w:hAnsi="黑体" w:eastAsia="黑体" w:cs="宋体"/>
          <w:sz w:val="32"/>
          <w:szCs w:val="32"/>
        </w:rPr>
        <w:t>十二、国有资产占用情况说明</w:t>
      </w:r>
    </w:p>
    <w:p>
      <w:pPr>
        <w:autoSpaceDE w:val="0"/>
        <w:autoSpaceDN w:val="0"/>
        <w:adjustRightInd w:val="0"/>
        <w:spacing w:before="158" w:beforeLines="50" w:after="158" w:afterLines="50" w:line="360" w:lineRule="auto"/>
        <w:ind w:firstLine="560" w:firstLineChars="200"/>
        <w:jc w:val="left"/>
        <w:rPr>
          <w:rFonts w:ascii="宋体" w:hAnsi="Times New Roman" w:cs="宋体"/>
          <w:sz w:val="28"/>
          <w:szCs w:val="21"/>
        </w:rPr>
      </w:pPr>
      <w:r>
        <w:rPr>
          <w:rFonts w:ascii="宋体" w:hAnsi="Times New Roman" w:cs="宋体"/>
          <w:sz w:val="28"/>
          <w:szCs w:val="21"/>
        </w:rPr>
        <w:t>2019</w:t>
      </w:r>
      <w:r>
        <w:rPr>
          <w:rFonts w:hint="eastAsia" w:ascii="宋体" w:hAnsi="Times New Roman" w:cs="宋体"/>
          <w:sz w:val="28"/>
          <w:szCs w:val="21"/>
        </w:rPr>
        <w:t>年期末，我部门共有车辆0辆，其中：省级领导干部用车0辆、主要领导干部用车0辆、机要通信用车0辆、应急保障车0辆、执法执勤用车0辆、特种专业技术用车0辆、离退休干部用车0辆、其他用车0辆；单位价值</w:t>
      </w:r>
      <w:r>
        <w:rPr>
          <w:rFonts w:ascii="宋体" w:hAnsi="Times New Roman" w:cs="宋体"/>
          <w:sz w:val="28"/>
          <w:szCs w:val="21"/>
        </w:rPr>
        <w:t>50</w:t>
      </w:r>
      <w:r>
        <w:rPr>
          <w:rFonts w:hint="eastAsia" w:ascii="宋体" w:hAnsi="Times New Roman" w:cs="宋体"/>
          <w:sz w:val="28"/>
          <w:szCs w:val="21"/>
        </w:rPr>
        <w:t>万元以上通用设备0台（套），单位价值</w:t>
      </w:r>
      <w:r>
        <w:rPr>
          <w:rFonts w:ascii="宋体" w:hAnsi="Times New Roman" w:cs="宋体"/>
          <w:sz w:val="28"/>
          <w:szCs w:val="21"/>
        </w:rPr>
        <w:t>100</w:t>
      </w:r>
      <w:r>
        <w:rPr>
          <w:rFonts w:hint="eastAsia" w:ascii="宋体" w:hAnsi="Times New Roman" w:cs="宋体"/>
          <w:sz w:val="28"/>
          <w:szCs w:val="21"/>
        </w:rPr>
        <w:t>万元以上专用设备0台（套）。</w:t>
      </w:r>
    </w:p>
    <w:p>
      <w:pPr>
        <w:autoSpaceDE w:val="0"/>
        <w:autoSpaceDN w:val="0"/>
        <w:adjustRightInd w:val="0"/>
        <w:spacing w:beforeLines="50" w:afterLines="50" w:line="360" w:lineRule="auto"/>
        <w:ind w:firstLine="560" w:firstLineChars="200"/>
        <w:jc w:val="left"/>
        <w:rPr>
          <w:rFonts w:ascii="宋体" w:hAnsi="Times New Roman" w:cs="宋体"/>
          <w:sz w:val="28"/>
          <w:szCs w:val="21"/>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w:t>
      </w:r>
      <w:r>
        <w:rPr>
          <w:rFonts w:ascii="黑体" w:hAnsi="黑体" w:eastAsia="黑体" w:cs="黑体"/>
          <w:sz w:val="48"/>
          <w:szCs w:val="48"/>
        </w:rPr>
        <w:t xml:space="preserve">  </w:t>
      </w:r>
      <w:r>
        <w:rPr>
          <w:rFonts w:hint="eastAsia" w:ascii="黑体" w:hAnsi="黑体" w:eastAsia="黑体" w:cs="黑体"/>
          <w:sz w:val="48"/>
          <w:szCs w:val="48"/>
        </w:rPr>
        <w:t>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一、财政拨款收入：</w:t>
      </w:r>
      <w:r>
        <w:rPr>
          <w:rFonts w:hint="eastAsia" w:ascii="宋体" w:hAnsi="仿宋_GB2312" w:cs="仿宋_GB2312"/>
          <w:sz w:val="28"/>
          <w:szCs w:val="32"/>
        </w:rPr>
        <w:t>单位从同级政府财政部门取得的财政预算资金。</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二、事业收入：</w:t>
      </w:r>
      <w:r>
        <w:rPr>
          <w:rFonts w:hint="eastAsia" w:ascii="宋体" w:hAnsi="仿宋_GB2312" w:cs="仿宋_GB2312"/>
          <w:sz w:val="28"/>
          <w:szCs w:val="32"/>
        </w:rPr>
        <w:t>事业单位开展专业业务活动及其辅助活动取得的收入。</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三、上级补助收入：</w:t>
      </w:r>
      <w:r>
        <w:rPr>
          <w:rFonts w:hint="eastAsia" w:ascii="宋体" w:hAnsi="仿宋_GB2312" w:cs="仿宋_GB2312"/>
          <w:sz w:val="28"/>
          <w:szCs w:val="32"/>
        </w:rPr>
        <w:t>事业单位从主管部门和上级单位取得的非财政补助收入。</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四、附属单位上缴收入：</w:t>
      </w:r>
      <w:r>
        <w:rPr>
          <w:rFonts w:hint="eastAsia" w:ascii="宋体" w:hAnsi="仿宋_GB2312" w:cs="仿宋_GB2312"/>
          <w:sz w:val="28"/>
          <w:szCs w:val="32"/>
        </w:rPr>
        <w:t>事业单位取得附属独立核算单位根据有关规定上缴的收入。</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五、经营收入：</w:t>
      </w:r>
      <w:r>
        <w:rPr>
          <w:rFonts w:hint="eastAsia" w:ascii="宋体" w:hAnsi="仿宋_GB2312" w:cs="仿宋_GB2312"/>
          <w:sz w:val="28"/>
          <w:szCs w:val="32"/>
        </w:rPr>
        <w:t>事业单位在专业业务活动及其辅助活动之外开展非独立核算经营活动取得的收入。</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六、其他收入：</w:t>
      </w:r>
      <w:r>
        <w:rPr>
          <w:rFonts w:hint="eastAsia" w:ascii="宋体" w:hAnsi="仿宋_GB2312" w:cs="仿宋_GB2312"/>
          <w:sz w:val="28"/>
          <w:szCs w:val="32"/>
        </w:rPr>
        <w:t>单位取得的除“财政拨款收入”、“事业收入”、“上级补助收入”、“附属单位上缴收入”、“经营收入”以外的各项收入。</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七、用事业基金弥补收支差额：</w:t>
      </w:r>
      <w:r>
        <w:rPr>
          <w:rFonts w:hint="eastAsia" w:ascii="宋体" w:hAnsi="仿宋_GB2312" w:cs="仿宋_GB2312"/>
          <w:sz w:val="28"/>
          <w:szCs w:val="32"/>
        </w:rPr>
        <w:t>事业单位在当年收入不足以安排当年支出的情况下，使用以前年度积累的事业基金（事业单位当年收支相抵后按国家规定提取、用于弥补以后年度收支差额的基金）弥补当年收支缺口的资金。</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八、基本支出：</w:t>
      </w:r>
      <w:r>
        <w:rPr>
          <w:rFonts w:hint="eastAsia" w:ascii="宋体" w:hAnsi="仿宋_GB2312" w:cs="仿宋_GB2312"/>
          <w:sz w:val="28"/>
          <w:szCs w:val="32"/>
        </w:rPr>
        <w:t>为保障机构正常运转、完成日常工作任务而发生的人员支出和公用支出。</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九、项目支出：</w:t>
      </w:r>
      <w:r>
        <w:rPr>
          <w:rFonts w:hint="eastAsia" w:ascii="宋体" w:hAnsi="仿宋_GB2312" w:cs="仿宋_GB2312"/>
          <w:sz w:val="28"/>
          <w:szCs w:val="32"/>
        </w:rPr>
        <w:t>基本支出之外为完成特定行政任务和事业发展目标所发生的支出。</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十、“三公”经费：</w:t>
      </w:r>
      <w:r>
        <w:rPr>
          <w:rFonts w:hint="eastAsia" w:ascii="宋体" w:hAnsi="仿宋_GB2312" w:cs="仿宋_GB2312"/>
          <w:sz w:val="28"/>
          <w:szCs w:val="32"/>
        </w:rPr>
        <w:t>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十一、机关运行经费：</w:t>
      </w:r>
      <w:r>
        <w:rPr>
          <w:rFonts w:hint="eastAsia" w:ascii="宋体" w:hAnsi="仿宋_GB2312" w:cs="仿宋_GB2312"/>
          <w:sz w:val="28"/>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十二、工资福利支出：</w:t>
      </w:r>
      <w:r>
        <w:rPr>
          <w:rFonts w:hint="eastAsia" w:ascii="宋体" w:hAnsi="仿宋_GB2312" w:cs="仿宋_GB2312"/>
          <w:sz w:val="28"/>
          <w:szCs w:val="32"/>
        </w:rPr>
        <w:t>单位支付给在职职工和编制外长期聘用人员的各类劳动报酬，以及为上述人员缴纳的各项社会保险费等。</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十三、商品和服务支出：</w:t>
      </w:r>
      <w:r>
        <w:rPr>
          <w:rFonts w:hint="eastAsia" w:ascii="宋体" w:hAnsi="仿宋_GB2312" w:cs="仿宋_GB2312"/>
          <w:sz w:val="28"/>
          <w:szCs w:val="32"/>
        </w:rPr>
        <w:t>单位购买商品和服务的支出。</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十四、对个人和家庭的补助支出：</w:t>
      </w:r>
      <w:r>
        <w:rPr>
          <w:rFonts w:hint="eastAsia" w:ascii="宋体" w:hAnsi="仿宋_GB2312" w:cs="仿宋_GB2312"/>
          <w:sz w:val="28"/>
          <w:szCs w:val="32"/>
        </w:rPr>
        <w:t>单位用于对个人和家庭的补助支出。</w:t>
      </w:r>
    </w:p>
    <w:p>
      <w:pPr>
        <w:widowControl/>
        <w:spacing w:beforeLines="50" w:afterLines="50" w:line="360" w:lineRule="auto"/>
        <w:ind w:firstLine="640" w:firstLineChars="200"/>
        <w:jc w:val="left"/>
        <w:rPr>
          <w:rFonts w:ascii="宋体" w:hAnsi="仿宋_GB2312" w:cs="仿宋_GB2312"/>
          <w:sz w:val="28"/>
          <w:szCs w:val="32"/>
        </w:rPr>
      </w:pPr>
      <w:r>
        <w:rPr>
          <w:rFonts w:hint="eastAsia" w:ascii="黑体" w:hAnsi="黑体" w:eastAsia="黑体" w:cs="仿宋_GB2312"/>
          <w:sz w:val="32"/>
          <w:szCs w:val="32"/>
        </w:rPr>
        <w:t>十五、年末结转：</w:t>
      </w:r>
      <w:r>
        <w:rPr>
          <w:rFonts w:hint="eastAsia" w:ascii="宋体" w:hAnsi="仿宋_GB2312" w:cs="仿宋_GB2312"/>
          <w:sz w:val="28"/>
          <w:szCs w:val="32"/>
        </w:rPr>
        <w:t>本年度或以前年度预算安排，已执行但尚未完成或因客观条件发生变化无法按原计划实施，需延迟到以后年度按有关规定继续使用的资金。</w:t>
      </w:r>
    </w:p>
    <w:p>
      <w:pPr>
        <w:widowControl/>
        <w:spacing w:beforeLines="50" w:afterLines="50" w:line="360" w:lineRule="auto"/>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十六、年末结余：</w:t>
      </w:r>
      <w:r>
        <w:rPr>
          <w:rFonts w:hint="eastAsia" w:ascii="宋体" w:hAnsi="仿宋_GB2312" w:cs="仿宋_GB2312"/>
          <w:sz w:val="28"/>
          <w:szCs w:val="32"/>
        </w:rPr>
        <w:t>本年度或以前年度预算安排，已执行完毕或因客观条件发生变化无法按原预算安排实施，不需要再使用或无法按原预算安排继续使用</w:t>
      </w:r>
      <w:r>
        <w:rPr>
          <w:rFonts w:hint="eastAsia" w:ascii="仿宋_GB2312" w:hAnsi="仿宋_GB2312" w:eastAsia="仿宋_GB2312" w:cs="仿宋_GB2312"/>
          <w:sz w:val="32"/>
          <w:szCs w:val="32"/>
        </w:rPr>
        <w:t>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054" o:spid="_x0000_s4097" o:spt="202" type="#_x0000_t202" style="position:absolute;left:0pt;margin-top:0pt;height:21.95pt;width:18.75pt;mso-position-horizontal:center;mso-position-horizontal-relative:margin;mso-wrap-style:none;z-index:251659264;mso-width-relative:page;mso-height-relative:page;" filled="f" stroked="f" coordsize="21600,21600" o:gfxdata="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3l/&#10;KtIAAAADAQAADwAAAAAAAAABACAAAAAiAAAAZHJzL2Rvd25yZXYueG1sUEsBAhQAFAAAAAgAh07i&#10;QACJcUu2AQAATAMAAA4AAAAAAAAAAQAgAAAAIQEAAGRycy9lMm9Eb2MueG1sUEsFBgAAAAAGAAYA&#10;WQEAAEkFAAAAAA==&#1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- 27 -</w:t>
                </w:r>
                <w:r>
                  <w:rPr>
                    <w:sz w:val="18"/>
                  </w:rPr>
                  <w:fldChar w:fldCharType="end"/>
                </w:r>
              </w:p>
            </w:txbxContent>
          </v:textbox>
        </v:shape>
      </w:pict>
    </w:r>
    <w:r>
      <w:pict>
        <v:shape id="文本框 1027" o:spid="_x0000_s4098" o:spt="202" type="#_x0000_t202" style="position:absolute;left:0pt;margin-top:0pt;height:12.8pt;width:9.05pt;mso-position-horizontal:center;mso-position-horizontal-relative:margin;mso-wrap-style:none;z-index:251660288;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LUW&#10;tdEAAAADAQAADwAAAAAAAAABACAAAAAiAAAAZHJzL2Rvd25yZXYueG1sUEsBAhQAFAAAAAgAh07i&#10;QLi8JPm3AQAATAMAAA4AAAAAAAAAAQAgAAAAIAEAAGRycy9lMm9Eb2MueG1sUEsFBgAAAAAGAAYA&#10;WQEAAEkFAAAAAA==&#10;">
          <v:path/>
          <v:fill on="f" focussize="0,0"/>
          <v:stroke on="f" joinstyle="miter"/>
          <v:imagedata o:title=""/>
          <o:lock v:ext="edit"/>
          <v:textbox inset="0mm,0mm,0mm,0mm" style="mso-fit-shape-to-text:t;">
            <w:txbxContent>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055" o:spid="_x0000_s4099" o:spt="202" type="#_x0000_t202" style="position:absolute;left:0pt;margin-top:0pt;height:21.95pt;width:18.75pt;mso-position-horizontal:center;mso-position-horizontal-relative:margin;mso-wrap-style:none;z-index:251660288;mso-width-relative:page;mso-height-relative:page;" filled="f" stroked="f" coordsize="21600,21600" o:gfxdata="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veX8q&#10;0gAAAAMBAAAPAAAAAAAAAAEAIAAAACIAAABkcnMvZG93bnJldi54bWxQSwECFAAUAAAACACHTuJA&#10;CYciR7UBAABMAwAADgAAAAAAAAABACAAAAAhAQAAZHJzL2Uyb0RvYy54bWxQSwUGAAAAAAYABgBZ&#10;AQAASAUAAAAA&#1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- 28 -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A183B"/>
    <w:multiLevelType w:val="singleLevel"/>
    <w:tmpl w:val="887A183B"/>
    <w:lvl w:ilvl="0" w:tentative="0">
      <w:start w:val="1"/>
      <w:numFmt w:val="decimal"/>
      <w:suff w:val="nothing"/>
      <w:lvlText w:val="%1．"/>
      <w:lvlJc w:val="left"/>
      <w:rPr>
        <w:rFonts w:cs="Times New Roman"/>
      </w:rPr>
    </w:lvl>
  </w:abstractNum>
  <w:abstractNum w:abstractNumId="1">
    <w:nsid w:val="DCC164C3"/>
    <w:multiLevelType w:val="singleLevel"/>
    <w:tmpl w:val="DCC164C3"/>
    <w:lvl w:ilvl="0" w:tentative="0">
      <w:start w:val="2"/>
      <w:numFmt w:val="decimal"/>
      <w:suff w:val="nothing"/>
      <w:lvlText w:val="%1．"/>
      <w:lvlJc w:val="left"/>
    </w:lvl>
  </w:abstractNum>
  <w:abstractNum w:abstractNumId="2">
    <w:nsid w:val="4417AD7B"/>
    <w:multiLevelType w:val="singleLevel"/>
    <w:tmpl w:val="4417AD7B"/>
    <w:lvl w:ilvl="0" w:tentative="0">
      <w:start w:val="3"/>
      <w:numFmt w:val="decimal"/>
      <w:lvlText w:val="%1."/>
      <w:lvlJc w:val="left"/>
      <w:pPr>
        <w:tabs>
          <w:tab w:val="left" w:pos="312"/>
        </w:tabs>
      </w:pPr>
    </w:lvl>
  </w:abstractNum>
  <w:abstractNum w:abstractNumId="3">
    <w:nsid w:val="5971BE17"/>
    <w:multiLevelType w:val="singleLevel"/>
    <w:tmpl w:val="5971BE17"/>
    <w:lvl w:ilvl="0" w:tentative="0">
      <w:start w:val="1"/>
      <w:numFmt w:val="chineseCounting"/>
      <w:suff w:val="nothing"/>
      <w:lvlText w:val="%1、"/>
      <w:lvlJc w:val="left"/>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08BD"/>
    <w:rsid w:val="00013B11"/>
    <w:rsid w:val="000270E8"/>
    <w:rsid w:val="00057AFD"/>
    <w:rsid w:val="00076410"/>
    <w:rsid w:val="000C073B"/>
    <w:rsid w:val="000D0C02"/>
    <w:rsid w:val="001003F8"/>
    <w:rsid w:val="001153BE"/>
    <w:rsid w:val="001231E1"/>
    <w:rsid w:val="00144159"/>
    <w:rsid w:val="00160D3C"/>
    <w:rsid w:val="001718A8"/>
    <w:rsid w:val="00172A27"/>
    <w:rsid w:val="00182842"/>
    <w:rsid w:val="00182A62"/>
    <w:rsid w:val="001905F2"/>
    <w:rsid w:val="001C6153"/>
    <w:rsid w:val="001D61B1"/>
    <w:rsid w:val="001F5040"/>
    <w:rsid w:val="002006EB"/>
    <w:rsid w:val="002471BF"/>
    <w:rsid w:val="002563E3"/>
    <w:rsid w:val="00260D70"/>
    <w:rsid w:val="00282C7F"/>
    <w:rsid w:val="00287811"/>
    <w:rsid w:val="002A350B"/>
    <w:rsid w:val="002B3F94"/>
    <w:rsid w:val="002C7F37"/>
    <w:rsid w:val="002E6A86"/>
    <w:rsid w:val="00304D04"/>
    <w:rsid w:val="00305B88"/>
    <w:rsid w:val="00315FEB"/>
    <w:rsid w:val="00357D69"/>
    <w:rsid w:val="003B1500"/>
    <w:rsid w:val="003F1037"/>
    <w:rsid w:val="004114FA"/>
    <w:rsid w:val="004252DC"/>
    <w:rsid w:val="0042585F"/>
    <w:rsid w:val="00434D5C"/>
    <w:rsid w:val="00440CC5"/>
    <w:rsid w:val="0044361E"/>
    <w:rsid w:val="00445CAC"/>
    <w:rsid w:val="00467969"/>
    <w:rsid w:val="00472E19"/>
    <w:rsid w:val="00473841"/>
    <w:rsid w:val="00487869"/>
    <w:rsid w:val="00492AE7"/>
    <w:rsid w:val="00493D19"/>
    <w:rsid w:val="004B15EB"/>
    <w:rsid w:val="004D5275"/>
    <w:rsid w:val="004E0289"/>
    <w:rsid w:val="00500F1F"/>
    <w:rsid w:val="00504C3F"/>
    <w:rsid w:val="00507364"/>
    <w:rsid w:val="00546F7C"/>
    <w:rsid w:val="00555608"/>
    <w:rsid w:val="00555BFD"/>
    <w:rsid w:val="00561CB9"/>
    <w:rsid w:val="0059125E"/>
    <w:rsid w:val="005A0C2F"/>
    <w:rsid w:val="005B1AE2"/>
    <w:rsid w:val="005C1110"/>
    <w:rsid w:val="006228C4"/>
    <w:rsid w:val="00625A81"/>
    <w:rsid w:val="006512DD"/>
    <w:rsid w:val="00656BEF"/>
    <w:rsid w:val="00656D75"/>
    <w:rsid w:val="00657E86"/>
    <w:rsid w:val="00661173"/>
    <w:rsid w:val="00673EF7"/>
    <w:rsid w:val="00693491"/>
    <w:rsid w:val="0069449E"/>
    <w:rsid w:val="006C07F0"/>
    <w:rsid w:val="006C644A"/>
    <w:rsid w:val="006C7D84"/>
    <w:rsid w:val="00705E68"/>
    <w:rsid w:val="00713965"/>
    <w:rsid w:val="007148E8"/>
    <w:rsid w:val="00733DAA"/>
    <w:rsid w:val="00742BA0"/>
    <w:rsid w:val="00753545"/>
    <w:rsid w:val="00764156"/>
    <w:rsid w:val="007706D7"/>
    <w:rsid w:val="007879ED"/>
    <w:rsid w:val="00792B0A"/>
    <w:rsid w:val="007A29E5"/>
    <w:rsid w:val="007A48A3"/>
    <w:rsid w:val="007C029F"/>
    <w:rsid w:val="007C7F49"/>
    <w:rsid w:val="007D2A21"/>
    <w:rsid w:val="007E299C"/>
    <w:rsid w:val="007E762B"/>
    <w:rsid w:val="007E76CB"/>
    <w:rsid w:val="007F4C7E"/>
    <w:rsid w:val="007F74EE"/>
    <w:rsid w:val="008203F8"/>
    <w:rsid w:val="00843461"/>
    <w:rsid w:val="00867A3D"/>
    <w:rsid w:val="00872946"/>
    <w:rsid w:val="0088023A"/>
    <w:rsid w:val="008858FB"/>
    <w:rsid w:val="00894B41"/>
    <w:rsid w:val="008A3C8B"/>
    <w:rsid w:val="008B5427"/>
    <w:rsid w:val="00903F6B"/>
    <w:rsid w:val="009173F9"/>
    <w:rsid w:val="00925B95"/>
    <w:rsid w:val="00975A04"/>
    <w:rsid w:val="009D4415"/>
    <w:rsid w:val="009E0C01"/>
    <w:rsid w:val="009E26B5"/>
    <w:rsid w:val="009F546E"/>
    <w:rsid w:val="00A079F0"/>
    <w:rsid w:val="00A162AF"/>
    <w:rsid w:val="00A57BF7"/>
    <w:rsid w:val="00A83D8A"/>
    <w:rsid w:val="00A93E7D"/>
    <w:rsid w:val="00AA260E"/>
    <w:rsid w:val="00AA44CB"/>
    <w:rsid w:val="00AA67CD"/>
    <w:rsid w:val="00AA7B47"/>
    <w:rsid w:val="00AD6761"/>
    <w:rsid w:val="00AE600E"/>
    <w:rsid w:val="00B0083B"/>
    <w:rsid w:val="00B10416"/>
    <w:rsid w:val="00B209B8"/>
    <w:rsid w:val="00B249F3"/>
    <w:rsid w:val="00B45DE5"/>
    <w:rsid w:val="00B610A8"/>
    <w:rsid w:val="00B710DD"/>
    <w:rsid w:val="00B84557"/>
    <w:rsid w:val="00BE45F4"/>
    <w:rsid w:val="00BE5A85"/>
    <w:rsid w:val="00BF5718"/>
    <w:rsid w:val="00C3106E"/>
    <w:rsid w:val="00C60609"/>
    <w:rsid w:val="00C9048C"/>
    <w:rsid w:val="00C95CC1"/>
    <w:rsid w:val="00CA3F44"/>
    <w:rsid w:val="00CE212D"/>
    <w:rsid w:val="00CE4B38"/>
    <w:rsid w:val="00CE55B0"/>
    <w:rsid w:val="00D05A4F"/>
    <w:rsid w:val="00D1321A"/>
    <w:rsid w:val="00D141D5"/>
    <w:rsid w:val="00D30ADF"/>
    <w:rsid w:val="00D6315E"/>
    <w:rsid w:val="00D652C2"/>
    <w:rsid w:val="00D74EE2"/>
    <w:rsid w:val="00D83E19"/>
    <w:rsid w:val="00D86AB8"/>
    <w:rsid w:val="00D947BC"/>
    <w:rsid w:val="00DA00C9"/>
    <w:rsid w:val="00DB200E"/>
    <w:rsid w:val="00DB43E7"/>
    <w:rsid w:val="00DB65F5"/>
    <w:rsid w:val="00E01C3E"/>
    <w:rsid w:val="00E13099"/>
    <w:rsid w:val="00E4339F"/>
    <w:rsid w:val="00E60CD7"/>
    <w:rsid w:val="00E629EA"/>
    <w:rsid w:val="00E6777C"/>
    <w:rsid w:val="00EB05A3"/>
    <w:rsid w:val="00ED38B7"/>
    <w:rsid w:val="00EE051D"/>
    <w:rsid w:val="00F0131A"/>
    <w:rsid w:val="00F01404"/>
    <w:rsid w:val="00F14C17"/>
    <w:rsid w:val="00F17041"/>
    <w:rsid w:val="00F35B37"/>
    <w:rsid w:val="00F44937"/>
    <w:rsid w:val="00F61A47"/>
    <w:rsid w:val="00F84422"/>
    <w:rsid w:val="00F95455"/>
    <w:rsid w:val="00FA45A8"/>
    <w:rsid w:val="00FA574D"/>
    <w:rsid w:val="00FC4750"/>
    <w:rsid w:val="00FC515E"/>
    <w:rsid w:val="00FE7AD9"/>
    <w:rsid w:val="01322275"/>
    <w:rsid w:val="019B717E"/>
    <w:rsid w:val="01DC6F05"/>
    <w:rsid w:val="02A3489A"/>
    <w:rsid w:val="02BA4D31"/>
    <w:rsid w:val="02CA138D"/>
    <w:rsid w:val="02E238C3"/>
    <w:rsid w:val="033646FC"/>
    <w:rsid w:val="03C75F80"/>
    <w:rsid w:val="0478364D"/>
    <w:rsid w:val="04AF4BA4"/>
    <w:rsid w:val="050E70CD"/>
    <w:rsid w:val="053D4C0D"/>
    <w:rsid w:val="0557532E"/>
    <w:rsid w:val="06BF1621"/>
    <w:rsid w:val="0799329C"/>
    <w:rsid w:val="086F16A7"/>
    <w:rsid w:val="09DC24B5"/>
    <w:rsid w:val="0A0F7225"/>
    <w:rsid w:val="0A2B7D82"/>
    <w:rsid w:val="0ADC40E9"/>
    <w:rsid w:val="0AE607F4"/>
    <w:rsid w:val="0B451598"/>
    <w:rsid w:val="0BEC73F4"/>
    <w:rsid w:val="0C392698"/>
    <w:rsid w:val="0D224EC2"/>
    <w:rsid w:val="10BD36F6"/>
    <w:rsid w:val="11BF0649"/>
    <w:rsid w:val="123E3E08"/>
    <w:rsid w:val="128B036C"/>
    <w:rsid w:val="12920CA8"/>
    <w:rsid w:val="12F66B4A"/>
    <w:rsid w:val="13354546"/>
    <w:rsid w:val="161C2DFF"/>
    <w:rsid w:val="16373578"/>
    <w:rsid w:val="16380A54"/>
    <w:rsid w:val="16D3336B"/>
    <w:rsid w:val="172F406E"/>
    <w:rsid w:val="17806C36"/>
    <w:rsid w:val="17A74F62"/>
    <w:rsid w:val="18A47774"/>
    <w:rsid w:val="19352BDA"/>
    <w:rsid w:val="19C13DCF"/>
    <w:rsid w:val="1B2E6FD8"/>
    <w:rsid w:val="1B877D21"/>
    <w:rsid w:val="1C4319A9"/>
    <w:rsid w:val="1DC8441D"/>
    <w:rsid w:val="1E4D68A4"/>
    <w:rsid w:val="1E8B1443"/>
    <w:rsid w:val="1E994F4A"/>
    <w:rsid w:val="1EAF0224"/>
    <w:rsid w:val="1EB43720"/>
    <w:rsid w:val="1ED74E3A"/>
    <w:rsid w:val="1F2230A4"/>
    <w:rsid w:val="20210932"/>
    <w:rsid w:val="202448E0"/>
    <w:rsid w:val="20BE3E6B"/>
    <w:rsid w:val="21302EEA"/>
    <w:rsid w:val="22376FB5"/>
    <w:rsid w:val="23061AFB"/>
    <w:rsid w:val="23E152D7"/>
    <w:rsid w:val="242916DC"/>
    <w:rsid w:val="255D43C8"/>
    <w:rsid w:val="25FD0CE5"/>
    <w:rsid w:val="26876BDD"/>
    <w:rsid w:val="2714632A"/>
    <w:rsid w:val="272405C5"/>
    <w:rsid w:val="27B0539E"/>
    <w:rsid w:val="29365CF8"/>
    <w:rsid w:val="29397105"/>
    <w:rsid w:val="299469B3"/>
    <w:rsid w:val="29BE69C3"/>
    <w:rsid w:val="2A805789"/>
    <w:rsid w:val="2B4A0E52"/>
    <w:rsid w:val="2C975890"/>
    <w:rsid w:val="2CD427FB"/>
    <w:rsid w:val="2DEF21BB"/>
    <w:rsid w:val="2E4A2F05"/>
    <w:rsid w:val="2ECC1061"/>
    <w:rsid w:val="2FA476AD"/>
    <w:rsid w:val="303F7540"/>
    <w:rsid w:val="31CF5240"/>
    <w:rsid w:val="31DD00BF"/>
    <w:rsid w:val="323004F1"/>
    <w:rsid w:val="326D048A"/>
    <w:rsid w:val="328B2FA1"/>
    <w:rsid w:val="3293174C"/>
    <w:rsid w:val="32936002"/>
    <w:rsid w:val="32BB38D4"/>
    <w:rsid w:val="32C9376D"/>
    <w:rsid w:val="336B2E97"/>
    <w:rsid w:val="33780472"/>
    <w:rsid w:val="33933F43"/>
    <w:rsid w:val="33AF0905"/>
    <w:rsid w:val="34EB6088"/>
    <w:rsid w:val="355932F4"/>
    <w:rsid w:val="35611882"/>
    <w:rsid w:val="35EB0033"/>
    <w:rsid w:val="36746FC3"/>
    <w:rsid w:val="368763AE"/>
    <w:rsid w:val="36DA3167"/>
    <w:rsid w:val="395D59E7"/>
    <w:rsid w:val="39A93932"/>
    <w:rsid w:val="3A915562"/>
    <w:rsid w:val="3B3C4D19"/>
    <w:rsid w:val="3B7265A0"/>
    <w:rsid w:val="3B8D4765"/>
    <w:rsid w:val="3C000DBA"/>
    <w:rsid w:val="3DC045D3"/>
    <w:rsid w:val="3E504FFB"/>
    <w:rsid w:val="3E615CD0"/>
    <w:rsid w:val="3E9C47F6"/>
    <w:rsid w:val="3EB65A84"/>
    <w:rsid w:val="3F874466"/>
    <w:rsid w:val="3FAB3095"/>
    <w:rsid w:val="3FE45947"/>
    <w:rsid w:val="412253A8"/>
    <w:rsid w:val="41242965"/>
    <w:rsid w:val="42D4120D"/>
    <w:rsid w:val="43342C68"/>
    <w:rsid w:val="435671EA"/>
    <w:rsid w:val="43A1190A"/>
    <w:rsid w:val="440809E9"/>
    <w:rsid w:val="442407A6"/>
    <w:rsid w:val="44805EA1"/>
    <w:rsid w:val="451A1CB3"/>
    <w:rsid w:val="45710696"/>
    <w:rsid w:val="46142B1B"/>
    <w:rsid w:val="46C14AA3"/>
    <w:rsid w:val="47E60DD0"/>
    <w:rsid w:val="481C151D"/>
    <w:rsid w:val="482A1360"/>
    <w:rsid w:val="48735039"/>
    <w:rsid w:val="48E01CDD"/>
    <w:rsid w:val="492C684B"/>
    <w:rsid w:val="49500594"/>
    <w:rsid w:val="49E7604E"/>
    <w:rsid w:val="4BF67CDD"/>
    <w:rsid w:val="4D510320"/>
    <w:rsid w:val="4D603DD6"/>
    <w:rsid w:val="4EA71456"/>
    <w:rsid w:val="4EBF010F"/>
    <w:rsid w:val="4EF95324"/>
    <w:rsid w:val="4F471EB0"/>
    <w:rsid w:val="51015B9F"/>
    <w:rsid w:val="51331326"/>
    <w:rsid w:val="51740A7F"/>
    <w:rsid w:val="51A5541E"/>
    <w:rsid w:val="51C96242"/>
    <w:rsid w:val="537F55D7"/>
    <w:rsid w:val="53871461"/>
    <w:rsid w:val="53E140DA"/>
    <w:rsid w:val="54341889"/>
    <w:rsid w:val="54F46F60"/>
    <w:rsid w:val="55A37BEA"/>
    <w:rsid w:val="5784687B"/>
    <w:rsid w:val="57846959"/>
    <w:rsid w:val="578E6A87"/>
    <w:rsid w:val="583437CE"/>
    <w:rsid w:val="587031B7"/>
    <w:rsid w:val="58907098"/>
    <w:rsid w:val="599E6BA3"/>
    <w:rsid w:val="5A5738FA"/>
    <w:rsid w:val="5AC2203A"/>
    <w:rsid w:val="5BB8058C"/>
    <w:rsid w:val="5CBB3334"/>
    <w:rsid w:val="5CE65658"/>
    <w:rsid w:val="5D115FAF"/>
    <w:rsid w:val="621B2EA1"/>
    <w:rsid w:val="62811722"/>
    <w:rsid w:val="62E75A72"/>
    <w:rsid w:val="63DC186C"/>
    <w:rsid w:val="63F7026C"/>
    <w:rsid w:val="64571880"/>
    <w:rsid w:val="649125B6"/>
    <w:rsid w:val="652F4C1A"/>
    <w:rsid w:val="666D37F1"/>
    <w:rsid w:val="67087D8F"/>
    <w:rsid w:val="671F687E"/>
    <w:rsid w:val="6779385D"/>
    <w:rsid w:val="67F415F8"/>
    <w:rsid w:val="684B73E5"/>
    <w:rsid w:val="6A047A2A"/>
    <w:rsid w:val="6AD72251"/>
    <w:rsid w:val="6D1D2ABE"/>
    <w:rsid w:val="6F3831C3"/>
    <w:rsid w:val="70417DD1"/>
    <w:rsid w:val="70753482"/>
    <w:rsid w:val="707B522A"/>
    <w:rsid w:val="73194D05"/>
    <w:rsid w:val="736175F0"/>
    <w:rsid w:val="73A83B0E"/>
    <w:rsid w:val="744D3EF9"/>
    <w:rsid w:val="74794411"/>
    <w:rsid w:val="75113A4F"/>
    <w:rsid w:val="75867C40"/>
    <w:rsid w:val="76017935"/>
    <w:rsid w:val="76293D9A"/>
    <w:rsid w:val="7629606F"/>
    <w:rsid w:val="76432199"/>
    <w:rsid w:val="76F44829"/>
    <w:rsid w:val="77A267C0"/>
    <w:rsid w:val="78205483"/>
    <w:rsid w:val="78811C4B"/>
    <w:rsid w:val="78882278"/>
    <w:rsid w:val="78B118A6"/>
    <w:rsid w:val="78D67978"/>
    <w:rsid w:val="78DE16F4"/>
    <w:rsid w:val="79135044"/>
    <w:rsid w:val="796A28FB"/>
    <w:rsid w:val="797750B8"/>
    <w:rsid w:val="79F84B06"/>
    <w:rsid w:val="7A644B5B"/>
    <w:rsid w:val="7A7D0F99"/>
    <w:rsid w:val="7AB37BA0"/>
    <w:rsid w:val="7B2A08DE"/>
    <w:rsid w:val="7C897883"/>
    <w:rsid w:val="7C9E2AE0"/>
    <w:rsid w:val="7EFD44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nhideWhenUsed="0" w:uiPriority="99" w:semiHidden="0" w:name="footnote reference"/>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99"/>
    <w:pPr>
      <w:jc w:val="left"/>
    </w:pPr>
  </w:style>
  <w:style w:type="paragraph" w:styleId="4">
    <w:name w:val="Balloon Text"/>
    <w:basedOn w:val="1"/>
    <w:link w:val="16"/>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9"/>
    <w:qFormat/>
    <w:uiPriority w:val="99"/>
    <w:pPr>
      <w:snapToGrid w:val="0"/>
      <w:jc w:val="left"/>
    </w:pPr>
    <w:rPr>
      <w:sz w:val="18"/>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99"/>
    <w:rPr>
      <w:rFonts w:cs="Times New Roman"/>
      <w:color w:val="800080"/>
      <w:u w:val="single"/>
    </w:rPr>
  </w:style>
  <w:style w:type="character" w:styleId="12">
    <w:name w:val="Hyperlink"/>
    <w:basedOn w:val="10"/>
    <w:qFormat/>
    <w:uiPriority w:val="99"/>
    <w:rPr>
      <w:rFonts w:cs="Times New Roman"/>
      <w:color w:val="0000FF"/>
      <w:u w:val="single"/>
    </w:rPr>
  </w:style>
  <w:style w:type="character" w:styleId="13">
    <w:name w:val="footnote reference"/>
    <w:basedOn w:val="10"/>
    <w:uiPriority w:val="99"/>
    <w:rPr>
      <w:rFonts w:cs="Times New Roman"/>
      <w:vertAlign w:val="superscript"/>
    </w:rPr>
  </w:style>
  <w:style w:type="character" w:customStyle="1" w:styleId="14">
    <w:name w:val="Heading 1 Char"/>
    <w:basedOn w:val="10"/>
    <w:link w:val="2"/>
    <w:locked/>
    <w:uiPriority w:val="99"/>
    <w:rPr>
      <w:rFonts w:cs="Times New Roman"/>
      <w:b/>
      <w:bCs/>
      <w:kern w:val="44"/>
      <w:sz w:val="44"/>
      <w:szCs w:val="44"/>
    </w:rPr>
  </w:style>
  <w:style w:type="character" w:customStyle="1" w:styleId="15">
    <w:name w:val="Comment Text Char"/>
    <w:basedOn w:val="10"/>
    <w:link w:val="3"/>
    <w:semiHidden/>
    <w:qFormat/>
    <w:locked/>
    <w:uiPriority w:val="99"/>
    <w:rPr>
      <w:rFonts w:cs="Times New Roman"/>
    </w:rPr>
  </w:style>
  <w:style w:type="character" w:customStyle="1" w:styleId="16">
    <w:name w:val="Balloon Text Char"/>
    <w:basedOn w:val="10"/>
    <w:link w:val="4"/>
    <w:semiHidden/>
    <w:qFormat/>
    <w:locked/>
    <w:uiPriority w:val="99"/>
    <w:rPr>
      <w:rFonts w:cs="Times New Roman"/>
      <w:kern w:val="2"/>
      <w:sz w:val="18"/>
      <w:szCs w:val="18"/>
    </w:rPr>
  </w:style>
  <w:style w:type="character" w:customStyle="1" w:styleId="17">
    <w:name w:val="Footer Char"/>
    <w:basedOn w:val="10"/>
    <w:link w:val="5"/>
    <w:qFormat/>
    <w:locked/>
    <w:uiPriority w:val="99"/>
    <w:rPr>
      <w:rFonts w:cs="Times New Roman"/>
      <w:kern w:val="2"/>
      <w:sz w:val="18"/>
    </w:rPr>
  </w:style>
  <w:style w:type="character" w:customStyle="1" w:styleId="18">
    <w:name w:val="Header Char"/>
    <w:basedOn w:val="10"/>
    <w:link w:val="6"/>
    <w:qFormat/>
    <w:locked/>
    <w:uiPriority w:val="99"/>
    <w:rPr>
      <w:rFonts w:cs="Times New Roman"/>
      <w:kern w:val="2"/>
      <w:sz w:val="18"/>
    </w:rPr>
  </w:style>
  <w:style w:type="character" w:customStyle="1" w:styleId="19">
    <w:name w:val="Footnote Text Char"/>
    <w:basedOn w:val="10"/>
    <w:link w:val="7"/>
    <w:semiHidden/>
    <w:qFormat/>
    <w:locked/>
    <w:uiPriority w:val="99"/>
    <w:rPr>
      <w:rFonts w:cs="Times New Roman"/>
      <w:sz w:val="18"/>
      <w:szCs w:val="18"/>
    </w:rPr>
  </w:style>
  <w:style w:type="character" w:customStyle="1" w:styleId="20">
    <w:name w:val="font01"/>
    <w:basedOn w:val="10"/>
    <w:uiPriority w:val="99"/>
    <w:rPr>
      <w:rFonts w:ascii="宋体" w:hAnsi="宋体" w:eastAsia="宋体" w:cs="宋体"/>
      <w:color w:val="000000"/>
      <w:sz w:val="22"/>
      <w:szCs w:val="22"/>
      <w:u w:val="none"/>
    </w:rPr>
  </w:style>
  <w:style w:type="character" w:customStyle="1" w:styleId="21">
    <w:name w:val="font11"/>
    <w:basedOn w:val="10"/>
    <w:qFormat/>
    <w:uiPriority w:val="99"/>
    <w:rPr>
      <w:rFonts w:ascii="宋体" w:hAnsi="宋体" w:eastAsia="宋体" w:cs="宋体"/>
      <w:color w:val="000000"/>
      <w:sz w:val="20"/>
      <w:szCs w:val="20"/>
      <w:u w:val="none"/>
    </w:rPr>
  </w:style>
  <w:style w:type="character" w:customStyle="1" w:styleId="22">
    <w:name w:val="font51"/>
    <w:basedOn w:val="10"/>
    <w:qFormat/>
    <w:uiPriority w:val="99"/>
    <w:rPr>
      <w:rFonts w:ascii="宋体" w:hAnsi="宋体" w:eastAsia="宋体" w:cs="宋体"/>
      <w:color w:val="000000"/>
      <w:sz w:val="24"/>
      <w:szCs w:val="24"/>
      <w:u w:val="none"/>
    </w:rPr>
  </w:style>
  <w:style w:type="character" w:customStyle="1" w:styleId="23">
    <w:name w:val="font41"/>
    <w:basedOn w:val="10"/>
    <w:qFormat/>
    <w:uiPriority w:val="99"/>
    <w:rPr>
      <w:rFonts w:ascii="宋体" w:hAnsi="宋体" w:eastAsia="宋体" w:cs="宋体"/>
      <w:color w:val="000000"/>
      <w:sz w:val="24"/>
      <w:szCs w:val="24"/>
      <w:u w:val="none"/>
    </w:rPr>
  </w:style>
  <w:style w:type="character" w:customStyle="1" w:styleId="24">
    <w:name w:val="font21"/>
    <w:basedOn w:val="10"/>
    <w:qFormat/>
    <w:uiPriority w:val="99"/>
    <w:rPr>
      <w:rFonts w:ascii="宋体" w:hAnsi="宋体" w:eastAsia="宋体" w:cs="宋体"/>
      <w:color w:val="000000"/>
      <w:sz w:val="22"/>
      <w:szCs w:val="22"/>
      <w:u w:val="none"/>
    </w:rPr>
  </w:style>
  <w:style w:type="paragraph" w:customStyle="1" w:styleId="25">
    <w:name w:val="标题1"/>
    <w:basedOn w:val="2"/>
    <w:qFormat/>
    <w:uiPriority w:val="99"/>
    <w:pPr>
      <w:spacing w:before="0" w:after="0" w:line="240" w:lineRule="auto"/>
      <w:jc w:val="center"/>
    </w:pPr>
    <w:rPr>
      <w:rFonts w:ascii="华文中宋" w:hAnsi="华文中宋" w:eastAsia="华文中宋"/>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MS User</Company>
  <Pages>32</Pages>
  <Words>1518</Words>
  <Characters>8653</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2020-09-24T09:48:00Z</dcterms:created>
  <dc:creator>管理者</dc:creator>
  <cp:lastModifiedBy>zxkj</cp:lastModifiedBy>
  <cp:lastPrinted>2020-09-25T08:34:00Z</cp:lastPrinted>
  <dcterms:modified xsi:type="dcterms:W3CDTF">2021-06-15T13:04:34Z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E22D181EA21C4ACEA8B890D9CAC5CAD7</vt:lpwstr>
  </property>
</Properties>
</file>