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ascii="黑体" w:hAnsi="黑体" w:eastAsia="黑体" w:cs="黑体"/>
          <w:sz w:val="52"/>
          <w:szCs w:val="52"/>
        </w:rPr>
        <w:t>2019</w:t>
      </w:r>
      <w:r>
        <w:rPr>
          <w:rFonts w:hint="eastAsia" w:ascii="黑体" w:hAnsi="黑体" w:eastAsia="黑体" w:cs="黑体"/>
          <w:sz w:val="52"/>
          <w:szCs w:val="52"/>
        </w:rPr>
        <w:t>年度</w:t>
      </w:r>
    </w:p>
    <w:p>
      <w:pPr>
        <w:jc w:val="center"/>
        <w:rPr>
          <w:rFonts w:ascii="黑体" w:hAnsi="黑体" w:eastAsia="黑体" w:cs="黑体"/>
          <w:sz w:val="52"/>
          <w:szCs w:val="52"/>
        </w:rPr>
      </w:pPr>
      <w:r>
        <w:rPr>
          <w:rFonts w:hint="eastAsia" w:ascii="黑体" w:hAnsi="黑体" w:eastAsia="黑体" w:cs="黑体"/>
          <w:sz w:val="52"/>
          <w:szCs w:val="52"/>
        </w:rPr>
        <w:t>永城市财经金融服务中心部门决算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二〇二〇年九月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永城市财经金融服务中心概况</w:t>
      </w:r>
    </w:p>
    <w:p>
      <w:pPr>
        <w:numPr>
          <w:ilvl w:val="0"/>
          <w:numId w:val="1"/>
        </w:numPr>
        <w:ind w:firstLine="640" w:firstLineChars="200"/>
        <w:jc w:val="left"/>
        <w:rPr>
          <w:rFonts w:asci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2019</w:t>
      </w:r>
      <w:r>
        <w:rPr>
          <w:rFonts w:hint="eastAsia" w:ascii="黑体" w:hAnsi="黑体" w:eastAsia="黑体" w:cs="黑体"/>
          <w:sz w:val="32"/>
          <w:szCs w:val="32"/>
        </w:rPr>
        <w:t>年度部门决算表</w:t>
      </w:r>
    </w:p>
    <w:p>
      <w:pPr>
        <w:ind w:firstLine="640" w:firstLineChars="200"/>
        <w:jc w:val="left"/>
        <w:rPr>
          <w:rFonts w:ascii="宋体" w:cs="宋体"/>
          <w:sz w:val="32"/>
          <w:szCs w:val="32"/>
        </w:rPr>
      </w:pPr>
      <w:r>
        <w:rPr>
          <w:rFonts w:hint="eastAsia" w:ascii="宋体" w:hAnsi="宋体" w:cs="宋体"/>
          <w:sz w:val="32"/>
          <w:szCs w:val="32"/>
        </w:rPr>
        <w:t>一、收入支出决算总表</w:t>
      </w:r>
    </w:p>
    <w:p>
      <w:pPr>
        <w:ind w:firstLine="640" w:firstLineChars="200"/>
        <w:jc w:val="left"/>
        <w:rPr>
          <w:rFonts w:ascii="宋体" w:cs="宋体"/>
          <w:sz w:val="32"/>
          <w:szCs w:val="32"/>
        </w:rPr>
      </w:pPr>
      <w:r>
        <w:rPr>
          <w:rFonts w:hint="eastAsia" w:ascii="宋体" w:hAnsi="宋体" w:cs="宋体"/>
          <w:sz w:val="32"/>
          <w:szCs w:val="32"/>
        </w:rPr>
        <w:t>二、收入决算表</w:t>
      </w:r>
    </w:p>
    <w:p>
      <w:pPr>
        <w:ind w:firstLine="640" w:firstLineChars="200"/>
        <w:jc w:val="left"/>
        <w:rPr>
          <w:rFonts w:ascii="宋体" w:cs="宋体"/>
          <w:sz w:val="32"/>
          <w:szCs w:val="32"/>
        </w:rPr>
      </w:pPr>
      <w:r>
        <w:rPr>
          <w:rFonts w:hint="eastAsia" w:ascii="宋体" w:hAnsi="宋体" w:cs="宋体"/>
          <w:sz w:val="32"/>
          <w:szCs w:val="32"/>
        </w:rPr>
        <w:t>三、支出决算表</w:t>
      </w:r>
    </w:p>
    <w:p>
      <w:pPr>
        <w:ind w:firstLine="640" w:firstLineChars="200"/>
        <w:jc w:val="left"/>
        <w:rPr>
          <w:rFonts w:asci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2019</w:t>
      </w:r>
      <w:r>
        <w:rPr>
          <w:rFonts w:hint="eastAsia" w:ascii="黑体" w:hAnsi="黑体" w:eastAsia="黑体" w:cs="黑体"/>
          <w:sz w:val="32"/>
          <w:szCs w:val="32"/>
        </w:rPr>
        <w:t>年度部门决算情况说明</w:t>
      </w:r>
    </w:p>
    <w:p>
      <w:pPr>
        <w:ind w:firstLine="640" w:firstLineChars="200"/>
        <w:jc w:val="left"/>
        <w:rPr>
          <w:rFonts w:asci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cs="宋体"/>
          <w:sz w:val="32"/>
          <w:szCs w:val="32"/>
        </w:rPr>
      </w:pPr>
      <w:r>
        <w:rPr>
          <w:rFonts w:hint="eastAsia" w:ascii="宋体" w:hAnsi="宋体" w:cs="宋体"/>
          <w:sz w:val="32"/>
          <w:szCs w:val="32"/>
        </w:rPr>
        <w:t>二、收入决算情况说明</w:t>
      </w:r>
    </w:p>
    <w:p>
      <w:pPr>
        <w:ind w:firstLine="640" w:firstLineChars="200"/>
        <w:jc w:val="left"/>
        <w:rPr>
          <w:rFonts w:ascii="宋体" w:cs="宋体"/>
          <w:sz w:val="32"/>
          <w:szCs w:val="32"/>
        </w:rPr>
      </w:pPr>
      <w:r>
        <w:rPr>
          <w:rFonts w:hint="eastAsia" w:ascii="宋体" w:hAnsi="宋体" w:cs="宋体"/>
          <w:sz w:val="32"/>
          <w:szCs w:val="32"/>
        </w:rPr>
        <w:t>三、支出决算情况说明</w:t>
      </w:r>
    </w:p>
    <w:p>
      <w:pPr>
        <w:ind w:firstLine="640" w:firstLineChars="200"/>
        <w:jc w:val="left"/>
        <w:rPr>
          <w:rFonts w:asci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cs="宋体"/>
          <w:sz w:val="32"/>
          <w:szCs w:val="32"/>
        </w:rPr>
      </w:pPr>
      <w:r>
        <w:rPr>
          <w:rFonts w:hint="eastAsia" w:ascii="宋体" w:hAnsi="宋体" w:cs="宋体"/>
          <w:sz w:val="32"/>
          <w:szCs w:val="32"/>
        </w:rPr>
        <w:t>八、预算绩效情况说明</w:t>
      </w:r>
    </w:p>
    <w:p>
      <w:pPr>
        <w:ind w:firstLine="640" w:firstLineChars="200"/>
        <w:jc w:val="left"/>
        <w:rPr>
          <w:rFonts w:asci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cs="宋体"/>
          <w:sz w:val="32"/>
          <w:szCs w:val="32"/>
        </w:rPr>
      </w:pPr>
    </w:p>
    <w:p>
      <w:pPr>
        <w:jc w:val="left"/>
        <w:rPr>
          <w:rFonts w:ascii="黑体" w:hAnsi="黑体" w:eastAsia="黑体" w:cs="黑体"/>
          <w:sz w:val="32"/>
          <w:szCs w:val="32"/>
        </w:rPr>
        <w:sectPr>
          <w:footerReference r:id="rId9" w:type="default"/>
          <w:footerReference r:id="rId10"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pPr>
      <w:r>
        <w:rPr>
          <w:rFonts w:hint="eastAsia" w:ascii="黑体" w:hAnsi="黑体" w:eastAsia="黑体" w:cs="黑体"/>
          <w:sz w:val="48"/>
          <w:szCs w:val="48"/>
        </w:rPr>
        <w:t>第一部分</w:t>
      </w:r>
      <w:r>
        <w:rPr>
          <w:rFonts w:ascii="黑体" w:hAnsi="黑体" w:eastAsia="黑体" w:cs="黑体"/>
          <w:sz w:val="48"/>
          <w:szCs w:val="48"/>
        </w:rPr>
        <w:t xml:space="preserve">  </w:t>
      </w:r>
      <w:r>
        <w:rPr>
          <w:rFonts w:hint="eastAsia" w:ascii="黑体" w:hAnsi="黑体" w:eastAsia="黑体" w:cs="黑体"/>
          <w:sz w:val="48"/>
          <w:szCs w:val="48"/>
        </w:rPr>
        <w:t>永城市财经金融服务中心</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、贯彻执行党的路线、方针、政策和有关法律、法规、条例，结合本地实际，协助市政府制定本市地方性法规、条例及实施办法，并组织落实和监督检查。</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做好财贸金融各部门各单位之间的协调工作，完成市长交办的其他协调工作。帮助解决矛盾，理顺各种关系。</w:t>
      </w:r>
    </w:p>
    <w:p>
      <w:pPr>
        <w:ind w:firstLine="560" w:firstLineChars="200"/>
        <w:rPr>
          <w:rFonts w:ascii="宋体"/>
          <w:sz w:val="28"/>
          <w:szCs w:val="28"/>
        </w:rPr>
      </w:pPr>
      <w:r>
        <w:rPr>
          <w:rFonts w:ascii="宋体" w:hAnsi="宋体"/>
          <w:sz w:val="28"/>
          <w:szCs w:val="28"/>
        </w:rPr>
        <w:t>3</w:t>
      </w:r>
      <w:r>
        <w:rPr>
          <w:rFonts w:hint="eastAsia" w:ascii="宋体" w:hAnsi="宋体"/>
          <w:sz w:val="28"/>
          <w:szCs w:val="28"/>
        </w:rPr>
        <w:t>、按照国务院的要求，在市政府领导下，组织协调各职能部门抓好税收、财务、物价大检查工作。</w:t>
      </w:r>
    </w:p>
    <w:p>
      <w:pPr>
        <w:ind w:firstLine="560" w:firstLineChars="200"/>
        <w:rPr>
          <w:rFonts w:ascii="宋体"/>
          <w:sz w:val="28"/>
          <w:szCs w:val="28"/>
        </w:rPr>
      </w:pPr>
      <w:r>
        <w:rPr>
          <w:rFonts w:ascii="宋体" w:hAnsi="宋体"/>
          <w:sz w:val="28"/>
          <w:szCs w:val="28"/>
        </w:rPr>
        <w:t>4</w:t>
      </w:r>
      <w:r>
        <w:rPr>
          <w:rFonts w:hint="eastAsia" w:ascii="宋体" w:hAnsi="宋体"/>
          <w:sz w:val="28"/>
          <w:szCs w:val="28"/>
        </w:rPr>
        <w:t>、承办市委、市政府交办的其他事项。</w:t>
      </w:r>
    </w:p>
    <w:p>
      <w:pPr>
        <w:ind w:firstLine="560" w:firstLineChars="200"/>
        <w:rPr>
          <w:rFonts w:ascii="宋体"/>
          <w:sz w:val="28"/>
          <w:szCs w:val="28"/>
        </w:rPr>
      </w:pPr>
      <w:r>
        <w:rPr>
          <w:rFonts w:ascii="宋体" w:hAnsi="宋体"/>
          <w:sz w:val="28"/>
          <w:szCs w:val="28"/>
        </w:rPr>
        <w:t>5</w:t>
      </w:r>
      <w:r>
        <w:rPr>
          <w:rFonts w:hint="eastAsia" w:ascii="宋体" w:hAnsi="宋体"/>
          <w:sz w:val="28"/>
          <w:szCs w:val="28"/>
        </w:rPr>
        <w:t>、贯彻执行党和国家金融工作法律、法规和方针、政策；落实市委有关决议、指示；研究分析国内外金融形势和全市金融业发展重大问题，牵头拟订全市金融业发展中长期规划；拟订有关金融业发展的指导意见和政策建议。</w:t>
      </w:r>
    </w:p>
    <w:p>
      <w:pPr>
        <w:ind w:firstLine="560" w:firstLineChars="200"/>
        <w:rPr>
          <w:rFonts w:ascii="宋体"/>
          <w:sz w:val="28"/>
          <w:szCs w:val="28"/>
        </w:rPr>
      </w:pPr>
      <w:r>
        <w:rPr>
          <w:rFonts w:ascii="宋体" w:hAnsi="宋体"/>
          <w:sz w:val="28"/>
          <w:szCs w:val="28"/>
        </w:rPr>
        <w:t>6</w:t>
      </w:r>
      <w:r>
        <w:rPr>
          <w:rFonts w:hint="eastAsia" w:ascii="宋体" w:hAnsi="宋体"/>
          <w:sz w:val="28"/>
          <w:szCs w:val="28"/>
        </w:rPr>
        <w:t>、负责协调联络国家和省金融管理部门、金融机构及其驻永分支机构；引进市外和外资金融机构入驻永城；组织开展政府与金融机构合作、金融机构和企业对接，引导、协调和鼓励金融机构加大对全市经济社会发展的支持力度。</w:t>
      </w:r>
    </w:p>
    <w:p>
      <w:pPr>
        <w:ind w:firstLine="560" w:firstLineChars="200"/>
        <w:rPr>
          <w:rFonts w:ascii="宋体"/>
          <w:sz w:val="28"/>
          <w:szCs w:val="28"/>
        </w:rPr>
      </w:pPr>
      <w:r>
        <w:rPr>
          <w:rFonts w:ascii="宋体" w:hAnsi="宋体"/>
          <w:sz w:val="28"/>
          <w:szCs w:val="28"/>
        </w:rPr>
        <w:t>7</w:t>
      </w:r>
      <w:r>
        <w:rPr>
          <w:rFonts w:hint="eastAsia" w:ascii="宋体" w:hAnsi="宋体"/>
          <w:sz w:val="28"/>
          <w:szCs w:val="28"/>
        </w:rPr>
        <w:t>、负责全市各类交易场所的日常监管、统计监测、违规处理、风险处置等工作。负责小额贷款公司和融资性担保机构的监督管理。</w:t>
      </w:r>
    </w:p>
    <w:p>
      <w:pPr>
        <w:ind w:firstLine="560" w:firstLineChars="200"/>
        <w:rPr>
          <w:rFonts w:ascii="宋体"/>
          <w:sz w:val="28"/>
          <w:szCs w:val="28"/>
        </w:rPr>
      </w:pPr>
      <w:r>
        <w:rPr>
          <w:rFonts w:ascii="宋体" w:hAnsi="宋体"/>
          <w:sz w:val="28"/>
          <w:szCs w:val="28"/>
        </w:rPr>
        <w:t>8</w:t>
      </w:r>
      <w:r>
        <w:rPr>
          <w:rFonts w:hint="eastAsia" w:ascii="宋体" w:hAnsi="宋体"/>
          <w:sz w:val="28"/>
          <w:szCs w:val="28"/>
        </w:rPr>
        <w:t>、会同有关部门防范、化解和处置全省金融风险；协调有关部门做好打击非法集资、非法证券买卖和反洗钱、反假币工作；会同有关部门推进全省金融生态环境建设。</w:t>
      </w:r>
    </w:p>
    <w:p>
      <w:pPr>
        <w:ind w:firstLine="560" w:firstLineChars="200"/>
        <w:rPr>
          <w:rFonts w:ascii="宋体"/>
          <w:sz w:val="28"/>
          <w:szCs w:val="28"/>
        </w:rPr>
      </w:pPr>
      <w:r>
        <w:rPr>
          <w:rFonts w:ascii="宋体" w:hAnsi="宋体"/>
          <w:sz w:val="28"/>
          <w:szCs w:val="28"/>
        </w:rPr>
        <w:t>9</w:t>
      </w:r>
      <w:r>
        <w:rPr>
          <w:rFonts w:hint="eastAsia" w:ascii="宋体" w:hAnsi="宋体"/>
          <w:sz w:val="28"/>
          <w:szCs w:val="28"/>
        </w:rPr>
        <w:t>、负责全市打击和处置非法集资工作的综合协调工作。</w:t>
      </w:r>
    </w:p>
    <w:p>
      <w:pPr>
        <w:ind w:firstLine="560" w:firstLineChars="200"/>
        <w:rPr>
          <w:rFonts w:ascii="宋体"/>
          <w:sz w:val="28"/>
          <w:szCs w:val="28"/>
        </w:rPr>
      </w:pPr>
      <w:r>
        <w:rPr>
          <w:rFonts w:ascii="宋体" w:hAnsi="宋体"/>
          <w:sz w:val="28"/>
          <w:szCs w:val="28"/>
        </w:rPr>
        <w:t>10</w:t>
      </w:r>
      <w:r>
        <w:rPr>
          <w:rFonts w:hint="eastAsia" w:ascii="宋体" w:hAnsi="宋体"/>
          <w:sz w:val="28"/>
          <w:szCs w:val="28"/>
        </w:rPr>
        <w:t>、协调、配合打非领导小组成员单位开展工作，及时传达领导的有关指示要求和批示精神，对领导交办的事项进行催办、督办，并记录备查。</w:t>
      </w:r>
    </w:p>
    <w:p>
      <w:pPr>
        <w:ind w:firstLine="560" w:firstLineChars="200"/>
        <w:rPr>
          <w:rFonts w:ascii="宋体"/>
          <w:sz w:val="28"/>
          <w:szCs w:val="28"/>
        </w:rPr>
      </w:pPr>
      <w:r>
        <w:rPr>
          <w:rFonts w:ascii="宋体" w:hAnsi="宋体"/>
          <w:sz w:val="28"/>
          <w:szCs w:val="28"/>
        </w:rPr>
        <w:t>11</w:t>
      </w:r>
      <w:r>
        <w:rPr>
          <w:rFonts w:hint="eastAsia" w:ascii="宋体" w:hAnsi="宋体"/>
          <w:sz w:val="28"/>
          <w:szCs w:val="28"/>
        </w:rPr>
        <w:t>、负责制定全市打击和处置非法集资宣传教育的工作规划并组织落实。</w:t>
      </w:r>
    </w:p>
    <w:p>
      <w:pPr>
        <w:ind w:firstLine="560" w:firstLineChars="200"/>
        <w:rPr>
          <w:rFonts w:ascii="宋体"/>
          <w:sz w:val="28"/>
          <w:szCs w:val="28"/>
        </w:rPr>
      </w:pPr>
      <w:r>
        <w:rPr>
          <w:rFonts w:ascii="宋体" w:hAnsi="宋体"/>
          <w:sz w:val="28"/>
          <w:szCs w:val="28"/>
        </w:rPr>
        <w:t>12</w:t>
      </w:r>
      <w:r>
        <w:rPr>
          <w:rFonts w:hint="eastAsia" w:ascii="宋体" w:hAnsi="宋体"/>
          <w:sz w:val="28"/>
          <w:szCs w:val="28"/>
        </w:rPr>
        <w:t>、严格值班制度，确保信息畅通。</w:t>
      </w:r>
    </w:p>
    <w:p>
      <w:pPr>
        <w:ind w:firstLine="560" w:firstLineChars="200"/>
        <w:rPr>
          <w:rFonts w:ascii="宋体"/>
          <w:sz w:val="28"/>
          <w:szCs w:val="28"/>
        </w:rPr>
      </w:pPr>
      <w:r>
        <w:rPr>
          <w:rFonts w:ascii="宋体" w:hAnsi="宋体"/>
          <w:sz w:val="28"/>
          <w:szCs w:val="28"/>
        </w:rPr>
        <w:t>13</w:t>
      </w:r>
      <w:r>
        <w:rPr>
          <w:rFonts w:hint="eastAsia" w:ascii="宋体" w:hAnsi="宋体"/>
          <w:sz w:val="28"/>
          <w:szCs w:val="28"/>
        </w:rPr>
        <w:t>、完成领导交办的其他工作。</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ind w:firstLine="560" w:firstLineChars="200"/>
        <w:rPr>
          <w:rFonts w:ascii="宋体"/>
          <w:sz w:val="28"/>
          <w:szCs w:val="28"/>
        </w:rPr>
      </w:pPr>
      <w:r>
        <w:rPr>
          <w:rFonts w:hint="eastAsia" w:ascii="宋体" w:hAnsi="宋体"/>
          <w:sz w:val="28"/>
          <w:szCs w:val="28"/>
        </w:rPr>
        <w:t>永城市财经金融服务中心内设机构</w:t>
      </w:r>
      <w:r>
        <w:rPr>
          <w:rFonts w:ascii="宋体" w:hAnsi="宋体"/>
          <w:sz w:val="28"/>
          <w:szCs w:val="28"/>
        </w:rPr>
        <w:t>4</w:t>
      </w:r>
      <w:r>
        <w:rPr>
          <w:rFonts w:hint="eastAsia" w:ascii="宋体" w:hAnsi="宋体"/>
          <w:sz w:val="28"/>
          <w:szCs w:val="28"/>
        </w:rPr>
        <w:t>科</w:t>
      </w:r>
      <w:r>
        <w:rPr>
          <w:rFonts w:ascii="宋体" w:hAnsi="宋体"/>
          <w:sz w:val="28"/>
          <w:szCs w:val="28"/>
        </w:rPr>
        <w:t>1</w:t>
      </w:r>
      <w:r>
        <w:rPr>
          <w:rFonts w:hint="eastAsia" w:ascii="宋体" w:hAnsi="宋体"/>
          <w:sz w:val="28"/>
          <w:szCs w:val="28"/>
        </w:rPr>
        <w:t>室，包括：银行保险和资本市场科，金融稳定科，小贷担保科，财务统计科，另外还设办公室。</w:t>
      </w:r>
    </w:p>
    <w:p>
      <w:pPr>
        <w:ind w:firstLine="560" w:firstLineChars="200"/>
        <w:rPr>
          <w:rFonts w:ascii="宋体"/>
          <w:sz w:val="28"/>
          <w:szCs w:val="28"/>
        </w:rPr>
      </w:pPr>
      <w:r>
        <w:rPr>
          <w:rFonts w:hint="eastAsia" w:ascii="宋体" w:hAnsi="宋体"/>
          <w:sz w:val="28"/>
          <w:szCs w:val="28"/>
        </w:rPr>
        <w:t>从决算单位构成看，永城市财经金融服务中心部门决算包括：本级决算、所属单位决算。</w:t>
      </w:r>
    </w:p>
    <w:p>
      <w:pPr>
        <w:ind w:firstLine="560" w:firstLineChars="200"/>
        <w:rPr>
          <w:rFonts w:ascii="宋体"/>
          <w:sz w:val="28"/>
          <w:szCs w:val="28"/>
        </w:rPr>
      </w:pPr>
      <w:r>
        <w:rPr>
          <w:rFonts w:hint="eastAsia" w:ascii="宋体" w:hAnsi="宋体"/>
          <w:sz w:val="28"/>
          <w:szCs w:val="28"/>
        </w:rPr>
        <w:t>纳入本部门</w:t>
      </w:r>
      <w:r>
        <w:rPr>
          <w:rFonts w:ascii="宋体" w:hAnsi="宋体"/>
          <w:sz w:val="28"/>
          <w:szCs w:val="28"/>
        </w:rPr>
        <w:t>2019</w:t>
      </w:r>
      <w:r>
        <w:rPr>
          <w:rFonts w:hint="eastAsia" w:ascii="宋体" w:hAnsi="宋体"/>
          <w:sz w:val="28"/>
          <w:szCs w:val="28"/>
        </w:rPr>
        <w:t>年度部门决算编制范围的单位共</w:t>
      </w:r>
      <w:r>
        <w:rPr>
          <w:rFonts w:ascii="宋体" w:hAnsi="宋体"/>
          <w:sz w:val="28"/>
          <w:szCs w:val="28"/>
        </w:rPr>
        <w:t>1</w:t>
      </w:r>
      <w:r>
        <w:rPr>
          <w:rFonts w:hint="eastAsia" w:ascii="宋体" w:hAnsi="宋体"/>
          <w:sz w:val="28"/>
          <w:szCs w:val="28"/>
        </w:rPr>
        <w:t>个，其中二级预算单位</w:t>
      </w:r>
      <w:r>
        <w:rPr>
          <w:rFonts w:ascii="宋体"/>
          <w:sz w:val="28"/>
          <w:szCs w:val="28"/>
        </w:rPr>
        <w:t>0</w:t>
      </w:r>
      <w:r>
        <w:rPr>
          <w:rFonts w:hint="eastAsia" w:ascii="宋体" w:hAnsi="宋体"/>
          <w:sz w:val="28"/>
          <w:szCs w:val="28"/>
        </w:rPr>
        <w:t>个，具体是：</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财经金融服务中心本级</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r>
        <w:rPr>
          <w:rFonts w:ascii="黑体" w:hAnsi="黑体" w:eastAsia="黑体" w:cs="黑体"/>
          <w:sz w:val="48"/>
          <w:szCs w:val="48"/>
        </w:rPr>
        <w:t xml:space="preserve">  2019</w:t>
      </w:r>
      <w:r>
        <w:rPr>
          <w:rFonts w:hint="eastAsia" w:ascii="黑体" w:hAnsi="黑体" w:eastAsia="黑体" w:cs="黑体"/>
          <w:sz w:val="48"/>
          <w:szCs w:val="48"/>
        </w:rPr>
        <w:t>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部门：永城市财经金融服务中心</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382.76</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240.07</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七、文化体育与传媒支出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28.14</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九、医疗卫生与计划生育支出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135.45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十三、交通运输支出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十四、资源勘探信息等支出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43</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十五、商业服务业等支出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十六、金融支出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十七、援助其他地区支出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十八、国土海洋气象等支出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十九、住房保障支出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二十、粮油物资储备支出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二十一、其他支出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二十二、债务还本支出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二十三、债务付息支出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382.76</w:t>
            </w: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
                <w:color w:val="000000"/>
                <w:sz w:val="20"/>
                <w:szCs w:val="20"/>
              </w:rPr>
            </w:pPr>
            <w:r>
              <w:rPr>
                <w:rFonts w:ascii="宋体" w:hAnsi="宋体" w:cs="宋体"/>
                <w:b/>
                <w:color w:val="000000"/>
                <w:sz w:val="20"/>
                <w:szCs w:val="20"/>
              </w:rPr>
              <w:t>403.66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20.9</w:t>
            </w: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76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176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403.66</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宋体" w:cs="宋体"/>
                <w:b/>
                <w:color w:val="000000"/>
                <w:sz w:val="20"/>
                <w:szCs w:val="20"/>
              </w:rPr>
            </w:pPr>
            <w:r>
              <w:rPr>
                <w:rFonts w:ascii="宋体" w:hAnsi="宋体" w:cs="宋体"/>
                <w:b/>
                <w:color w:val="000000"/>
                <w:sz w:val="20"/>
                <w:szCs w:val="20"/>
              </w:rPr>
              <w:t>403.66</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1027"/>
        <w:gridCol w:w="59"/>
        <w:gridCol w:w="2048"/>
        <w:gridCol w:w="1417"/>
        <w:gridCol w:w="284"/>
        <w:gridCol w:w="142"/>
        <w:gridCol w:w="1134"/>
        <w:gridCol w:w="1035"/>
        <w:gridCol w:w="524"/>
        <w:gridCol w:w="1029"/>
        <w:gridCol w:w="388"/>
        <w:gridCol w:w="1165"/>
        <w:gridCol w:w="310"/>
        <w:gridCol w:w="1243"/>
        <w:gridCol w:w="398"/>
        <w:gridCol w:w="1420"/>
        <w:gridCol w:w="222"/>
        <w:gridCol w:w="130"/>
      </w:tblGrid>
      <w:tr>
        <w:tblPrEx>
          <w:tblCellMar>
            <w:top w:w="0" w:type="dxa"/>
            <w:left w:w="0" w:type="dxa"/>
            <w:bottom w:w="0" w:type="dxa"/>
            <w:right w:w="0" w:type="dxa"/>
          </w:tblCellMar>
        </w:tblPrEx>
        <w:trPr>
          <w:gridAfter w:val="1"/>
          <w:wAfter w:w="130" w:type="dxa"/>
          <w:trHeight w:val="435" w:hRule="atLeast"/>
        </w:trPr>
        <w:tc>
          <w:tcPr>
            <w:tcW w:w="13845" w:type="dxa"/>
            <w:gridSpan w:val="17"/>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CellMar>
            <w:top w:w="0" w:type="dxa"/>
            <w:left w:w="0" w:type="dxa"/>
            <w:bottom w:w="0" w:type="dxa"/>
            <w:right w:w="0" w:type="dxa"/>
          </w:tblCellMar>
        </w:tblPrEx>
        <w:trPr>
          <w:trHeight w:val="285" w:hRule="atLeast"/>
        </w:trPr>
        <w:tc>
          <w:tcPr>
            <w:tcW w:w="7146" w:type="dxa"/>
            <w:gridSpan w:val="8"/>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170" w:type="dxa"/>
            <w:gridSpan w:val="4"/>
            <w:tcBorders>
              <w:top w:val="nil"/>
              <w:left w:val="nil"/>
              <w:bottom w:val="nil"/>
              <w:right w:val="nil"/>
            </w:tcBorders>
            <w:shd w:val="clear" w:color="auto" w:fill="FFFFFF"/>
            <w:noWrap/>
            <w:tcMar>
              <w:top w:w="15" w:type="dxa"/>
              <w:left w:w="15" w:type="dxa"/>
              <w:right w:w="15" w:type="dxa"/>
            </w:tcMar>
            <w:vAlign w:val="center"/>
          </w:tcPr>
          <w:p>
            <w:pPr>
              <w:widowControl/>
              <w:ind w:right="400"/>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gridAfter w:val="2"/>
          <w:wAfter w:w="352" w:type="dxa"/>
          <w:trHeight w:val="300"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部门：永城</w:t>
            </w:r>
            <w:r>
              <w:rPr>
                <w:rFonts w:ascii="宋体" w:hAnsi="宋体" w:cs="宋体"/>
                <w:color w:val="000000"/>
                <w:sz w:val="20"/>
                <w:szCs w:val="20"/>
              </w:rPr>
              <w:t xml:space="preserve"> </w:t>
            </w:r>
          </w:p>
        </w:tc>
        <w:tc>
          <w:tcPr>
            <w:tcW w:w="3808" w:type="dxa"/>
            <w:gridSpan w:val="4"/>
            <w:tcBorders>
              <w:top w:val="nil"/>
              <w:left w:val="nil"/>
              <w:bottom w:val="nil"/>
              <w:right w:val="nil"/>
            </w:tcBorders>
            <w:shd w:val="clear" w:color="auto" w:fill="FFFFFF"/>
            <w:noWrap/>
            <w:tcMar>
              <w:top w:w="15" w:type="dxa"/>
              <w:left w:w="15" w:type="dxa"/>
              <w:right w:w="15" w:type="dxa"/>
            </w:tcMar>
            <w:vAlign w:val="center"/>
          </w:tcPr>
          <w:p>
            <w:pPr>
              <w:ind w:right="400"/>
              <w:rPr>
                <w:rFonts w:ascii="宋体" w:cs="宋体"/>
                <w:color w:val="000000"/>
                <w:sz w:val="20"/>
                <w:szCs w:val="20"/>
              </w:rPr>
            </w:pPr>
            <w:r>
              <w:rPr>
                <w:rFonts w:hint="eastAsia" w:ascii="宋体" w:hAnsi="宋体" w:cs="宋体"/>
                <w:color w:val="000000"/>
                <w:sz w:val="20"/>
                <w:szCs w:val="20"/>
              </w:rPr>
              <w:t>市财经金融服务中心</w:t>
            </w:r>
            <w:r>
              <w:rPr>
                <w:rFonts w:ascii="宋体" w:hAnsi="宋体" w:cs="宋体"/>
                <w:color w:val="000000"/>
                <w:sz w:val="20"/>
                <w:szCs w:val="20"/>
              </w:rPr>
              <w:t xml:space="preserve">            </w:t>
            </w:r>
          </w:p>
        </w:tc>
        <w:tc>
          <w:tcPr>
            <w:tcW w:w="142" w:type="dxa"/>
            <w:tcBorders>
              <w:top w:val="nil"/>
              <w:left w:val="nil"/>
              <w:bottom w:val="nil"/>
              <w:right w:val="nil"/>
            </w:tcBorders>
            <w:shd w:val="clear" w:color="auto" w:fill="FFFFFF"/>
            <w:noWrap/>
            <w:tcMar>
              <w:top w:w="15" w:type="dxa"/>
              <w:left w:w="15" w:type="dxa"/>
              <w:right w:w="15" w:type="dxa"/>
            </w:tcMar>
            <w:vAlign w:val="center"/>
          </w:tcPr>
          <w:p>
            <w:pPr>
              <w:wordWrap w:val="0"/>
              <w:jc w:val="right"/>
              <w:rPr>
                <w:rFonts w:ascii="宋体" w:cs="宋体"/>
                <w:color w:val="000000"/>
                <w:sz w:val="20"/>
                <w:szCs w:val="20"/>
              </w:rPr>
            </w:pPr>
            <w:r>
              <w:rPr>
                <w:rFonts w:ascii="宋体" w:hAnsi="宋体" w:cs="宋体"/>
                <w:color w:val="000000"/>
                <w:sz w:val="20"/>
                <w:szCs w:val="20"/>
              </w:rPr>
              <w:t xml:space="preserve"> </w:t>
            </w:r>
          </w:p>
        </w:tc>
        <w:tc>
          <w:tcPr>
            <w:tcW w:w="8646" w:type="dxa"/>
            <w:gridSpan w:val="10"/>
            <w:tcBorders>
              <w:top w:val="nil"/>
              <w:left w:val="nil"/>
              <w:bottom w:val="nil"/>
              <w:right w:val="nil"/>
            </w:tcBorders>
            <w:shd w:val="clear" w:color="auto" w:fill="FFFFFF"/>
            <w:noWrap/>
            <w:tcMar>
              <w:top w:w="15" w:type="dxa"/>
              <w:left w:w="15" w:type="dxa"/>
              <w:right w:w="15" w:type="dxa"/>
            </w:tcMar>
            <w:vAlign w:val="center"/>
          </w:tcPr>
          <w:p>
            <w:pPr>
              <w:widowControl/>
              <w:wordWrap w:val="0"/>
              <w:ind w:firstLine="700" w:firstLineChars="350"/>
              <w:jc w:val="righ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单位：万元</w:t>
            </w:r>
            <w:r>
              <w:rPr>
                <w:rFonts w:ascii="宋体" w:hAnsi="宋体" w:cs="宋体"/>
                <w:color w:val="000000"/>
                <w:kern w:val="0"/>
                <w:sz w:val="20"/>
                <w:szCs w:val="20"/>
              </w:rPr>
              <w:t xml:space="preserve"> </w:t>
            </w:r>
          </w:p>
        </w:tc>
      </w:tr>
      <w:tr>
        <w:tblPrEx>
          <w:tblCellMar>
            <w:top w:w="0" w:type="dxa"/>
            <w:left w:w="0" w:type="dxa"/>
            <w:bottom w:w="0" w:type="dxa"/>
            <w:right w:w="0" w:type="dxa"/>
          </w:tblCellMar>
        </w:tblPrEx>
        <w:trPr>
          <w:gridAfter w:val="1"/>
          <w:wAfter w:w="130" w:type="dxa"/>
          <w:trHeight w:val="450" w:hRule="atLeast"/>
        </w:trPr>
        <w:tc>
          <w:tcPr>
            <w:tcW w:w="3134"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1417"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本年收入合计</w:t>
            </w:r>
          </w:p>
        </w:tc>
        <w:tc>
          <w:tcPr>
            <w:tcW w:w="1560" w:type="dxa"/>
            <w:gridSpan w:val="3"/>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财政拨款收入</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上级补助收入</w:t>
            </w:r>
          </w:p>
        </w:tc>
        <w:tc>
          <w:tcPr>
            <w:tcW w:w="1417"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事业收入</w:t>
            </w:r>
          </w:p>
        </w:tc>
        <w:tc>
          <w:tcPr>
            <w:tcW w:w="147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附属单位上缴收入</w:t>
            </w:r>
          </w:p>
        </w:tc>
        <w:tc>
          <w:tcPr>
            <w:tcW w:w="1642" w:type="dxa"/>
            <w:gridSpan w:val="2"/>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gridAfter w:val="1"/>
          <w:wAfter w:w="130" w:type="dxa"/>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41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560" w:type="dxa"/>
            <w:gridSpan w:val="3"/>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4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2"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41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560" w:type="dxa"/>
            <w:gridSpan w:val="3"/>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4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2"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3134"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642"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r>
      <w:tr>
        <w:tblPrEx>
          <w:tblCellMar>
            <w:top w:w="0" w:type="dxa"/>
            <w:left w:w="0" w:type="dxa"/>
            <w:bottom w:w="0" w:type="dxa"/>
            <w:right w:w="0" w:type="dxa"/>
          </w:tblCellMar>
        </w:tblPrEx>
        <w:trPr>
          <w:gridAfter w:val="1"/>
          <w:wAfter w:w="130" w:type="dxa"/>
          <w:trHeight w:val="450" w:hRule="atLeast"/>
        </w:trPr>
        <w:tc>
          <w:tcPr>
            <w:tcW w:w="3134"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382.76</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382.76</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ind w:firstLine="400" w:firstLineChars="200"/>
              <w:jc w:val="left"/>
              <w:rPr>
                <w:rFonts w:ascii="宋体" w:cs="宋体"/>
                <w:color w:val="000000"/>
                <w:sz w:val="20"/>
                <w:szCs w:val="20"/>
              </w:rPr>
            </w:pPr>
            <w:r>
              <w:rPr>
                <w:rFonts w:ascii="宋体" w:hAnsi="宋体" w:cs="宋体"/>
                <w:color w:val="000000"/>
                <w:sz w:val="20"/>
                <w:szCs w:val="20"/>
              </w:rPr>
              <w:t>201</w:t>
            </w:r>
          </w:p>
        </w:tc>
        <w:tc>
          <w:tcPr>
            <w:tcW w:w="20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一般公共服务支出</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219.17</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219.17</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20106</w:t>
            </w:r>
          </w:p>
        </w:tc>
        <w:tc>
          <w:tcPr>
            <w:tcW w:w="20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财政事务</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s="宋体"/>
                <w:color w:val="000000"/>
                <w:sz w:val="20"/>
                <w:szCs w:val="20"/>
              </w:rPr>
              <w:t>219.17</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s="宋体"/>
                <w:color w:val="000000"/>
                <w:sz w:val="20"/>
                <w:szCs w:val="20"/>
              </w:rPr>
              <w:t>219.17</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2010699</w:t>
            </w:r>
          </w:p>
        </w:tc>
        <w:tc>
          <w:tcPr>
            <w:tcW w:w="20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其他财政事务支出</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s="宋体"/>
                <w:color w:val="000000"/>
                <w:sz w:val="20"/>
                <w:szCs w:val="20"/>
              </w:rPr>
              <w:t>219.17</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s="宋体"/>
                <w:color w:val="000000"/>
                <w:sz w:val="20"/>
                <w:szCs w:val="20"/>
              </w:rPr>
              <w:t>219.17</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w:t>
            </w:r>
          </w:p>
        </w:tc>
        <w:tc>
          <w:tcPr>
            <w:tcW w:w="20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社会保障和就业支出</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28.14</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28.14</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20805</w:t>
            </w:r>
          </w:p>
        </w:tc>
        <w:tc>
          <w:tcPr>
            <w:tcW w:w="20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行政事业单位离退休</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2080502</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事业单位离退休</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20808</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抚恤</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19.15</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19.15</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olor w:val="000000"/>
                <w:kern w:val="0"/>
                <w:sz w:val="20"/>
                <w:szCs w:val="20"/>
              </w:rPr>
            </w:pPr>
            <w:r>
              <w:rPr>
                <w:rFonts w:ascii="宋体" w:hAnsi="宋体"/>
                <w:color w:val="000000"/>
                <w:kern w:val="0"/>
                <w:sz w:val="20"/>
                <w:szCs w:val="20"/>
              </w:rPr>
              <w:t>2080801</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死亡抚恤</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19.15</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19.15</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城乡社区支出</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国有土地使用权出让收入及对应专项债务收入安排的支出</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2120899</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其他国有土地使用权出让收入安排的支出</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615" w:hRule="atLeast"/>
        </w:trPr>
        <w:tc>
          <w:tcPr>
            <w:tcW w:w="13845" w:type="dxa"/>
            <w:gridSpan w:val="17"/>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108" w:type="dxa"/>
        <w:tblInd w:w="0" w:type="dxa"/>
        <w:tblLayout w:type="fixed"/>
        <w:tblCellMar>
          <w:top w:w="0" w:type="dxa"/>
          <w:left w:w="0" w:type="dxa"/>
          <w:bottom w:w="0" w:type="dxa"/>
          <w:right w:w="0" w:type="dxa"/>
        </w:tblCellMar>
      </w:tblPr>
      <w:tblGrid>
        <w:gridCol w:w="1183"/>
        <w:gridCol w:w="1951"/>
        <w:gridCol w:w="1559"/>
        <w:gridCol w:w="1562"/>
        <w:gridCol w:w="112"/>
        <w:gridCol w:w="1689"/>
        <w:gridCol w:w="215"/>
        <w:gridCol w:w="1587"/>
        <w:gridCol w:w="317"/>
        <w:gridCol w:w="1484"/>
        <w:gridCol w:w="420"/>
        <w:gridCol w:w="1909"/>
        <w:gridCol w:w="120"/>
      </w:tblGrid>
      <w:tr>
        <w:tblPrEx>
          <w:tblCellMar>
            <w:top w:w="0" w:type="dxa"/>
            <w:left w:w="0" w:type="dxa"/>
            <w:bottom w:w="0" w:type="dxa"/>
            <w:right w:w="0" w:type="dxa"/>
          </w:tblCellMar>
        </w:tblPrEx>
        <w:trPr>
          <w:gridAfter w:val="1"/>
          <w:wAfter w:w="120" w:type="dxa"/>
          <w:trHeight w:val="435" w:hRule="atLeast"/>
        </w:trPr>
        <w:tc>
          <w:tcPr>
            <w:tcW w:w="13988" w:type="dxa"/>
            <w:gridSpan w:val="12"/>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0" w:type="dxa"/>
            <w:bottom w:w="0" w:type="dxa"/>
            <w:right w:w="0" w:type="dxa"/>
          </w:tblCellMar>
        </w:tblPrEx>
        <w:trPr>
          <w:trHeight w:val="285" w:hRule="atLeast"/>
        </w:trPr>
        <w:tc>
          <w:tcPr>
            <w:tcW w:w="8056" w:type="dxa"/>
            <w:gridSpan w:val="6"/>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4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6255" w:type="dxa"/>
            <w:gridSpan w:val="4"/>
            <w:tcBorders>
              <w:top w:val="nil"/>
              <w:left w:val="nil"/>
              <w:bottom w:val="nil"/>
              <w:right w:val="nil"/>
            </w:tcBorders>
            <w:shd w:val="clear" w:color="auto" w:fill="FFFFFF"/>
            <w:noWrap/>
            <w:tcMar>
              <w:top w:w="15" w:type="dxa"/>
              <w:left w:w="15" w:type="dxa"/>
              <w:right w:w="15" w:type="dxa"/>
            </w:tcMar>
            <w:vAlign w:val="center"/>
          </w:tcPr>
          <w:p>
            <w:pPr>
              <w:ind w:right="400"/>
              <w:rPr>
                <w:rFonts w:ascii="宋体" w:cs="宋体"/>
                <w:color w:val="000000"/>
                <w:sz w:val="20"/>
                <w:szCs w:val="20"/>
              </w:rPr>
            </w:pPr>
            <w:r>
              <w:rPr>
                <w:rFonts w:hint="eastAsia" w:ascii="宋体" w:hAnsi="宋体" w:cs="宋体"/>
                <w:color w:val="000000"/>
                <w:kern w:val="0"/>
                <w:sz w:val="20"/>
                <w:szCs w:val="20"/>
              </w:rPr>
              <w:t>部门：永城市财经金融服务中心</w:t>
            </w: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4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After w:val="1"/>
          <w:wAfter w:w="120" w:type="dxa"/>
          <w:trHeight w:val="450" w:hRule="atLeast"/>
        </w:trPr>
        <w:tc>
          <w:tcPr>
            <w:tcW w:w="3134" w:type="dxa"/>
            <w:gridSpan w:val="2"/>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1559"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本年支出合计</w:t>
            </w:r>
          </w:p>
        </w:tc>
        <w:tc>
          <w:tcPr>
            <w:tcW w:w="167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对附属单位补助支出</w:t>
            </w:r>
          </w:p>
        </w:tc>
      </w:tr>
      <w:tr>
        <w:tblPrEx>
          <w:tblCellMar>
            <w:top w:w="0" w:type="dxa"/>
            <w:left w:w="0" w:type="dxa"/>
            <w:bottom w:w="0" w:type="dxa"/>
            <w:right w:w="0" w:type="dxa"/>
          </w:tblCellMar>
        </w:tblPrEx>
        <w:trPr>
          <w:gridAfter w:val="1"/>
          <w:wAfter w:w="120" w:type="dxa"/>
          <w:trHeight w:val="450" w:hRule="atLeast"/>
        </w:trPr>
        <w:tc>
          <w:tcPr>
            <w:tcW w:w="1183" w:type="dxa"/>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55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7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55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7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3134"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0" w:type="dxa"/>
            <w:left w:w="0" w:type="dxa"/>
            <w:bottom w:w="0" w:type="dxa"/>
            <w:right w:w="0" w:type="dxa"/>
          </w:tblCellMar>
        </w:tblPrEx>
        <w:trPr>
          <w:gridAfter w:val="1"/>
          <w:wAfter w:w="120" w:type="dxa"/>
          <w:trHeight w:val="450" w:hRule="atLeast"/>
        </w:trPr>
        <w:tc>
          <w:tcPr>
            <w:tcW w:w="3134" w:type="dxa"/>
            <w:gridSpan w:val="2"/>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403.66</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233.21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170.45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bCs/>
                <w:color w:val="000000"/>
                <w:sz w:val="20"/>
                <w:szCs w:val="20"/>
              </w:rPr>
            </w:pPr>
            <w:r>
              <w:rPr>
                <w:rFonts w:ascii="宋体" w:hAnsi="宋体"/>
                <w:bCs/>
                <w:color w:val="000000"/>
                <w:sz w:val="20"/>
                <w:szCs w:val="20"/>
              </w:rPr>
              <w:t>201</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bCs/>
                <w:color w:val="000000"/>
                <w:sz w:val="20"/>
                <w:szCs w:val="20"/>
              </w:rPr>
            </w:pPr>
            <w:r>
              <w:rPr>
                <w:rFonts w:hint="eastAsia" w:ascii="宋体" w:hAnsi="宋体"/>
                <w:bCs/>
                <w:color w:val="000000"/>
                <w:sz w:val="20"/>
                <w:szCs w:val="20"/>
              </w:rPr>
              <w:t>一般公共服务支出</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240.07</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205</w:t>
            </w:r>
            <w:r>
              <w:rPr>
                <w:rFonts w:ascii="宋体"/>
                <w:bCs/>
                <w:color w:val="000000"/>
                <w:sz w:val="20"/>
                <w:szCs w:val="20"/>
              </w:rPr>
              <w:t>.</w:t>
            </w:r>
            <w:r>
              <w:rPr>
                <w:rFonts w:ascii="宋体" w:hAnsi="宋体"/>
                <w:bCs/>
                <w:color w:val="000000"/>
                <w:sz w:val="20"/>
                <w:szCs w:val="20"/>
              </w:rPr>
              <w:t>07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20106</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财政事务</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240.07</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205</w:t>
            </w:r>
            <w:r>
              <w:rPr>
                <w:rFonts w:ascii="宋体"/>
                <w:bCs/>
                <w:color w:val="000000"/>
                <w:sz w:val="20"/>
                <w:szCs w:val="20"/>
              </w:rPr>
              <w:t>.</w:t>
            </w:r>
            <w:r>
              <w:rPr>
                <w:rFonts w:ascii="宋体" w:hAnsi="宋体"/>
                <w:bCs/>
                <w:color w:val="000000"/>
                <w:sz w:val="20"/>
                <w:szCs w:val="20"/>
              </w:rPr>
              <w:t>07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2010699</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其他财政事务支出</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240.07</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205.07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社会保障和就业支出</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28.14</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28.14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20805</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行政事业单位离退休</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2080502</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事业单位离退休</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20808</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抚恤</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19.15</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19.15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olor w:val="000000"/>
                <w:kern w:val="0"/>
                <w:sz w:val="20"/>
                <w:szCs w:val="20"/>
              </w:rPr>
            </w:pPr>
            <w:r>
              <w:rPr>
                <w:rFonts w:ascii="宋体" w:hAnsi="宋体"/>
                <w:color w:val="000000"/>
                <w:kern w:val="0"/>
                <w:sz w:val="20"/>
                <w:szCs w:val="20"/>
              </w:rPr>
              <w:t>2080801</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死亡抚恤</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19.15</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19.15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城乡社区支出</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国有土地使用权出让收入及对应专项债务收入安排的支出</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2120899</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其他国有土地使用权出让收入安排的支出</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630" w:hRule="atLeast"/>
        </w:trPr>
        <w:tc>
          <w:tcPr>
            <w:tcW w:w="13988"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部门：永城市财经金融服务中心</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247.31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240.07</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240.07</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135.45</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七、文化体育与传媒支出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28.14</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28.14</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九、医疗卫生与计划生育支出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十、节能环保支出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十一、城乡社区支出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40</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rPr>
                <w:rFonts w:ascii="宋体" w:cs="宋体"/>
                <w:color w:val="000000"/>
                <w:sz w:val="20"/>
                <w:szCs w:val="20"/>
              </w:rPr>
            </w:pPr>
            <w:r>
              <w:rPr>
                <w:rFonts w:ascii="宋体" w:hAnsi="宋体" w:cs="宋体"/>
                <w:color w:val="000000"/>
                <w:sz w:val="20"/>
                <w:szCs w:val="20"/>
              </w:rPr>
              <w:t>135.45</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135.45</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十二、农林水支出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41</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13</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十三、交通运输支出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42</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14</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十四、资源勘探信息等支出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15</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十五、商业服务业等支出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16</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十六、金融支出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17</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十七、援助其他地区支出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46</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18</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十八、国土海洋气象等支出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47</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19</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十九、住房保障支出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48</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20</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二十、粮油物资储备支出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49</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21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二十一、其他支出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22</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二十二、债务还本支出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51</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23</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二十三、债务付息支出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52</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0"/>
                <w:szCs w:val="20"/>
              </w:rPr>
            </w:pPr>
            <w:r>
              <w:rPr>
                <w:rFonts w:ascii="宋体" w:hAnsi="宋体" w:cs="宋体"/>
                <w:b/>
                <w:color w:val="000000"/>
                <w:sz w:val="20"/>
                <w:szCs w:val="20"/>
              </w:rPr>
              <w:t>382.76</w:t>
            </w: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b/>
                <w:color w:val="000000"/>
                <w:sz w:val="20"/>
                <w:szCs w:val="20"/>
              </w:rPr>
            </w:pPr>
            <w:r>
              <w:rPr>
                <w:rFonts w:ascii="宋体" w:hAnsi="宋体" w:cs="宋体"/>
                <w:b/>
                <w:color w:val="000000"/>
                <w:sz w:val="20"/>
                <w:szCs w:val="20"/>
              </w:rPr>
              <w:t>403.66</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b/>
                <w:color w:val="000000"/>
                <w:sz w:val="20"/>
                <w:szCs w:val="20"/>
              </w:rPr>
            </w:pPr>
            <w:r>
              <w:rPr>
                <w:rFonts w:ascii="宋体" w:hAnsi="宋体" w:cs="宋体"/>
                <w:b/>
                <w:color w:val="000000"/>
                <w:sz w:val="20"/>
                <w:szCs w:val="20"/>
              </w:rPr>
              <w:t>268.21</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
                <w:color w:val="000000"/>
                <w:sz w:val="20"/>
                <w:szCs w:val="20"/>
              </w:rPr>
            </w:pPr>
            <w:r>
              <w:rPr>
                <w:rFonts w:ascii="宋体" w:hAnsi="宋体" w:cs="宋体"/>
                <w:b/>
                <w:color w:val="000000"/>
                <w:sz w:val="20"/>
                <w:szCs w:val="20"/>
              </w:rPr>
              <w:t>135.45</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20.9</w:t>
            </w: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20.9</w:t>
            </w: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asci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2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noWrap/>
            <w:tcMar>
              <w:top w:w="15" w:type="dxa"/>
              <w:left w:w="15" w:type="dxa"/>
              <w:right w:w="15" w:type="dxa"/>
            </w:tcMar>
            <w:vAlign w:val="center"/>
          </w:tcPr>
          <w:p>
            <w:pPr>
              <w:jc w:val="cente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12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27</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121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403.66</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403.66</w:t>
            </w: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268.21</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135.45</w:t>
            </w: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048" w:type="dxa"/>
        <w:tblInd w:w="0" w:type="dxa"/>
        <w:tblLayout w:type="fixed"/>
        <w:tblCellMar>
          <w:top w:w="0" w:type="dxa"/>
          <w:left w:w="0" w:type="dxa"/>
          <w:bottom w:w="0" w:type="dxa"/>
          <w:right w:w="0" w:type="dxa"/>
        </w:tblCellMar>
      </w:tblPr>
      <w:tblGrid>
        <w:gridCol w:w="1414"/>
        <w:gridCol w:w="2145"/>
        <w:gridCol w:w="80"/>
        <w:gridCol w:w="10"/>
        <w:gridCol w:w="50"/>
        <w:gridCol w:w="3389"/>
        <w:gridCol w:w="60"/>
        <w:gridCol w:w="3389"/>
        <w:gridCol w:w="60"/>
        <w:gridCol w:w="3391"/>
        <w:gridCol w:w="60"/>
      </w:tblGrid>
      <w:tr>
        <w:tblPrEx>
          <w:tblCellMar>
            <w:top w:w="0" w:type="dxa"/>
            <w:left w:w="0" w:type="dxa"/>
            <w:bottom w:w="0" w:type="dxa"/>
            <w:right w:w="0" w:type="dxa"/>
          </w:tblCellMar>
        </w:tblPrEx>
        <w:trPr>
          <w:gridAfter w:val="1"/>
          <w:wAfter w:w="60" w:type="dxa"/>
          <w:trHeight w:val="600" w:hRule="atLeast"/>
        </w:trPr>
        <w:tc>
          <w:tcPr>
            <w:tcW w:w="13988" w:type="dxa"/>
            <w:gridSpan w:val="10"/>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CellMar>
            <w:top w:w="0" w:type="dxa"/>
            <w:left w:w="0" w:type="dxa"/>
            <w:bottom w:w="0" w:type="dxa"/>
            <w:right w:w="0" w:type="dxa"/>
          </w:tblCellMar>
        </w:tblPrEx>
        <w:trPr>
          <w:trHeight w:val="222" w:hRule="atLeast"/>
        </w:trPr>
        <w:tc>
          <w:tcPr>
            <w:tcW w:w="10597" w:type="dxa"/>
            <w:gridSpan w:val="9"/>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3451"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cs="宋体"/>
                <w:color w:val="000000"/>
                <w:kern w:val="0"/>
                <w:sz w:val="20"/>
                <w:szCs w:val="20"/>
              </w:rPr>
              <w:t>0</w:t>
            </w:r>
            <w:r>
              <w:rPr>
                <w:rStyle w:val="17"/>
              </w:rPr>
              <w:t>5</w:t>
            </w:r>
            <w:r>
              <w:rPr>
                <w:rStyle w:val="17"/>
                <w:rFonts w:hint="eastAsia"/>
              </w:rPr>
              <w:t>表</w:t>
            </w:r>
          </w:p>
        </w:tc>
      </w:tr>
      <w:tr>
        <w:tblPrEx>
          <w:tblCellMar>
            <w:top w:w="0" w:type="dxa"/>
            <w:left w:w="0" w:type="dxa"/>
            <w:bottom w:w="0" w:type="dxa"/>
            <w:right w:w="0" w:type="dxa"/>
          </w:tblCellMar>
        </w:tblPrEx>
        <w:trPr>
          <w:trHeight w:val="300" w:hRule="atLeast"/>
        </w:trPr>
        <w:tc>
          <w:tcPr>
            <w:tcW w:w="355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部门：永城市财经金融服务中心</w:t>
            </w:r>
            <w:r>
              <w:rPr>
                <w:rFonts w:ascii="宋体" w:hAnsi="宋体" w:cs="宋体"/>
                <w:color w:val="000000"/>
                <w:kern w:val="0"/>
                <w:sz w:val="20"/>
                <w:szCs w:val="20"/>
              </w:rPr>
              <w:t xml:space="preserve">    </w:t>
            </w: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 xml:space="preserve">     </w:t>
            </w:r>
          </w:p>
        </w:tc>
        <w:tc>
          <w:tcPr>
            <w:tcW w:w="50"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 xml:space="preserve">        </w:t>
            </w:r>
          </w:p>
        </w:tc>
        <w:tc>
          <w:tcPr>
            <w:tcW w:w="3449" w:type="dxa"/>
            <w:gridSpan w:val="2"/>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3449" w:type="dxa"/>
            <w:gridSpan w:val="2"/>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3451"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After w:val="1"/>
          <w:wAfter w:w="60" w:type="dxa"/>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Style w:val="16"/>
                <w:sz w:val="20"/>
                <w:szCs w:val="20"/>
              </w:rPr>
              <w:t xml:space="preserve">   </w:t>
            </w:r>
            <w:r>
              <w:rPr>
                <w:rStyle w:val="18"/>
                <w:rFonts w:hint="eastAsia"/>
                <w:sz w:val="20"/>
                <w:szCs w:val="20"/>
              </w:rPr>
              <w:t>目</w:t>
            </w:r>
          </w:p>
        </w:tc>
        <w:tc>
          <w:tcPr>
            <w:tcW w:w="10349" w:type="dxa"/>
            <w:gridSpan w:val="7"/>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tblPrEx>
          <w:tblCellMar>
            <w:top w:w="0" w:type="dxa"/>
            <w:left w:w="0" w:type="dxa"/>
            <w:bottom w:w="0" w:type="dxa"/>
            <w:right w:w="0" w:type="dxa"/>
          </w:tblCellMar>
        </w:tblPrEx>
        <w:trPr>
          <w:gridAfter w:val="1"/>
          <w:wAfter w:w="60" w:type="dxa"/>
          <w:trHeight w:val="495" w:hRule="atLeast"/>
        </w:trPr>
        <w:tc>
          <w:tcPr>
            <w:tcW w:w="1414"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222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3449"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3449"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3451" w:type="dxa"/>
            <w:gridSpan w:val="2"/>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tblPrEx>
          <w:tblCellMar>
            <w:top w:w="0" w:type="dxa"/>
            <w:left w:w="0" w:type="dxa"/>
            <w:bottom w:w="0" w:type="dxa"/>
            <w:right w:w="0" w:type="dxa"/>
          </w:tblCellMar>
        </w:tblPrEx>
        <w:trPr>
          <w:gridAfter w:val="1"/>
          <w:wAfter w:w="60" w:type="dxa"/>
          <w:trHeight w:val="360" w:hRule="atLeast"/>
        </w:trPr>
        <w:tc>
          <w:tcPr>
            <w:tcW w:w="1414"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222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51" w:type="dxa"/>
            <w:gridSpan w:val="2"/>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312" w:hRule="atLeast"/>
        </w:trPr>
        <w:tc>
          <w:tcPr>
            <w:tcW w:w="1414"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222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51" w:type="dxa"/>
            <w:gridSpan w:val="2"/>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04"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tblPrEx>
          <w:tblCellMar>
            <w:top w:w="0" w:type="dxa"/>
            <w:left w:w="0" w:type="dxa"/>
            <w:bottom w:w="0" w:type="dxa"/>
            <w:right w:w="0" w:type="dxa"/>
          </w:tblCellMar>
        </w:tblPrEx>
        <w:trPr>
          <w:gridAfter w:val="1"/>
          <w:wAfter w:w="60" w:type="dxa"/>
          <w:trHeight w:val="395"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268.21</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233.21</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w:t>
            </w: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Cs/>
                <w:color w:val="000000"/>
                <w:sz w:val="20"/>
                <w:szCs w:val="20"/>
              </w:rPr>
            </w:pPr>
            <w:r>
              <w:rPr>
                <w:rFonts w:ascii="宋体" w:hAnsi="宋体"/>
                <w:bCs/>
                <w:color w:val="000000"/>
                <w:sz w:val="20"/>
                <w:szCs w:val="20"/>
              </w:rPr>
              <w:t>201</w:t>
            </w: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hint="eastAsia" w:ascii="宋体" w:hAnsi="宋体"/>
                <w:bCs/>
                <w:color w:val="000000"/>
                <w:sz w:val="20"/>
                <w:szCs w:val="20"/>
              </w:rPr>
              <w:t>一般公共服务支出</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240.07</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205.07</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w:t>
            </w: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20106</w:t>
            </w: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财政事务</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240.07</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205.07</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w:t>
            </w: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2010699</w:t>
            </w: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其他财政事务支出</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240.07</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205.07</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w:t>
            </w: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w:t>
            </w: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社会保障和就业支出</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28.14</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28.14</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20805</w:t>
            </w: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行政事业单位离退休</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2080502</w:t>
            </w: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事业单位离退休</w:t>
            </w:r>
          </w:p>
        </w:tc>
        <w:tc>
          <w:tcPr>
            <w:tcW w:w="3449"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34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8.99</w:t>
            </w:r>
          </w:p>
        </w:tc>
        <w:tc>
          <w:tcPr>
            <w:tcW w:w="3451"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20808</w:t>
            </w: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抚恤</w:t>
            </w:r>
          </w:p>
        </w:tc>
        <w:tc>
          <w:tcPr>
            <w:tcW w:w="3449"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19.15</w:t>
            </w:r>
          </w:p>
        </w:tc>
        <w:tc>
          <w:tcPr>
            <w:tcW w:w="34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19.15</w:t>
            </w:r>
          </w:p>
        </w:tc>
        <w:tc>
          <w:tcPr>
            <w:tcW w:w="3451"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hAnsi="宋体"/>
                <w:color w:val="000000"/>
                <w:kern w:val="0"/>
                <w:sz w:val="20"/>
                <w:szCs w:val="20"/>
              </w:rPr>
            </w:pPr>
            <w:r>
              <w:rPr>
                <w:rFonts w:ascii="宋体" w:hAnsi="宋体"/>
                <w:color w:val="000000"/>
                <w:kern w:val="0"/>
                <w:sz w:val="20"/>
                <w:szCs w:val="20"/>
              </w:rPr>
              <w:t>2080801</w:t>
            </w: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死亡抚恤</w:t>
            </w:r>
          </w:p>
        </w:tc>
        <w:tc>
          <w:tcPr>
            <w:tcW w:w="3449"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19.15</w:t>
            </w:r>
          </w:p>
        </w:tc>
        <w:tc>
          <w:tcPr>
            <w:tcW w:w="34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19.15</w:t>
            </w:r>
          </w:p>
        </w:tc>
        <w:tc>
          <w:tcPr>
            <w:tcW w:w="3451"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645" w:hRule="atLeast"/>
        </w:trPr>
        <w:tc>
          <w:tcPr>
            <w:tcW w:w="13988"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一般公共预算财政拨款基本支出决算表</w:t>
            </w:r>
          </w:p>
        </w:tc>
      </w:tr>
      <w:tr>
        <w:tblPrEx>
          <w:tblCellMar>
            <w:top w:w="0" w:type="dxa"/>
            <w:left w:w="0" w:type="dxa"/>
            <w:bottom w:w="0" w:type="dxa"/>
            <w:right w:w="0" w:type="dxa"/>
          </w:tblCellMar>
        </w:tblPrEx>
        <w:trPr>
          <w:trHeight w:val="405" w:hRule="atLeast"/>
        </w:trPr>
        <w:tc>
          <w:tcPr>
            <w:tcW w:w="13050" w:type="dxa"/>
            <w:gridSpan w:val="8"/>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06</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13050"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部门：永城市财经金融服务中心</w:t>
            </w:r>
            <w:r>
              <w:rPr>
                <w:rFonts w:ascii="Arial" w:hAnsi="Arial" w:cs="Arial"/>
                <w:color w:val="000000"/>
                <w:kern w:val="0"/>
                <w:sz w:val="20"/>
                <w:szCs w:val="20"/>
              </w:rPr>
              <w:t xml:space="preserve">    </w:t>
            </w: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292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113.21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91.86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48.01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18.09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43.72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15.89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0.18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5.59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10.58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20.91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28.14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8.99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19.15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141.35</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91.86</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810" w:type="dxa"/>
        <w:tblInd w:w="0" w:type="dxa"/>
        <w:tblLayout w:type="fixed"/>
        <w:tblCellMar>
          <w:top w:w="0" w:type="dxa"/>
          <w:left w:w="0" w:type="dxa"/>
          <w:bottom w:w="0" w:type="dxa"/>
          <w:right w:w="0" w:type="dxa"/>
        </w:tblCellMar>
      </w:tblPr>
      <w:tblGrid>
        <w:gridCol w:w="1151"/>
        <w:gridCol w:w="1150"/>
        <w:gridCol w:w="1151"/>
        <w:gridCol w:w="1150"/>
        <w:gridCol w:w="1151"/>
        <w:gridCol w:w="1151"/>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10"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222" w:hRule="atLeast"/>
        </w:trPr>
        <w:tc>
          <w:tcPr>
            <w:tcW w:w="12659" w:type="dxa"/>
            <w:gridSpan w:val="11"/>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12659" w:type="dxa"/>
            <w:gridSpan w:val="11"/>
            <w:tcBorders>
              <w:top w:val="nil"/>
              <w:left w:val="nil"/>
              <w:bottom w:val="nil"/>
              <w:right w:val="nil"/>
            </w:tcBorders>
            <w:shd w:val="clear" w:color="auto" w:fill="FFFFFF"/>
            <w:noWrap/>
            <w:tcMar>
              <w:top w:w="15" w:type="dxa"/>
              <w:left w:w="15" w:type="dxa"/>
              <w:right w:w="15" w:type="dxa"/>
            </w:tcMar>
            <w:vAlign w:val="center"/>
          </w:tcPr>
          <w:p>
            <w:pPr>
              <w:rPr>
                <w:rFonts w:ascii="宋体" w:cs="宋体"/>
                <w:color w:val="000000"/>
                <w:sz w:val="20"/>
                <w:szCs w:val="20"/>
              </w:rPr>
            </w:pPr>
            <w:r>
              <w:rPr>
                <w:rFonts w:hint="eastAsia" w:ascii="宋体" w:hAnsi="宋体" w:cs="宋体"/>
                <w:color w:val="000000"/>
                <w:kern w:val="0"/>
                <w:sz w:val="20"/>
                <w:szCs w:val="20"/>
              </w:rPr>
              <w:t>部门：永城市财经金融服务中心</w:t>
            </w: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559" w:hRule="atLeast"/>
        </w:trPr>
        <w:tc>
          <w:tcPr>
            <w:tcW w:w="6904"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因公出国（境）费</w:t>
            </w:r>
          </w:p>
        </w:tc>
        <w:tc>
          <w:tcPr>
            <w:tcW w:w="34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3.2</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3.2</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900" w:hRule="atLeast"/>
        </w:trPr>
        <w:tc>
          <w:tcPr>
            <w:tcW w:w="13810"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19"/>
                <w:rFonts w:hint="eastAsia"/>
                <w:sz w:val="20"/>
                <w:szCs w:val="20"/>
              </w:rPr>
              <w:t>预算数为</w:t>
            </w:r>
            <w:r>
              <w:rPr>
                <w:rStyle w:val="19"/>
                <w:rFonts w:hint="eastAsia" w:hAnsi="Calibri"/>
                <w:sz w:val="20"/>
                <w:szCs w:val="20"/>
              </w:rPr>
              <w:t>“</w:t>
            </w:r>
            <w:r>
              <w:rPr>
                <w:rStyle w:val="19"/>
                <w:rFonts w:hint="eastAsia"/>
                <w:sz w:val="20"/>
                <w:szCs w:val="20"/>
              </w:rPr>
              <w:t>三公</w:t>
            </w:r>
            <w:r>
              <w:rPr>
                <w:rStyle w:val="19"/>
                <w:rFonts w:hint="eastAsia" w:hAnsi="Calibri"/>
                <w:sz w:val="20"/>
                <w:szCs w:val="20"/>
              </w:rPr>
              <w:t>”</w:t>
            </w:r>
            <w:r>
              <w:rPr>
                <w:rStyle w:val="19"/>
                <w:rFonts w:hint="eastAsia"/>
                <w:sz w:val="20"/>
                <w:szCs w:val="20"/>
              </w:rPr>
              <w:t>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ind w:firstLine="3840" w:firstLineChars="1200"/>
        <w:rPr>
          <w:rFonts w:hint="default" w:ascii="仿宋_GB2312" w:hAnsi="仿宋_GB2312" w:eastAsia="仿宋_GB2312" w:cs="仿宋_GB2312"/>
          <w:sz w:val="32"/>
          <w:szCs w:val="32"/>
          <w:lang w:val="en-US" w:eastAsia="zh-CN"/>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因当年支出包括上年结转结余支出</w:t>
      </w:r>
    </w:p>
    <w:tbl>
      <w:tblPr>
        <w:tblStyle w:val="8"/>
        <w:tblW w:w="0" w:type="auto"/>
        <w:tblInd w:w="0" w:type="dxa"/>
        <w:tblLayout w:type="fixed"/>
        <w:tblCellMar>
          <w:top w:w="0" w:type="dxa"/>
          <w:left w:w="0" w:type="dxa"/>
          <w:bottom w:w="0" w:type="dxa"/>
          <w:right w:w="0" w:type="dxa"/>
        </w:tblCellMar>
      </w:tblPr>
      <w:tblGrid>
        <w:gridCol w:w="1148"/>
        <w:gridCol w:w="1561"/>
        <w:gridCol w:w="1701"/>
        <w:gridCol w:w="186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8"/>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0" w:type="dxa"/>
            <w:bottom w:w="0" w:type="dxa"/>
            <w:right w:w="0" w:type="dxa"/>
          </w:tblCellMar>
        </w:tblPrEx>
        <w:trPr>
          <w:trHeight w:val="222" w:hRule="atLeast"/>
        </w:trPr>
        <w:tc>
          <w:tcPr>
            <w:tcW w:w="12055" w:type="dxa"/>
            <w:gridSpan w:val="7"/>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12055" w:type="dxa"/>
            <w:gridSpan w:val="7"/>
            <w:tcBorders>
              <w:top w:val="nil"/>
              <w:left w:val="nil"/>
              <w:bottom w:val="nil"/>
              <w:right w:val="nil"/>
            </w:tcBorders>
            <w:shd w:val="clear" w:color="auto" w:fill="FFFFFF"/>
            <w:noWrap/>
            <w:tcMar>
              <w:top w:w="15" w:type="dxa"/>
              <w:left w:w="15" w:type="dxa"/>
              <w:right w:w="15" w:type="dxa"/>
            </w:tcMar>
            <w:vAlign w:val="center"/>
          </w:tcPr>
          <w:p>
            <w:pPr>
              <w:rPr>
                <w:rFonts w:ascii="宋体" w:cs="宋体"/>
                <w:color w:val="000000"/>
                <w:sz w:val="20"/>
                <w:szCs w:val="20"/>
              </w:rPr>
            </w:pPr>
            <w:r>
              <w:rPr>
                <w:rFonts w:hint="eastAsia" w:ascii="宋体" w:hAnsi="宋体" w:cs="宋体"/>
                <w:color w:val="000000"/>
                <w:kern w:val="0"/>
                <w:sz w:val="20"/>
                <w:szCs w:val="20"/>
              </w:rPr>
              <w:t>部门：永城市财经金融服务中心</w:t>
            </w: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5" w:hRule="atLeast"/>
        </w:trPr>
        <w:tc>
          <w:tcPr>
            <w:tcW w:w="2709" w:type="dxa"/>
            <w:gridSpan w:val="2"/>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1701"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186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0" w:type="dxa"/>
            <w:bottom w:w="0" w:type="dxa"/>
            <w:right w:w="0" w:type="dxa"/>
          </w:tblCellMar>
        </w:tblPrEx>
        <w:trPr>
          <w:trHeight w:val="540" w:hRule="atLeast"/>
        </w:trPr>
        <w:tc>
          <w:tcPr>
            <w:tcW w:w="1148"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15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701"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86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5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701"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86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5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701"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86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270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0" w:type="dxa"/>
            <w:left w:w="0" w:type="dxa"/>
            <w:bottom w:w="0" w:type="dxa"/>
            <w:right w:w="0" w:type="dxa"/>
          </w:tblCellMar>
        </w:tblPrEx>
        <w:trPr>
          <w:trHeight w:val="450" w:hRule="atLeast"/>
        </w:trPr>
        <w:tc>
          <w:tcPr>
            <w:tcW w:w="2709" w:type="dxa"/>
            <w:gridSpan w:val="2"/>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olor w:val="000000"/>
                <w:kern w:val="0"/>
                <w:sz w:val="20"/>
                <w:szCs w:val="20"/>
              </w:rPr>
              <w:t>135.45</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olor w:val="000000"/>
                <w:kern w:val="0"/>
                <w:sz w:val="20"/>
                <w:szCs w:val="20"/>
              </w:rPr>
              <w:t>135.45</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r>
              <w:rPr>
                <w:rFonts w:ascii="宋体" w:hAnsi="宋体"/>
                <w:color w:val="000000"/>
                <w:kern w:val="0"/>
                <w:sz w:val="20"/>
                <w:szCs w:val="20"/>
              </w:rPr>
              <w:t>135.45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国有土地使用权出让收入及对应专项债务收入安排的支出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2120899</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135.45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8"/>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jc w:val="cente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黑体" w:eastAsia="黑体" w:cs="黑体"/>
          <w:sz w:val="48"/>
          <w:szCs w:val="48"/>
        </w:rPr>
        <w:t>第三部分</w:t>
      </w:r>
      <w:r>
        <w:rPr>
          <w:rFonts w:ascii="黑体" w:hAnsi="黑体" w:eastAsia="黑体" w:cs="黑体"/>
          <w:sz w:val="48"/>
          <w:szCs w:val="48"/>
        </w:rPr>
        <w:t xml:space="preserve">  2019</w:t>
      </w:r>
      <w:r>
        <w:rPr>
          <w:rFonts w:hint="eastAsia" w:ascii="黑体" w:hAnsi="黑体" w:eastAsia="黑体" w:cs="黑体"/>
          <w:sz w:val="48"/>
          <w:szCs w:val="48"/>
        </w:rPr>
        <w:t>年度部门决算情况说明</w:t>
      </w:r>
    </w:p>
    <w:p>
      <w:pPr>
        <w:autoSpaceDE w:val="0"/>
        <w:autoSpaceDN w:val="0"/>
        <w:adjustRightInd w:val="0"/>
        <w:jc w:val="left"/>
        <w:rPr>
          <w:rFonts w:ascii="宋体" w:hAnsi="Times New Roman" w:cs="宋体"/>
          <w:szCs w:val="21"/>
        </w:rPr>
      </w:pP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一、收入支出决算总体情况说明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年度收、支总计均为</w:t>
      </w:r>
      <w:r>
        <w:rPr>
          <w:rFonts w:ascii="宋体" w:hAnsi="Times New Roman" w:cs="宋体"/>
          <w:sz w:val="28"/>
          <w:szCs w:val="21"/>
        </w:rPr>
        <w:t>403.66</w:t>
      </w:r>
      <w:r>
        <w:rPr>
          <w:rFonts w:hint="eastAsia" w:ascii="宋体" w:hAnsi="Times New Roman" w:cs="宋体"/>
          <w:sz w:val="28"/>
          <w:szCs w:val="21"/>
        </w:rPr>
        <w:t>万元。与上年度相比，收、支总计各减少</w:t>
      </w:r>
      <w:r>
        <w:rPr>
          <w:rFonts w:ascii="宋体" w:hAnsi="Times New Roman" w:cs="宋体"/>
          <w:sz w:val="28"/>
          <w:szCs w:val="21"/>
        </w:rPr>
        <w:t>143.71</w:t>
      </w:r>
      <w:r>
        <w:rPr>
          <w:rFonts w:hint="eastAsia" w:ascii="宋体" w:hAnsi="Times New Roman" w:cs="宋体"/>
          <w:sz w:val="28"/>
          <w:szCs w:val="21"/>
        </w:rPr>
        <w:t>万元，下降</w:t>
      </w:r>
      <w:r>
        <w:rPr>
          <w:rFonts w:ascii="宋体" w:hAnsi="Times New Roman" w:cs="宋体"/>
          <w:sz w:val="28"/>
          <w:szCs w:val="21"/>
        </w:rPr>
        <w:t>26.25%</w:t>
      </w:r>
      <w:r>
        <w:rPr>
          <w:rFonts w:hint="eastAsia" w:ascii="宋体" w:hAnsi="Times New Roman" w:cs="宋体"/>
          <w:sz w:val="28"/>
          <w:szCs w:val="21"/>
        </w:rPr>
        <w:t>。主要原因是政府性基金预算财政拨款收入支出均减少。</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二、收入决算情况说明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年度收入合计</w:t>
      </w:r>
      <w:r>
        <w:rPr>
          <w:rFonts w:ascii="宋体" w:hAnsi="Times New Roman" w:cs="宋体"/>
          <w:sz w:val="28"/>
          <w:szCs w:val="21"/>
        </w:rPr>
        <w:t>403.66</w:t>
      </w:r>
      <w:r>
        <w:rPr>
          <w:rFonts w:hint="eastAsia" w:ascii="宋体" w:hAnsi="Times New Roman" w:cs="宋体"/>
          <w:sz w:val="28"/>
          <w:szCs w:val="21"/>
        </w:rPr>
        <w:t>万元，其中：财政拨款收入</w:t>
      </w:r>
      <w:r>
        <w:rPr>
          <w:rFonts w:ascii="宋体" w:hAnsi="Times New Roman" w:cs="宋体"/>
          <w:sz w:val="28"/>
          <w:szCs w:val="21"/>
        </w:rPr>
        <w:t>382.76</w:t>
      </w:r>
      <w:r>
        <w:rPr>
          <w:rFonts w:hint="eastAsia" w:ascii="宋体" w:hAnsi="Times New Roman" w:cs="宋体"/>
          <w:sz w:val="28"/>
          <w:szCs w:val="21"/>
        </w:rPr>
        <w:t>万元，占</w:t>
      </w:r>
      <w:r>
        <w:rPr>
          <w:rFonts w:ascii="宋体" w:hAnsi="Times New Roman" w:cs="宋体"/>
          <w:sz w:val="28"/>
          <w:szCs w:val="21"/>
        </w:rPr>
        <w:t>94.82%</w:t>
      </w:r>
      <w:r>
        <w:rPr>
          <w:rFonts w:hint="eastAsia" w:ascii="宋体" w:hAnsi="Times New Roman" w:cs="宋体"/>
          <w:sz w:val="28"/>
          <w:szCs w:val="21"/>
        </w:rPr>
        <w:t>，年初结转和结余</w:t>
      </w:r>
      <w:r>
        <w:rPr>
          <w:rFonts w:ascii="宋体" w:hAnsi="Times New Roman" w:cs="宋体"/>
          <w:sz w:val="28"/>
          <w:szCs w:val="21"/>
        </w:rPr>
        <w:t>20.9</w:t>
      </w:r>
      <w:r>
        <w:rPr>
          <w:rFonts w:hint="eastAsia" w:ascii="宋体" w:hAnsi="Times New Roman" w:cs="宋体"/>
          <w:sz w:val="28"/>
          <w:szCs w:val="21"/>
        </w:rPr>
        <w:t>万元，占</w:t>
      </w:r>
      <w:r>
        <w:rPr>
          <w:rFonts w:ascii="宋体" w:hAnsi="Times New Roman" w:cs="宋体"/>
          <w:sz w:val="28"/>
          <w:szCs w:val="21"/>
        </w:rPr>
        <w:t>5.18%</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三、支出决算情况说明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年度支出合计</w:t>
      </w:r>
      <w:r>
        <w:rPr>
          <w:rFonts w:ascii="宋体" w:hAnsi="Times New Roman" w:cs="宋体"/>
          <w:sz w:val="28"/>
          <w:szCs w:val="21"/>
        </w:rPr>
        <w:t>403.66</w:t>
      </w:r>
      <w:r>
        <w:rPr>
          <w:rFonts w:hint="eastAsia" w:ascii="宋体" w:hAnsi="Times New Roman" w:cs="宋体"/>
          <w:sz w:val="28"/>
          <w:szCs w:val="21"/>
        </w:rPr>
        <w:t>万元，其中：基本支出</w:t>
      </w:r>
      <w:r>
        <w:rPr>
          <w:rFonts w:ascii="宋体" w:hAnsi="Times New Roman" w:cs="宋体"/>
          <w:sz w:val="28"/>
          <w:szCs w:val="21"/>
        </w:rPr>
        <w:t>233.21</w:t>
      </w:r>
      <w:r>
        <w:rPr>
          <w:rFonts w:hint="eastAsia" w:ascii="宋体" w:hAnsi="Times New Roman" w:cs="宋体"/>
          <w:sz w:val="28"/>
          <w:szCs w:val="21"/>
        </w:rPr>
        <w:t>万元，占</w:t>
      </w:r>
      <w:r>
        <w:rPr>
          <w:rFonts w:ascii="宋体" w:hAnsi="Times New Roman" w:cs="宋体"/>
          <w:sz w:val="28"/>
          <w:szCs w:val="21"/>
        </w:rPr>
        <w:t>57.8%</w:t>
      </w:r>
      <w:r>
        <w:rPr>
          <w:rFonts w:hint="eastAsia" w:ascii="宋体" w:hAnsi="Times New Roman" w:cs="宋体"/>
          <w:sz w:val="28"/>
          <w:szCs w:val="21"/>
        </w:rPr>
        <w:t>；项目支出</w:t>
      </w:r>
      <w:r>
        <w:rPr>
          <w:rFonts w:ascii="宋体" w:hAnsi="Times New Roman" w:cs="宋体"/>
          <w:sz w:val="28"/>
          <w:szCs w:val="21"/>
        </w:rPr>
        <w:t>170.45</w:t>
      </w:r>
      <w:r>
        <w:rPr>
          <w:rFonts w:hint="eastAsia" w:ascii="宋体" w:hAnsi="Times New Roman" w:cs="宋体"/>
          <w:sz w:val="28"/>
          <w:szCs w:val="21"/>
        </w:rPr>
        <w:t>万元，占</w:t>
      </w:r>
      <w:r>
        <w:rPr>
          <w:rFonts w:ascii="宋体" w:hAnsi="Times New Roman" w:cs="宋体"/>
          <w:sz w:val="28"/>
          <w:szCs w:val="21"/>
        </w:rPr>
        <w:t>42.2%</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四、财政拨款收入支出决算总体情况说明</w:t>
      </w:r>
    </w:p>
    <w:p>
      <w:pPr>
        <w:autoSpaceDE w:val="0"/>
        <w:autoSpaceDN w:val="0"/>
        <w:adjustRightInd w:val="0"/>
        <w:spacing w:beforeLines="50" w:afterLines="50" w:line="360" w:lineRule="auto"/>
        <w:ind w:left="210"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年度财政拨款收、支总计均为</w:t>
      </w:r>
      <w:r>
        <w:rPr>
          <w:rFonts w:ascii="宋体" w:hAnsi="Times New Roman" w:cs="宋体"/>
          <w:sz w:val="28"/>
          <w:szCs w:val="21"/>
        </w:rPr>
        <w:t>403.66</w:t>
      </w:r>
      <w:r>
        <w:rPr>
          <w:rFonts w:hint="eastAsia" w:ascii="宋体" w:hAnsi="Times New Roman" w:cs="宋体"/>
          <w:sz w:val="28"/>
          <w:szCs w:val="21"/>
        </w:rPr>
        <w:t>万元。与上年度相比，财政拨款收、支总计各减少</w:t>
      </w:r>
      <w:r>
        <w:rPr>
          <w:rFonts w:ascii="宋体" w:hAnsi="Times New Roman" w:cs="宋体"/>
          <w:sz w:val="28"/>
          <w:szCs w:val="21"/>
        </w:rPr>
        <w:t>143.71</w:t>
      </w:r>
      <w:r>
        <w:rPr>
          <w:rFonts w:hint="eastAsia" w:ascii="宋体" w:hAnsi="Times New Roman" w:cs="宋体"/>
          <w:sz w:val="28"/>
          <w:szCs w:val="21"/>
        </w:rPr>
        <w:t>万元，下降</w:t>
      </w:r>
      <w:r>
        <w:rPr>
          <w:rFonts w:ascii="宋体" w:hAnsi="Times New Roman" w:cs="宋体"/>
          <w:sz w:val="28"/>
          <w:szCs w:val="21"/>
        </w:rPr>
        <w:t>26.25%</w:t>
      </w:r>
      <w:r>
        <w:rPr>
          <w:rFonts w:hint="eastAsia" w:ascii="宋体" w:hAnsi="Times New Roman" w:cs="宋体"/>
          <w:sz w:val="28"/>
          <w:szCs w:val="21"/>
        </w:rPr>
        <w:t>。主要原因是政府性基金预算财政拨款收入支出均减少。</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五、一般公共预算财政拨款支出决算情况说明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（一）总体情况。</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年度一般公共预算财政拨款支出</w:t>
      </w:r>
      <w:r>
        <w:rPr>
          <w:rFonts w:ascii="宋体" w:hAnsi="Times New Roman" w:cs="宋体"/>
          <w:sz w:val="28"/>
          <w:szCs w:val="21"/>
        </w:rPr>
        <w:t>268.21</w:t>
      </w:r>
      <w:r>
        <w:rPr>
          <w:rFonts w:hint="eastAsia" w:ascii="宋体" w:hAnsi="Times New Roman" w:cs="宋体"/>
          <w:sz w:val="28"/>
          <w:szCs w:val="21"/>
        </w:rPr>
        <w:t>万元，占本年支出合计的</w:t>
      </w:r>
      <w:r>
        <w:rPr>
          <w:rFonts w:ascii="宋体" w:hAnsi="Times New Roman" w:cs="宋体"/>
          <w:sz w:val="28"/>
          <w:szCs w:val="21"/>
        </w:rPr>
        <w:t>66.44%</w:t>
      </w:r>
      <w:r>
        <w:rPr>
          <w:rFonts w:hint="eastAsia" w:ascii="宋体" w:hAnsi="Times New Roman" w:cs="宋体"/>
          <w:sz w:val="28"/>
          <w:szCs w:val="21"/>
        </w:rPr>
        <w:t>。与上年度相比，一般公共预算财政拨款支出增加</w:t>
      </w:r>
      <w:r>
        <w:rPr>
          <w:rFonts w:ascii="宋体" w:hAnsi="Times New Roman" w:cs="宋体"/>
          <w:sz w:val="28"/>
          <w:szCs w:val="21"/>
        </w:rPr>
        <w:t>54.44</w:t>
      </w:r>
      <w:r>
        <w:rPr>
          <w:rFonts w:hint="eastAsia" w:ascii="宋体" w:hAnsi="Times New Roman" w:cs="宋体"/>
          <w:sz w:val="28"/>
          <w:szCs w:val="21"/>
        </w:rPr>
        <w:t>万元，增长</w:t>
      </w:r>
      <w:r>
        <w:rPr>
          <w:rFonts w:ascii="宋体" w:hAnsi="Times New Roman" w:cs="宋体"/>
          <w:sz w:val="28"/>
          <w:szCs w:val="21"/>
        </w:rPr>
        <w:t>25.47%</w:t>
      </w:r>
      <w:r>
        <w:rPr>
          <w:rFonts w:hint="eastAsia" w:ascii="宋体" w:hAnsi="Times New Roman" w:cs="宋体"/>
          <w:sz w:val="28"/>
          <w:szCs w:val="21"/>
        </w:rPr>
        <w:t>。主要原因是社会保障金增加。</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（二）结构情况。</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年度一般公共预算财政拨款支出</w:t>
      </w:r>
      <w:r>
        <w:rPr>
          <w:rFonts w:ascii="宋体" w:hAnsi="Times New Roman" w:cs="宋体"/>
          <w:sz w:val="28"/>
          <w:szCs w:val="21"/>
        </w:rPr>
        <w:t>268.21</w:t>
      </w:r>
      <w:r>
        <w:rPr>
          <w:rFonts w:hint="eastAsia" w:ascii="宋体" w:hAnsi="Times New Roman" w:cs="宋体"/>
          <w:sz w:val="28"/>
          <w:szCs w:val="21"/>
        </w:rPr>
        <w:t>万元，主要用于以下方面：一般公共服务（类）支出</w:t>
      </w:r>
      <w:r>
        <w:rPr>
          <w:rFonts w:ascii="宋体" w:hAnsi="Times New Roman" w:cs="宋体"/>
          <w:sz w:val="28"/>
          <w:szCs w:val="21"/>
        </w:rPr>
        <w:t>240.07</w:t>
      </w:r>
      <w:r>
        <w:rPr>
          <w:rFonts w:hint="eastAsia" w:ascii="宋体" w:hAnsi="Times New Roman" w:cs="宋体"/>
          <w:sz w:val="28"/>
          <w:szCs w:val="21"/>
        </w:rPr>
        <w:t>万元，占</w:t>
      </w:r>
      <w:r>
        <w:rPr>
          <w:rFonts w:ascii="宋体" w:hAnsi="Times New Roman" w:cs="宋体"/>
          <w:sz w:val="28"/>
          <w:szCs w:val="21"/>
        </w:rPr>
        <w:t>89.5%</w:t>
      </w:r>
      <w:r>
        <w:rPr>
          <w:rFonts w:hint="eastAsia" w:ascii="宋体" w:hAnsi="Times New Roman" w:cs="宋体"/>
          <w:sz w:val="28"/>
          <w:szCs w:val="21"/>
        </w:rPr>
        <w:t>；社会保障和就业支出（类）</w:t>
      </w:r>
      <w:r>
        <w:rPr>
          <w:rFonts w:ascii="宋体" w:hAnsi="Times New Roman" w:cs="宋体"/>
          <w:sz w:val="28"/>
          <w:szCs w:val="21"/>
        </w:rPr>
        <w:t>28.14</w:t>
      </w:r>
      <w:r>
        <w:rPr>
          <w:rFonts w:hint="eastAsia" w:ascii="宋体" w:hAnsi="Times New Roman" w:cs="宋体"/>
          <w:sz w:val="28"/>
          <w:szCs w:val="21"/>
        </w:rPr>
        <w:t>万元，占</w:t>
      </w:r>
      <w:r>
        <w:rPr>
          <w:rFonts w:ascii="宋体" w:hAnsi="Times New Roman" w:cs="宋体"/>
          <w:sz w:val="28"/>
          <w:szCs w:val="21"/>
        </w:rPr>
        <w:t>10.5</w:t>
      </w:r>
      <w:r>
        <w:rPr>
          <w:rFonts w:hint="eastAsia" w:ascii="宋体" w:hAnsi="Times New Roman" w:cs="宋体"/>
          <w:sz w:val="28"/>
          <w:szCs w:val="21"/>
        </w:rPr>
        <w:t>％。</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（三）具体情况。</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年度一般公共预算财政拨款支出年初预算为</w:t>
      </w:r>
      <w:r>
        <w:rPr>
          <w:rFonts w:ascii="宋体" w:hAnsi="Times New Roman" w:cs="宋体"/>
          <w:sz w:val="28"/>
          <w:szCs w:val="21"/>
        </w:rPr>
        <w:t>198.6</w:t>
      </w:r>
      <w:r>
        <w:rPr>
          <w:rFonts w:hint="eastAsia" w:ascii="宋体" w:hAnsi="Times New Roman" w:cs="宋体"/>
          <w:sz w:val="28"/>
          <w:szCs w:val="21"/>
        </w:rPr>
        <w:t>万元，支出决算为</w:t>
      </w:r>
      <w:r>
        <w:rPr>
          <w:rFonts w:ascii="宋体" w:hAnsi="Times New Roman" w:cs="宋体"/>
          <w:sz w:val="28"/>
          <w:szCs w:val="21"/>
        </w:rPr>
        <w:t>268.21</w:t>
      </w:r>
      <w:r>
        <w:rPr>
          <w:rFonts w:hint="eastAsia" w:ascii="宋体" w:hAnsi="Times New Roman" w:cs="宋体"/>
          <w:sz w:val="28"/>
          <w:szCs w:val="21"/>
        </w:rPr>
        <w:t>万元，完成年初预算的</w:t>
      </w:r>
      <w:r>
        <w:rPr>
          <w:rFonts w:ascii="宋体" w:hAnsi="Times New Roman" w:cs="宋体"/>
          <w:sz w:val="28"/>
          <w:szCs w:val="21"/>
        </w:rPr>
        <w:t>135%</w:t>
      </w:r>
      <w:r>
        <w:rPr>
          <w:rFonts w:hint="eastAsia" w:ascii="宋体" w:hAnsi="Times New Roman" w:cs="宋体"/>
          <w:sz w:val="28"/>
          <w:szCs w:val="21"/>
        </w:rPr>
        <w:t>。其中：</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1</w:t>
      </w:r>
      <w:r>
        <w:rPr>
          <w:rFonts w:hint="eastAsia" w:ascii="宋体" w:hAnsi="Times New Roman" w:cs="宋体"/>
          <w:sz w:val="28"/>
          <w:szCs w:val="21"/>
        </w:rPr>
        <w:t>．一般公共服务支出（类）财政事务（款）其他财政事务支出（项）。年初预算为</w:t>
      </w:r>
      <w:r>
        <w:rPr>
          <w:rFonts w:ascii="宋体" w:hAnsi="Times New Roman" w:cs="宋体"/>
          <w:sz w:val="28"/>
          <w:szCs w:val="21"/>
        </w:rPr>
        <w:t>155.1</w:t>
      </w:r>
      <w:r>
        <w:rPr>
          <w:rFonts w:hint="eastAsia" w:ascii="宋体" w:hAnsi="Times New Roman" w:cs="宋体"/>
          <w:sz w:val="28"/>
          <w:szCs w:val="21"/>
        </w:rPr>
        <w:t>万元，支出决算为</w:t>
      </w:r>
      <w:r>
        <w:rPr>
          <w:rFonts w:ascii="宋体" w:hAnsi="Times New Roman" w:cs="宋体"/>
          <w:sz w:val="28"/>
          <w:szCs w:val="21"/>
        </w:rPr>
        <w:t>240.07</w:t>
      </w:r>
      <w:r>
        <w:rPr>
          <w:rFonts w:hint="eastAsia" w:ascii="宋体" w:hAnsi="Times New Roman" w:cs="宋体"/>
          <w:sz w:val="28"/>
          <w:szCs w:val="21"/>
        </w:rPr>
        <w:t>万元，完成年初预算的</w:t>
      </w:r>
      <w:r>
        <w:rPr>
          <w:rFonts w:ascii="宋体" w:hAnsi="Times New Roman" w:cs="宋体"/>
          <w:sz w:val="28"/>
          <w:szCs w:val="21"/>
        </w:rPr>
        <w:t>154.8%</w:t>
      </w:r>
      <w:r>
        <w:rPr>
          <w:rFonts w:hint="eastAsia" w:ascii="宋体" w:hAnsi="Times New Roman" w:cs="宋体"/>
          <w:sz w:val="28"/>
          <w:szCs w:val="21"/>
        </w:rPr>
        <w:t>。决算数与年初预算数存在差异的主要原因是年初预算数包含上年结转资金，部门预算的上年结转资金为预估数，部门决算的上年结转资金为实际数，两者数据可能存在差异。。</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w:t>
      </w:r>
      <w:r>
        <w:rPr>
          <w:rFonts w:hint="eastAsia" w:ascii="宋体" w:hAnsi="Times New Roman" w:cs="宋体"/>
          <w:sz w:val="28"/>
          <w:szCs w:val="21"/>
        </w:rPr>
        <w:t>．社会保障和就业支出（类）行政事业单位离退休</w:t>
      </w:r>
      <w:r>
        <w:rPr>
          <w:rFonts w:ascii="宋体" w:hAnsi="Times New Roman" w:cs="宋体"/>
          <w:sz w:val="28"/>
          <w:szCs w:val="21"/>
        </w:rPr>
        <w:t>(</w:t>
      </w:r>
      <w:r>
        <w:rPr>
          <w:rFonts w:hint="eastAsia" w:ascii="宋体" w:hAnsi="Times New Roman" w:cs="宋体"/>
          <w:sz w:val="28"/>
          <w:szCs w:val="21"/>
        </w:rPr>
        <w:t>款</w:t>
      </w:r>
      <w:r>
        <w:rPr>
          <w:rFonts w:ascii="宋体" w:hAnsi="Times New Roman" w:cs="宋体"/>
          <w:sz w:val="28"/>
          <w:szCs w:val="21"/>
        </w:rPr>
        <w:t>)</w:t>
      </w:r>
      <w:r>
        <w:rPr>
          <w:rFonts w:hint="eastAsia" w:ascii="宋体" w:hAnsi="Times New Roman" w:cs="宋体"/>
          <w:sz w:val="28"/>
          <w:szCs w:val="21"/>
        </w:rPr>
        <w:t>事业单位离退休</w:t>
      </w:r>
      <w:r>
        <w:rPr>
          <w:rFonts w:ascii="宋体" w:hAnsi="Times New Roman" w:cs="宋体"/>
          <w:sz w:val="28"/>
          <w:szCs w:val="21"/>
        </w:rPr>
        <w:t>(</w:t>
      </w:r>
      <w:r>
        <w:rPr>
          <w:rFonts w:hint="eastAsia" w:ascii="宋体" w:hAnsi="Times New Roman" w:cs="宋体"/>
          <w:sz w:val="28"/>
          <w:szCs w:val="21"/>
        </w:rPr>
        <w:t>项</w:t>
      </w:r>
      <w:r>
        <w:rPr>
          <w:rFonts w:ascii="宋体" w:hAnsi="Times New Roman" w:cs="宋体"/>
          <w:sz w:val="28"/>
          <w:szCs w:val="21"/>
        </w:rPr>
        <w:t>)</w:t>
      </w:r>
      <w:r>
        <w:rPr>
          <w:rFonts w:hint="eastAsia" w:ascii="宋体" w:hAnsi="Times New Roman" w:cs="宋体"/>
          <w:sz w:val="28"/>
          <w:szCs w:val="21"/>
        </w:rPr>
        <w:t>。年初预算为</w:t>
      </w:r>
      <w:r>
        <w:rPr>
          <w:rFonts w:ascii="宋体" w:hAnsi="Times New Roman" w:cs="宋体"/>
          <w:sz w:val="28"/>
          <w:szCs w:val="21"/>
        </w:rPr>
        <w:t>11.9</w:t>
      </w:r>
      <w:r>
        <w:rPr>
          <w:rFonts w:hint="eastAsia" w:ascii="宋体" w:hAnsi="Times New Roman" w:cs="宋体"/>
          <w:sz w:val="28"/>
          <w:szCs w:val="21"/>
        </w:rPr>
        <w:t>万元，支出决算为</w:t>
      </w:r>
      <w:r>
        <w:rPr>
          <w:rFonts w:ascii="宋体" w:hAnsi="Times New Roman" w:cs="宋体"/>
          <w:sz w:val="28"/>
          <w:szCs w:val="21"/>
        </w:rPr>
        <w:t>8.99</w:t>
      </w:r>
      <w:r>
        <w:rPr>
          <w:rFonts w:hint="eastAsia" w:ascii="宋体" w:hAnsi="Times New Roman" w:cs="宋体"/>
          <w:sz w:val="28"/>
          <w:szCs w:val="21"/>
        </w:rPr>
        <w:t>万元，完成年初预算的</w:t>
      </w:r>
      <w:r>
        <w:rPr>
          <w:rFonts w:ascii="宋体" w:hAnsi="Times New Roman" w:cs="宋体"/>
          <w:sz w:val="28"/>
          <w:szCs w:val="21"/>
        </w:rPr>
        <w:t>75.6%</w:t>
      </w:r>
      <w:r>
        <w:rPr>
          <w:rFonts w:hint="eastAsia" w:ascii="宋体" w:hAnsi="Times New Roman" w:cs="宋体"/>
          <w:sz w:val="28"/>
          <w:szCs w:val="21"/>
        </w:rPr>
        <w:t>。决算数与年初预算数存在差异的主要原因是年初预算数包含上年结转资金，部门预算的上年结转资金为预估数，部门决算的上年结转资金为实际数，两者数据可能存在差异。</w:t>
      </w:r>
    </w:p>
    <w:p>
      <w:pPr>
        <w:widowControl/>
        <w:spacing w:line="590" w:lineRule="exact"/>
        <w:ind w:firstLine="560" w:firstLineChars="200"/>
        <w:jc w:val="left"/>
        <w:rPr>
          <w:rFonts w:ascii="宋体" w:cs="黑体"/>
          <w:sz w:val="32"/>
          <w:szCs w:val="32"/>
        </w:rPr>
      </w:pPr>
      <w:r>
        <w:rPr>
          <w:rFonts w:ascii="宋体" w:hAnsi="宋体" w:cs="仿宋_GB2312"/>
          <w:bCs/>
          <w:sz w:val="28"/>
          <w:szCs w:val="28"/>
        </w:rPr>
        <w:t>3</w:t>
      </w:r>
      <w:r>
        <w:rPr>
          <w:rFonts w:hint="eastAsia" w:ascii="宋体" w:hAnsi="宋体" w:cs="仿宋_GB2312"/>
          <w:bCs/>
          <w:sz w:val="28"/>
          <w:szCs w:val="28"/>
        </w:rPr>
        <w:t>．社会保障和就业支出</w:t>
      </w:r>
      <w:r>
        <w:rPr>
          <w:rFonts w:ascii="宋体" w:hAnsi="宋体" w:cs="仿宋_GB2312"/>
          <w:bCs/>
          <w:sz w:val="28"/>
          <w:szCs w:val="28"/>
        </w:rPr>
        <w:t>(</w:t>
      </w:r>
      <w:r>
        <w:rPr>
          <w:rFonts w:hint="eastAsia" w:ascii="宋体" w:hAnsi="宋体" w:cs="仿宋_GB2312"/>
          <w:bCs/>
          <w:sz w:val="28"/>
          <w:szCs w:val="28"/>
        </w:rPr>
        <w:t>类</w:t>
      </w:r>
      <w:r>
        <w:rPr>
          <w:rFonts w:ascii="宋体" w:hAnsi="宋体" w:cs="仿宋_GB2312"/>
          <w:bCs/>
          <w:sz w:val="28"/>
          <w:szCs w:val="28"/>
        </w:rPr>
        <w:t>)</w:t>
      </w:r>
      <w:r>
        <w:rPr>
          <w:rFonts w:hint="eastAsia" w:ascii="宋体" w:hAnsi="宋体" w:cs="仿宋_GB2312"/>
          <w:bCs/>
          <w:sz w:val="28"/>
          <w:szCs w:val="28"/>
        </w:rPr>
        <w:t>抚恤</w:t>
      </w:r>
      <w:r>
        <w:rPr>
          <w:rFonts w:ascii="宋体" w:hAnsi="宋体" w:cs="仿宋_GB2312"/>
          <w:bCs/>
          <w:sz w:val="28"/>
          <w:szCs w:val="28"/>
        </w:rPr>
        <w:t>(</w:t>
      </w:r>
      <w:r>
        <w:rPr>
          <w:rFonts w:hint="eastAsia" w:ascii="宋体" w:hAnsi="宋体" w:cs="仿宋_GB2312"/>
          <w:bCs/>
          <w:sz w:val="28"/>
          <w:szCs w:val="28"/>
        </w:rPr>
        <w:t>款</w:t>
      </w:r>
      <w:r>
        <w:rPr>
          <w:rFonts w:ascii="宋体" w:hAnsi="宋体" w:cs="仿宋_GB2312"/>
          <w:bCs/>
          <w:sz w:val="28"/>
          <w:szCs w:val="28"/>
        </w:rPr>
        <w:t>)</w:t>
      </w:r>
      <w:r>
        <w:rPr>
          <w:rFonts w:hint="eastAsia" w:ascii="宋体" w:hAnsi="宋体" w:cs="仿宋_GB2312"/>
          <w:bCs/>
          <w:sz w:val="28"/>
          <w:szCs w:val="28"/>
        </w:rPr>
        <w:t>死亡抚恤</w:t>
      </w:r>
      <w:r>
        <w:rPr>
          <w:rFonts w:ascii="宋体" w:hAnsi="宋体" w:cs="仿宋_GB2312"/>
          <w:bCs/>
          <w:sz w:val="28"/>
          <w:szCs w:val="28"/>
        </w:rPr>
        <w:t xml:space="preserve"> (</w:t>
      </w:r>
      <w:r>
        <w:rPr>
          <w:rFonts w:hint="eastAsia" w:ascii="宋体" w:hAnsi="宋体" w:cs="仿宋_GB2312"/>
          <w:bCs/>
          <w:sz w:val="28"/>
          <w:szCs w:val="28"/>
        </w:rPr>
        <w:t>项</w:t>
      </w:r>
      <w:r>
        <w:rPr>
          <w:rFonts w:ascii="宋体" w:hAnsi="宋体" w:cs="仿宋_GB2312"/>
          <w:bCs/>
          <w:sz w:val="28"/>
          <w:szCs w:val="28"/>
        </w:rPr>
        <w:t>)</w:t>
      </w:r>
      <w:r>
        <w:rPr>
          <w:rFonts w:hint="eastAsia" w:ascii="宋体" w:hAnsi="宋体" w:cs="仿宋_GB2312"/>
          <w:bCs/>
          <w:sz w:val="28"/>
          <w:szCs w:val="28"/>
        </w:rPr>
        <w:t>。年初预算为</w:t>
      </w:r>
      <w:r>
        <w:rPr>
          <w:rFonts w:ascii="宋体" w:cs="仿宋_GB2312"/>
          <w:bCs/>
          <w:sz w:val="28"/>
          <w:szCs w:val="28"/>
        </w:rPr>
        <w:t>0</w:t>
      </w:r>
      <w:r>
        <w:rPr>
          <w:rFonts w:hint="eastAsia" w:ascii="宋体" w:hAnsi="宋体" w:cs="仿宋_GB2312"/>
          <w:bCs/>
          <w:sz w:val="28"/>
          <w:szCs w:val="28"/>
        </w:rPr>
        <w:t>万元，支出决算为</w:t>
      </w:r>
      <w:r>
        <w:rPr>
          <w:rFonts w:ascii="宋体" w:hAnsi="宋体" w:cs="仿宋_GB2312"/>
          <w:bCs/>
          <w:sz w:val="28"/>
          <w:szCs w:val="28"/>
        </w:rPr>
        <w:t>19.15</w:t>
      </w:r>
      <w:r>
        <w:rPr>
          <w:rFonts w:hint="eastAsia" w:ascii="宋体" w:hAnsi="宋体" w:cs="仿宋_GB2312"/>
          <w:bCs/>
          <w:sz w:val="28"/>
          <w:szCs w:val="28"/>
        </w:rPr>
        <w:t>万元，完成年初预算</w:t>
      </w:r>
      <w:r>
        <w:rPr>
          <w:rFonts w:ascii="宋体" w:cs="仿宋_GB2312"/>
          <w:bCs/>
          <w:sz w:val="28"/>
          <w:szCs w:val="28"/>
        </w:rPr>
        <w:t>0</w:t>
      </w:r>
      <w:r>
        <w:rPr>
          <w:rFonts w:ascii="宋体" w:hAnsi="宋体" w:cs="仿宋_GB2312"/>
          <w:bCs/>
          <w:sz w:val="28"/>
          <w:szCs w:val="28"/>
        </w:rPr>
        <w:t>%</w:t>
      </w:r>
      <w:r>
        <w:rPr>
          <w:rFonts w:hint="eastAsia" w:ascii="宋体" w:hAnsi="宋体" w:cs="仿宋_GB2312"/>
          <w:bCs/>
          <w:sz w:val="28"/>
          <w:szCs w:val="28"/>
        </w:rPr>
        <w:t>。决算数与年初预算数存在差异的主要原因是单位一人去世，增加死亡抚恤金。</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六、一般公共预算财政拨款基本支出决算情况说明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年度一般公共预算财政拨款基本支出</w:t>
      </w:r>
      <w:r>
        <w:rPr>
          <w:rFonts w:ascii="宋体" w:hAnsi="Times New Roman" w:cs="宋体"/>
          <w:sz w:val="28"/>
          <w:szCs w:val="21"/>
        </w:rPr>
        <w:t>233.21</w:t>
      </w:r>
      <w:r>
        <w:rPr>
          <w:rFonts w:hint="eastAsia" w:ascii="宋体" w:hAnsi="Times New Roman" w:cs="宋体"/>
          <w:sz w:val="28"/>
          <w:szCs w:val="21"/>
        </w:rPr>
        <w:t>万元。其中：人员经费</w:t>
      </w:r>
      <w:r>
        <w:rPr>
          <w:rFonts w:ascii="宋体" w:hAnsi="Times New Roman" w:cs="宋体"/>
          <w:sz w:val="28"/>
          <w:szCs w:val="21"/>
        </w:rPr>
        <w:t>141.35</w:t>
      </w:r>
      <w:r>
        <w:rPr>
          <w:rFonts w:hint="eastAsia" w:ascii="宋体" w:hAnsi="Times New Roman" w:cs="宋体"/>
          <w:sz w:val="28"/>
          <w:szCs w:val="21"/>
        </w:rPr>
        <w:t>万元，主要包括：基本工资、绩效工资、机关事业单位基本养老保险缴费、职工基本医疗保险缴费、离休费、生活补助；公用经费</w:t>
      </w:r>
      <w:r>
        <w:rPr>
          <w:rFonts w:ascii="宋体" w:hAnsi="Times New Roman" w:cs="宋体"/>
          <w:sz w:val="28"/>
          <w:szCs w:val="21"/>
        </w:rPr>
        <w:t>91.86</w:t>
      </w:r>
      <w:r>
        <w:rPr>
          <w:rFonts w:hint="eastAsia" w:ascii="宋体" w:hAnsi="Times New Roman" w:cs="宋体"/>
          <w:sz w:val="28"/>
          <w:szCs w:val="21"/>
        </w:rPr>
        <w:t>万元，主要包括：办公费、印刷费、邮电费、差旅费、维修（护）费、劳务费、公务用车运行维护费。</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七、一般公共预算财政拨款“三公”经费支出决算情况说明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（一）</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经费财政拨款支出决算总体情况说明。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经费财政拨款支出预算为</w:t>
      </w:r>
      <w:r>
        <w:rPr>
          <w:rFonts w:ascii="宋体" w:hAnsi="Times New Roman" w:cs="宋体"/>
          <w:sz w:val="28"/>
          <w:szCs w:val="21"/>
        </w:rPr>
        <w:t>3.2</w:t>
      </w:r>
      <w:r>
        <w:rPr>
          <w:rFonts w:hint="eastAsia" w:ascii="宋体" w:hAnsi="Times New Roman" w:cs="宋体"/>
          <w:sz w:val="28"/>
          <w:szCs w:val="21"/>
        </w:rPr>
        <w:t>万元，支出决算为</w:t>
      </w:r>
      <w:r>
        <w:rPr>
          <w:rFonts w:ascii="宋体" w:hAnsi="Times New Roman" w:cs="宋体"/>
          <w:sz w:val="28"/>
          <w:szCs w:val="21"/>
        </w:rPr>
        <w:t>3.5</w:t>
      </w:r>
      <w:r>
        <w:rPr>
          <w:rFonts w:hint="eastAsia" w:ascii="宋体" w:hAnsi="Times New Roman" w:cs="宋体"/>
          <w:sz w:val="28"/>
          <w:szCs w:val="21"/>
        </w:rPr>
        <w:t>万元，完成预算的</w:t>
      </w:r>
      <w:r>
        <w:rPr>
          <w:rFonts w:ascii="宋体" w:hAnsi="Times New Roman" w:cs="宋体"/>
          <w:sz w:val="28"/>
          <w:szCs w:val="21"/>
        </w:rPr>
        <w:t>109%</w:t>
      </w:r>
      <w:r>
        <w:rPr>
          <w:rFonts w:hint="eastAsia" w:ascii="宋体" w:hAnsi="Times New Roman" w:cs="宋体"/>
          <w:sz w:val="28"/>
          <w:szCs w:val="21"/>
        </w:rPr>
        <w:t>。</w:t>
      </w:r>
      <w:r>
        <w:rPr>
          <w:rFonts w:ascii="宋体" w:hAnsi="Times New Roman" w:cs="宋体"/>
          <w:sz w:val="28"/>
          <w:szCs w:val="21"/>
        </w:rPr>
        <w:t>2019</w:t>
      </w:r>
      <w:r>
        <w:rPr>
          <w:rFonts w:hint="eastAsia" w:ascii="宋体" w:hAnsi="Times New Roman" w:cs="宋体"/>
          <w:sz w:val="28"/>
          <w:szCs w:val="21"/>
        </w:rPr>
        <w:t>年度</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经费支出决算数与预算数存在差异的主要原因是</w:t>
      </w:r>
      <w:r>
        <w:rPr>
          <w:rFonts w:hint="eastAsia" w:ascii="宋体" w:hAnsi="Times New Roman" w:cs="宋体"/>
          <w:sz w:val="28"/>
          <w:szCs w:val="21"/>
          <w:lang w:val="en-US" w:eastAsia="zh-CN"/>
        </w:rPr>
        <w:t>当年支出包括上年结转结余支出。用于</w:t>
      </w:r>
      <w:r>
        <w:rPr>
          <w:rFonts w:hint="eastAsia" w:ascii="宋体" w:hAnsi="Times New Roman" w:cs="宋体"/>
          <w:sz w:val="28"/>
          <w:szCs w:val="21"/>
        </w:rPr>
        <w:t>车辆老化维修养护。</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（二）</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经费财政拨款支出决算具体情况说明。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经费财政拨款支出决算中，因公出国（境）费支出决算</w:t>
      </w:r>
      <w:r>
        <w:rPr>
          <w:rFonts w:ascii="宋体" w:hAnsi="Times New Roman" w:cs="宋体"/>
          <w:sz w:val="28"/>
          <w:szCs w:val="21"/>
        </w:rPr>
        <w:t>0</w:t>
      </w:r>
      <w:r>
        <w:rPr>
          <w:rFonts w:hint="eastAsia" w:ascii="宋体" w:hAnsi="Times New Roman" w:cs="宋体"/>
          <w:sz w:val="28"/>
          <w:szCs w:val="21"/>
        </w:rPr>
        <w:t>万元，完成预算的</w:t>
      </w:r>
      <w:r>
        <w:rPr>
          <w:rFonts w:ascii="宋体" w:hAnsi="Times New Roman" w:cs="宋体"/>
          <w:sz w:val="28"/>
          <w:szCs w:val="21"/>
        </w:rPr>
        <w:t>0%</w:t>
      </w:r>
      <w:r>
        <w:rPr>
          <w:rFonts w:hint="eastAsia" w:ascii="宋体" w:hAnsi="Times New Roman" w:cs="宋体"/>
          <w:sz w:val="28"/>
          <w:szCs w:val="21"/>
        </w:rPr>
        <w:t>，占</w:t>
      </w:r>
      <w:r>
        <w:rPr>
          <w:rFonts w:ascii="宋体" w:hAnsi="Times New Roman" w:cs="宋体"/>
          <w:sz w:val="28"/>
          <w:szCs w:val="21"/>
        </w:rPr>
        <w:t>0%</w:t>
      </w:r>
      <w:r>
        <w:rPr>
          <w:rFonts w:hint="eastAsia" w:ascii="宋体" w:hAnsi="Times New Roman" w:cs="宋体"/>
          <w:sz w:val="28"/>
          <w:szCs w:val="21"/>
        </w:rPr>
        <w:t>；公务用车购置及运行费支出决算</w:t>
      </w:r>
      <w:r>
        <w:rPr>
          <w:rFonts w:ascii="宋体" w:hAnsi="Times New Roman" w:cs="宋体"/>
          <w:sz w:val="28"/>
          <w:szCs w:val="21"/>
        </w:rPr>
        <w:t>3.5</w:t>
      </w:r>
      <w:r>
        <w:rPr>
          <w:rFonts w:hint="eastAsia" w:ascii="宋体" w:hAnsi="Times New Roman" w:cs="宋体"/>
          <w:sz w:val="28"/>
          <w:szCs w:val="21"/>
        </w:rPr>
        <w:t>万元，完成预算的</w:t>
      </w:r>
      <w:r>
        <w:rPr>
          <w:rFonts w:ascii="宋体" w:hAnsi="Times New Roman" w:cs="宋体"/>
          <w:sz w:val="28"/>
          <w:szCs w:val="21"/>
        </w:rPr>
        <w:t>109%</w:t>
      </w:r>
      <w:r>
        <w:rPr>
          <w:rFonts w:hint="eastAsia" w:ascii="宋体" w:hAnsi="Times New Roman" w:cs="宋体"/>
          <w:sz w:val="28"/>
          <w:szCs w:val="21"/>
        </w:rPr>
        <w:t>，占</w:t>
      </w:r>
      <w:r>
        <w:rPr>
          <w:rFonts w:ascii="宋体" w:hAnsi="Times New Roman" w:cs="宋体"/>
          <w:sz w:val="28"/>
          <w:szCs w:val="21"/>
        </w:rPr>
        <w:t>100%</w:t>
      </w:r>
      <w:r>
        <w:rPr>
          <w:rFonts w:hint="eastAsia" w:ascii="宋体" w:hAnsi="Times New Roman" w:cs="宋体"/>
          <w:sz w:val="28"/>
          <w:szCs w:val="21"/>
        </w:rPr>
        <w:t>；公务接待费支出决算</w:t>
      </w:r>
      <w:r>
        <w:rPr>
          <w:rFonts w:ascii="宋体" w:hAnsi="Times New Roman" w:cs="宋体"/>
          <w:sz w:val="28"/>
          <w:szCs w:val="21"/>
        </w:rPr>
        <w:t>0</w:t>
      </w:r>
      <w:r>
        <w:rPr>
          <w:rFonts w:hint="eastAsia" w:ascii="宋体" w:hAnsi="Times New Roman" w:cs="宋体"/>
          <w:sz w:val="28"/>
          <w:szCs w:val="21"/>
        </w:rPr>
        <w:t>万元，完成预算的</w:t>
      </w:r>
      <w:r>
        <w:rPr>
          <w:rFonts w:ascii="宋体" w:hAnsi="Times New Roman" w:cs="宋体"/>
          <w:sz w:val="28"/>
          <w:szCs w:val="21"/>
        </w:rPr>
        <w:t>0%</w:t>
      </w:r>
      <w:r>
        <w:rPr>
          <w:rFonts w:hint="eastAsia" w:ascii="宋体" w:hAnsi="Times New Roman" w:cs="宋体"/>
          <w:sz w:val="28"/>
          <w:szCs w:val="21"/>
        </w:rPr>
        <w:t>，占</w:t>
      </w:r>
      <w:r>
        <w:rPr>
          <w:rFonts w:ascii="宋体" w:hAnsi="Times New Roman" w:cs="宋体"/>
          <w:sz w:val="28"/>
          <w:szCs w:val="21"/>
        </w:rPr>
        <w:t>0%</w:t>
      </w:r>
      <w:r>
        <w:rPr>
          <w:rFonts w:hint="eastAsia" w:ascii="宋体" w:hAnsi="Times New Roman" w:cs="宋体"/>
          <w:sz w:val="28"/>
          <w:szCs w:val="21"/>
        </w:rPr>
        <w:t>。具体情况如下：</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1</w:t>
      </w:r>
      <w:r>
        <w:rPr>
          <w:rFonts w:hint="eastAsia" w:ascii="宋体" w:hAnsi="Times New Roman" w:cs="宋体"/>
          <w:sz w:val="28"/>
          <w:szCs w:val="21"/>
        </w:rPr>
        <w:t>．因公出国（境）费预算为</w:t>
      </w:r>
      <w:r>
        <w:rPr>
          <w:rFonts w:ascii="宋体" w:hAnsi="Times New Roman" w:cs="宋体"/>
          <w:sz w:val="28"/>
          <w:szCs w:val="21"/>
        </w:rPr>
        <w:t>0</w:t>
      </w:r>
      <w:r>
        <w:rPr>
          <w:rFonts w:hint="eastAsia" w:ascii="宋体" w:hAnsi="Times New Roman" w:cs="宋体"/>
          <w:sz w:val="28"/>
          <w:szCs w:val="21"/>
        </w:rPr>
        <w:t>万元，支出决算为</w:t>
      </w:r>
      <w:r>
        <w:rPr>
          <w:rFonts w:ascii="宋体" w:hAnsi="Times New Roman" w:cs="宋体"/>
          <w:sz w:val="28"/>
          <w:szCs w:val="21"/>
        </w:rPr>
        <w:t>0</w:t>
      </w:r>
      <w:r>
        <w:rPr>
          <w:rFonts w:hint="eastAsia" w:ascii="宋体" w:hAnsi="Times New Roman" w:cs="宋体"/>
          <w:sz w:val="28"/>
          <w:szCs w:val="21"/>
        </w:rPr>
        <w:t>万元，完成预算的</w:t>
      </w:r>
      <w:r>
        <w:rPr>
          <w:rFonts w:ascii="宋体" w:hAnsi="Times New Roman" w:cs="宋体"/>
          <w:sz w:val="28"/>
          <w:szCs w:val="21"/>
        </w:rPr>
        <w:t>0%</w:t>
      </w:r>
      <w:r>
        <w:rPr>
          <w:rFonts w:hint="eastAsia" w:ascii="宋体" w:hAnsi="Times New Roman" w:cs="宋体"/>
          <w:sz w:val="28"/>
          <w:szCs w:val="21"/>
        </w:rPr>
        <w:t>。全年因公出国（境）团组</w:t>
      </w:r>
      <w:r>
        <w:rPr>
          <w:rFonts w:ascii="宋体" w:hAnsi="Times New Roman" w:cs="宋体"/>
          <w:sz w:val="28"/>
          <w:szCs w:val="21"/>
        </w:rPr>
        <w:t>0</w:t>
      </w:r>
      <w:r>
        <w:rPr>
          <w:rFonts w:hint="eastAsia" w:ascii="宋体" w:hAnsi="Times New Roman" w:cs="宋体"/>
          <w:sz w:val="28"/>
          <w:szCs w:val="21"/>
        </w:rPr>
        <w:t>个，累计</w:t>
      </w:r>
      <w:r>
        <w:rPr>
          <w:rFonts w:ascii="宋体" w:hAnsi="Times New Roman" w:cs="宋体"/>
          <w:sz w:val="28"/>
          <w:szCs w:val="21"/>
        </w:rPr>
        <w:t>0</w:t>
      </w:r>
      <w:r>
        <w:rPr>
          <w:rFonts w:hint="eastAsia" w:ascii="宋体" w:hAnsi="Times New Roman" w:cs="宋体"/>
          <w:sz w:val="28"/>
          <w:szCs w:val="21"/>
        </w:rPr>
        <w:t>人次。</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w:t>
      </w:r>
      <w:r>
        <w:rPr>
          <w:rFonts w:hint="eastAsia" w:ascii="宋体" w:hAnsi="Times New Roman" w:cs="宋体"/>
          <w:sz w:val="28"/>
          <w:szCs w:val="21"/>
        </w:rPr>
        <w:t>．公务用车购置及运行费预算为</w:t>
      </w:r>
      <w:r>
        <w:rPr>
          <w:rFonts w:ascii="宋体" w:hAnsi="Times New Roman" w:cs="宋体"/>
          <w:sz w:val="28"/>
          <w:szCs w:val="21"/>
        </w:rPr>
        <w:t>3.2</w:t>
      </w:r>
      <w:r>
        <w:rPr>
          <w:rFonts w:hint="eastAsia" w:ascii="宋体" w:hAnsi="Times New Roman" w:cs="宋体"/>
          <w:sz w:val="28"/>
          <w:szCs w:val="21"/>
        </w:rPr>
        <w:t>万元，支出决算为</w:t>
      </w:r>
      <w:r>
        <w:rPr>
          <w:rFonts w:ascii="宋体" w:hAnsi="Times New Roman" w:cs="宋体"/>
          <w:sz w:val="28"/>
          <w:szCs w:val="21"/>
        </w:rPr>
        <w:t>3.5</w:t>
      </w:r>
      <w:r>
        <w:rPr>
          <w:rFonts w:hint="eastAsia" w:ascii="宋体" w:hAnsi="Times New Roman" w:cs="宋体"/>
          <w:sz w:val="28"/>
          <w:szCs w:val="21"/>
        </w:rPr>
        <w:t>万元，完成预算的</w:t>
      </w:r>
      <w:r>
        <w:rPr>
          <w:rFonts w:ascii="宋体" w:hAnsi="Times New Roman" w:cs="宋体"/>
          <w:sz w:val="28"/>
          <w:szCs w:val="21"/>
        </w:rPr>
        <w:t>109%</w:t>
      </w:r>
      <w:r>
        <w:rPr>
          <w:rFonts w:hint="eastAsia" w:ascii="宋体" w:hAnsi="Times New Roman" w:cs="宋体"/>
          <w:sz w:val="28"/>
          <w:szCs w:val="21"/>
        </w:rPr>
        <w:t>。决算数与预算数存在差异的主要原因是车辆老化维修养护。其中：</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公务用车购置支出为</w:t>
      </w:r>
      <w:r>
        <w:rPr>
          <w:rFonts w:ascii="宋体" w:hAnsi="Times New Roman" w:cs="宋体"/>
          <w:sz w:val="28"/>
          <w:szCs w:val="21"/>
        </w:rPr>
        <w:t>0</w:t>
      </w:r>
      <w:r>
        <w:rPr>
          <w:rFonts w:hint="eastAsia" w:ascii="宋体" w:hAnsi="Times New Roman" w:cs="宋体"/>
          <w:sz w:val="28"/>
          <w:szCs w:val="21"/>
        </w:rPr>
        <w:t>万元，购置车辆</w:t>
      </w:r>
      <w:r>
        <w:rPr>
          <w:rFonts w:ascii="宋体" w:hAnsi="Times New Roman" w:cs="宋体"/>
          <w:sz w:val="28"/>
          <w:szCs w:val="21"/>
        </w:rPr>
        <w:t>0</w:t>
      </w:r>
      <w:r>
        <w:rPr>
          <w:rFonts w:hint="eastAsia" w:ascii="宋体" w:hAnsi="Times New Roman" w:cs="宋体"/>
          <w:sz w:val="28"/>
          <w:szCs w:val="21"/>
        </w:rPr>
        <w:t>辆。</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公务用车运行支出</w:t>
      </w:r>
      <w:r>
        <w:rPr>
          <w:rFonts w:ascii="宋体" w:hAnsi="Times New Roman" w:cs="宋体"/>
          <w:sz w:val="28"/>
          <w:szCs w:val="21"/>
        </w:rPr>
        <w:t>3.5</w:t>
      </w:r>
      <w:r>
        <w:rPr>
          <w:rFonts w:hint="eastAsia" w:ascii="宋体" w:hAnsi="Times New Roman" w:cs="宋体"/>
          <w:sz w:val="28"/>
          <w:szCs w:val="21"/>
        </w:rPr>
        <w:t>万元。主要用于车辆维护。</w:t>
      </w:r>
      <w:r>
        <w:rPr>
          <w:rFonts w:ascii="宋体" w:hAnsi="Times New Roman" w:cs="宋体"/>
          <w:sz w:val="28"/>
          <w:szCs w:val="21"/>
        </w:rPr>
        <w:t>2019</w:t>
      </w:r>
      <w:r>
        <w:rPr>
          <w:rFonts w:hint="eastAsia" w:ascii="宋体" w:hAnsi="Times New Roman" w:cs="宋体"/>
          <w:sz w:val="28"/>
          <w:szCs w:val="21"/>
        </w:rPr>
        <w:t>年期末，部门开支财政拨款的公务用车保有量为</w:t>
      </w:r>
      <w:r>
        <w:rPr>
          <w:rFonts w:ascii="宋体" w:hAnsi="Times New Roman" w:cs="宋体"/>
          <w:sz w:val="28"/>
          <w:szCs w:val="21"/>
        </w:rPr>
        <w:t>1</w:t>
      </w:r>
      <w:r>
        <w:rPr>
          <w:rFonts w:hint="eastAsia" w:ascii="宋体" w:hAnsi="Times New Roman" w:cs="宋体"/>
          <w:sz w:val="28"/>
          <w:szCs w:val="21"/>
        </w:rPr>
        <w:t>辆。</w:t>
      </w:r>
    </w:p>
    <w:p>
      <w:pPr>
        <w:autoSpaceDE w:val="0"/>
        <w:autoSpaceDN w:val="0"/>
        <w:adjustRightInd w:val="0"/>
        <w:spacing w:beforeLines="50" w:afterLines="50" w:line="360" w:lineRule="auto"/>
        <w:ind w:firstLine="560" w:firstLineChars="200"/>
        <w:jc w:val="left"/>
        <w:rPr>
          <w:rFonts w:hint="eastAsia" w:ascii="宋体" w:hAnsi="Times New Roman" w:cs="宋体"/>
          <w:sz w:val="28"/>
          <w:szCs w:val="21"/>
        </w:rPr>
      </w:pPr>
      <w:r>
        <w:rPr>
          <w:rFonts w:hint="eastAsia" w:ascii="宋体" w:hAnsi="Times New Roman" w:cs="宋体"/>
          <w:sz w:val="28"/>
          <w:szCs w:val="21"/>
          <w:lang w:val="en-US" w:eastAsia="zh-CN"/>
        </w:rPr>
        <w:t>3.</w:t>
      </w:r>
      <w:r>
        <w:rPr>
          <w:rFonts w:hint="eastAsia" w:ascii="宋体" w:hAnsi="Times New Roman" w:cs="宋体"/>
          <w:sz w:val="28"/>
          <w:szCs w:val="21"/>
        </w:rPr>
        <w:t>公务接待费预算为0.1万元，支出决算为0万元，完成预算的0%。决算数与预算数存在差异的主要原因是缩减开支。全年因公</w:t>
      </w:r>
      <w:r>
        <w:rPr>
          <w:rFonts w:hint="eastAsia" w:ascii="宋体" w:hAnsi="Times New Roman" w:cs="宋体"/>
          <w:sz w:val="28"/>
          <w:szCs w:val="21"/>
          <w:lang w:val="en-US" w:eastAsia="zh-CN"/>
        </w:rPr>
        <w:t>接待</w:t>
      </w:r>
      <w:r>
        <w:rPr>
          <w:rFonts w:hint="eastAsia" w:ascii="宋体" w:hAnsi="Times New Roman" w:cs="宋体"/>
          <w:sz w:val="28"/>
          <w:szCs w:val="21"/>
        </w:rPr>
        <w:t>团组</w:t>
      </w:r>
      <w:r>
        <w:rPr>
          <w:rFonts w:hint="eastAsia" w:ascii="宋体" w:hAnsi="Times New Roman" w:cs="宋体"/>
          <w:sz w:val="28"/>
          <w:szCs w:val="21"/>
          <w:lang w:val="en-US" w:eastAsia="zh-CN"/>
        </w:rPr>
        <w:t>0</w:t>
      </w:r>
      <w:r>
        <w:rPr>
          <w:rFonts w:hint="eastAsia" w:ascii="宋体" w:hAnsi="Times New Roman" w:cs="宋体"/>
          <w:sz w:val="28"/>
          <w:szCs w:val="21"/>
        </w:rPr>
        <w:t>个，累计</w:t>
      </w:r>
      <w:r>
        <w:rPr>
          <w:rFonts w:hint="eastAsia" w:ascii="宋体" w:hAnsi="Times New Roman" w:cs="宋体"/>
          <w:sz w:val="28"/>
          <w:szCs w:val="21"/>
          <w:lang w:val="en-US" w:eastAsia="zh-CN"/>
        </w:rPr>
        <w:t>0</w:t>
      </w:r>
      <w:r>
        <w:rPr>
          <w:rFonts w:hint="eastAsia" w:ascii="宋体" w:hAnsi="Times New Roman" w:cs="宋体"/>
          <w:sz w:val="28"/>
          <w:szCs w:val="21"/>
        </w:rPr>
        <w:t>人次。</w:t>
      </w:r>
    </w:p>
    <w:p>
      <w:pPr>
        <w:numPr>
          <w:ilvl w:val="0"/>
          <w:numId w:val="0"/>
        </w:numPr>
        <w:autoSpaceDE w:val="0"/>
        <w:autoSpaceDN w:val="0"/>
        <w:adjustRightInd w:val="0"/>
        <w:spacing w:before="158" w:beforeLines="50" w:after="158" w:afterLines="50" w:line="360" w:lineRule="auto"/>
        <w:ind w:firstLine="560" w:firstLineChars="200"/>
        <w:jc w:val="left"/>
        <w:rPr>
          <w:rFonts w:hint="eastAsia" w:ascii="宋体" w:hAnsi="Times New Roman" w:cs="宋体"/>
          <w:sz w:val="28"/>
          <w:szCs w:val="21"/>
        </w:rPr>
      </w:pPr>
      <w:r>
        <w:rPr>
          <w:rFonts w:hint="eastAsia" w:ascii="宋体" w:hAnsi="Times New Roman" w:cs="宋体"/>
          <w:sz w:val="28"/>
          <w:szCs w:val="21"/>
          <w:lang w:val="en-US" w:eastAsia="zh-CN"/>
        </w:rPr>
        <w:t>4.</w:t>
      </w:r>
      <w:r>
        <w:rPr>
          <w:rFonts w:hint="eastAsia" w:ascii="宋体" w:hAnsi="Times New Roman" w:cs="宋体"/>
          <w:sz w:val="28"/>
          <w:szCs w:val="21"/>
        </w:rPr>
        <w:t>外宾接待支出0万元。</w:t>
      </w:r>
      <w:r>
        <w:rPr>
          <w:rFonts w:ascii="宋体" w:hAnsi="Times New Roman" w:cs="宋体"/>
          <w:sz w:val="28"/>
          <w:szCs w:val="21"/>
        </w:rPr>
        <w:t>2019</w:t>
      </w:r>
      <w:r>
        <w:rPr>
          <w:rFonts w:hint="eastAsia" w:ascii="宋体" w:hAnsi="Times New Roman" w:cs="宋体"/>
          <w:sz w:val="28"/>
          <w:szCs w:val="21"/>
        </w:rPr>
        <w:t>年共接待国（境）外来访团组0个、来访外宾0人次（不包括陪同人员）。</w:t>
      </w:r>
    </w:p>
    <w:p>
      <w:pPr>
        <w:autoSpaceDE w:val="0"/>
        <w:autoSpaceDN w:val="0"/>
        <w:adjustRightInd w:val="0"/>
        <w:spacing w:before="158" w:beforeLines="50" w:after="158"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其他国内公务接待支出0万元。</w:t>
      </w:r>
      <w:r>
        <w:rPr>
          <w:rFonts w:ascii="宋体" w:hAnsi="Times New Roman" w:cs="宋体"/>
          <w:sz w:val="28"/>
          <w:szCs w:val="21"/>
        </w:rPr>
        <w:t>2019</w:t>
      </w:r>
      <w:r>
        <w:rPr>
          <w:rFonts w:hint="eastAsia" w:ascii="宋体" w:hAnsi="Times New Roman" w:cs="宋体"/>
          <w:sz w:val="28"/>
          <w:szCs w:val="21"/>
        </w:rPr>
        <w:t>年共接待国内来访团组0个、来宾0人次（不包括陪同人员）。</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八、预算绩效情况说明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（一）绩效管理工作开展情况。</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年我单位在市委、市政府的正确领导下，从预算配置、预算执行、预算管理、职责履行、履职效益等五方面入手，将绩效评价作为预算管理和安排以后年度预算的重要依据，认真负责、客观公正地开展</w:t>
      </w:r>
      <w:r>
        <w:rPr>
          <w:rFonts w:ascii="宋体" w:hAnsi="Times New Roman" w:cs="宋体"/>
          <w:sz w:val="28"/>
          <w:szCs w:val="21"/>
        </w:rPr>
        <w:t>2019</w:t>
      </w:r>
      <w:r>
        <w:rPr>
          <w:rFonts w:hint="eastAsia" w:ascii="宋体" w:hAnsi="Times New Roman" w:cs="宋体"/>
          <w:sz w:val="28"/>
          <w:szCs w:val="21"/>
        </w:rPr>
        <w:t>年度部门整体支出绩效自评工作，全面完成了年初绩效工作目标。</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（二）项目绩效自评结果。</w:t>
      </w:r>
    </w:p>
    <w:p>
      <w:pPr>
        <w:autoSpaceDE w:val="0"/>
        <w:autoSpaceDN w:val="0"/>
        <w:adjustRightInd w:val="0"/>
        <w:spacing w:before="158" w:beforeLines="50" w:after="158" w:afterLines="50" w:line="360" w:lineRule="auto"/>
        <w:ind w:firstLine="560" w:firstLineChars="200"/>
        <w:jc w:val="left"/>
        <w:rPr>
          <w:rFonts w:hint="default" w:ascii="宋体" w:hAnsi="Times New Roman" w:cs="宋体"/>
          <w:sz w:val="28"/>
          <w:szCs w:val="21"/>
          <w:lang w:val="en-US"/>
        </w:rPr>
      </w:pPr>
      <w:r>
        <w:rPr>
          <w:rFonts w:hint="eastAsia" w:ascii="宋体" w:hAnsi="宋体" w:eastAsia="宋体" w:cs="宋体"/>
          <w:sz w:val="28"/>
          <w:szCs w:val="28"/>
        </w:rPr>
        <w:t>明确绩效评价工作方法和内容，根据评价报告提出的问题，集体研究进行整改。财政支出绩效评价工作的开展</w:t>
      </w:r>
      <w:r>
        <w:rPr>
          <w:rFonts w:hint="eastAsia" w:ascii="宋体" w:hAnsi="宋体" w:eastAsia="宋体" w:cs="宋体"/>
          <w:sz w:val="28"/>
          <w:szCs w:val="28"/>
          <w:lang w:eastAsia="zh-CN"/>
        </w:rPr>
        <w:t>。</w:t>
      </w:r>
      <w:r>
        <w:rPr>
          <w:rFonts w:hint="eastAsia" w:ascii="宋体" w:hAnsi="宋体" w:eastAsia="宋体" w:cs="宋体"/>
          <w:sz w:val="28"/>
          <w:szCs w:val="28"/>
        </w:rPr>
        <w:t>提高了单位加强财政资金使用管理的意识</w:t>
      </w:r>
      <w:r>
        <w:rPr>
          <w:rFonts w:hint="eastAsia" w:ascii="宋体" w:hAnsi="宋体" w:eastAsia="宋体" w:cs="宋体"/>
          <w:sz w:val="28"/>
          <w:szCs w:val="28"/>
          <w:lang w:eastAsia="zh-CN"/>
        </w:rPr>
        <w:t>。</w:t>
      </w:r>
      <w:r>
        <w:rPr>
          <w:rFonts w:hint="eastAsia" w:ascii="宋体" w:hAnsi="宋体" w:cs="宋体"/>
          <w:sz w:val="28"/>
          <w:szCs w:val="28"/>
          <w:lang w:val="en-US" w:eastAsia="zh-CN"/>
        </w:rPr>
        <w:t>完成效果良好。</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（三）以部门为主体开展的重点绩效评价结果。</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我单位以实现绩效目标为导向，深入开展财政支出绩效评价，抓好绩效目标编制，对一般性项目支出实施绩效自评和项目核查，进一步加强制度建设，提升自评质量，预算绩效管理取得新成效。</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年，我单位选取打击非法集资项目等</w:t>
      </w:r>
      <w:r>
        <w:rPr>
          <w:rFonts w:ascii="宋体" w:hAnsi="Times New Roman" w:cs="宋体"/>
          <w:sz w:val="28"/>
          <w:szCs w:val="21"/>
        </w:rPr>
        <w:t>1</w:t>
      </w:r>
      <w:r>
        <w:rPr>
          <w:rFonts w:hint="eastAsia" w:ascii="宋体" w:hAnsi="Times New Roman" w:cs="宋体"/>
          <w:sz w:val="28"/>
          <w:szCs w:val="21"/>
        </w:rPr>
        <w:t>个项目作为重点绩效评价项目，涉及资金</w:t>
      </w:r>
      <w:r>
        <w:rPr>
          <w:rFonts w:ascii="宋体" w:hAnsi="Times New Roman" w:cs="宋体"/>
          <w:sz w:val="28"/>
          <w:szCs w:val="21"/>
        </w:rPr>
        <w:t>20</w:t>
      </w:r>
      <w:r>
        <w:rPr>
          <w:rFonts w:hint="eastAsia" w:ascii="宋体" w:hAnsi="Times New Roman" w:cs="宋体"/>
          <w:sz w:val="28"/>
          <w:szCs w:val="21"/>
        </w:rPr>
        <w:t>万元，结果优良。</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九、政府性基金预算财政拨款支出决算情况说明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年度政府性基金预算财政拨款支出年初预算为</w:t>
      </w:r>
      <w:r>
        <w:rPr>
          <w:rFonts w:ascii="宋体" w:hAnsi="Times New Roman" w:cs="宋体"/>
          <w:sz w:val="28"/>
          <w:szCs w:val="21"/>
        </w:rPr>
        <w:t>135.45</w:t>
      </w:r>
      <w:r>
        <w:rPr>
          <w:rFonts w:hint="eastAsia" w:ascii="宋体" w:hAnsi="Times New Roman" w:cs="宋体"/>
          <w:sz w:val="28"/>
          <w:szCs w:val="21"/>
        </w:rPr>
        <w:t>万元，支出决算为</w:t>
      </w:r>
      <w:r>
        <w:rPr>
          <w:rFonts w:ascii="宋体" w:hAnsi="Times New Roman" w:cs="宋体"/>
          <w:sz w:val="28"/>
          <w:szCs w:val="21"/>
        </w:rPr>
        <w:t>135.45</w:t>
      </w:r>
      <w:r>
        <w:rPr>
          <w:rFonts w:hint="eastAsia" w:ascii="宋体" w:hAnsi="Times New Roman" w:cs="宋体"/>
          <w:sz w:val="28"/>
          <w:szCs w:val="21"/>
        </w:rPr>
        <w:t>万元，完成年初预算的</w:t>
      </w:r>
      <w:r>
        <w:rPr>
          <w:rFonts w:ascii="宋体" w:hAnsi="Times New Roman" w:cs="宋体"/>
          <w:sz w:val="28"/>
          <w:szCs w:val="21"/>
        </w:rPr>
        <w:t>100%</w:t>
      </w:r>
      <w:r>
        <w:rPr>
          <w:rFonts w:hint="eastAsia" w:ascii="宋体" w:hAnsi="Times New Roman" w:cs="宋体"/>
          <w:sz w:val="28"/>
          <w:szCs w:val="21"/>
        </w:rPr>
        <w:t>。主要用于金融扶贫贴息。</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十、机关运行经费支出情况说明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年度机关运行经费年初预算为</w:t>
      </w:r>
      <w:r>
        <w:rPr>
          <w:rFonts w:hint="eastAsia" w:ascii="宋体" w:hAnsi="Times New Roman" w:cs="宋体"/>
          <w:sz w:val="28"/>
          <w:szCs w:val="21"/>
          <w:lang w:val="en-US" w:eastAsia="zh-CN"/>
        </w:rPr>
        <w:t>91.86</w:t>
      </w:r>
      <w:r>
        <w:rPr>
          <w:rFonts w:hint="eastAsia" w:ascii="宋体" w:hAnsi="Times New Roman" w:cs="宋体"/>
          <w:sz w:val="28"/>
          <w:szCs w:val="21"/>
        </w:rPr>
        <w:t>万元，支出决算为</w:t>
      </w:r>
      <w:r>
        <w:rPr>
          <w:rFonts w:hint="eastAsia" w:ascii="宋体" w:hAnsi="Times New Roman" w:cs="宋体"/>
          <w:sz w:val="28"/>
          <w:szCs w:val="21"/>
          <w:lang w:val="en-US" w:eastAsia="zh-CN"/>
        </w:rPr>
        <w:t>91.86</w:t>
      </w:r>
      <w:r>
        <w:rPr>
          <w:rFonts w:hint="eastAsia" w:ascii="宋体" w:hAnsi="Times New Roman" w:cs="宋体"/>
          <w:sz w:val="28"/>
          <w:szCs w:val="21"/>
        </w:rPr>
        <w:t>万元，完成年初预算的</w:t>
      </w:r>
      <w:r>
        <w:rPr>
          <w:rFonts w:hint="eastAsia" w:ascii="宋体" w:hAnsi="Times New Roman" w:cs="宋体"/>
          <w:sz w:val="28"/>
          <w:szCs w:val="21"/>
          <w:lang w:val="en-US" w:eastAsia="zh-CN"/>
        </w:rPr>
        <w:t>10</w:t>
      </w:r>
      <w:r>
        <w:rPr>
          <w:rFonts w:ascii="宋体" w:hAnsi="Times New Roman" w:cs="宋体"/>
          <w:sz w:val="28"/>
          <w:szCs w:val="21"/>
        </w:rPr>
        <w:t>0%</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十一、政府采购支出情况说明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年度政府采购支出总额</w:t>
      </w:r>
      <w:r>
        <w:rPr>
          <w:rFonts w:ascii="宋体" w:hAnsi="Times New Roman" w:cs="宋体"/>
          <w:sz w:val="28"/>
          <w:szCs w:val="21"/>
        </w:rPr>
        <w:t>0</w:t>
      </w:r>
      <w:r>
        <w:rPr>
          <w:rFonts w:hint="eastAsia" w:ascii="宋体" w:hAnsi="Times New Roman" w:cs="宋体"/>
          <w:sz w:val="28"/>
          <w:szCs w:val="21"/>
        </w:rPr>
        <w:t>万元，其中：政府采购货物支出</w:t>
      </w:r>
      <w:r>
        <w:rPr>
          <w:rFonts w:ascii="宋体" w:hAnsi="Times New Roman" w:cs="宋体"/>
          <w:sz w:val="28"/>
          <w:szCs w:val="21"/>
        </w:rPr>
        <w:t>0</w:t>
      </w:r>
      <w:r>
        <w:rPr>
          <w:rFonts w:hint="eastAsia" w:ascii="宋体" w:hAnsi="Times New Roman" w:cs="宋体"/>
          <w:sz w:val="28"/>
          <w:szCs w:val="21"/>
        </w:rPr>
        <w:t>万元、政府采购工程支出</w:t>
      </w:r>
      <w:r>
        <w:rPr>
          <w:rFonts w:ascii="宋体" w:hAnsi="Times New Roman" w:cs="宋体"/>
          <w:sz w:val="28"/>
          <w:szCs w:val="21"/>
        </w:rPr>
        <w:t>0</w:t>
      </w:r>
      <w:r>
        <w:rPr>
          <w:rFonts w:hint="eastAsia" w:ascii="宋体" w:hAnsi="Times New Roman" w:cs="宋体"/>
          <w:sz w:val="28"/>
          <w:szCs w:val="21"/>
        </w:rPr>
        <w:t>万元、政府采购服务支出</w:t>
      </w:r>
      <w:r>
        <w:rPr>
          <w:rFonts w:ascii="宋体" w:hAnsi="Times New Roman" w:cs="宋体"/>
          <w:sz w:val="28"/>
          <w:szCs w:val="21"/>
        </w:rPr>
        <w:t>0</w:t>
      </w:r>
      <w:r>
        <w:rPr>
          <w:rFonts w:hint="eastAsia" w:ascii="宋体" w:hAnsi="Times New Roman" w:cs="宋体"/>
          <w:sz w:val="28"/>
          <w:szCs w:val="21"/>
        </w:rPr>
        <w:t>万元。授予中小企业合同金额</w:t>
      </w:r>
      <w:r>
        <w:rPr>
          <w:rFonts w:ascii="宋体" w:hAnsi="Times New Roman" w:cs="宋体"/>
          <w:sz w:val="28"/>
          <w:szCs w:val="21"/>
        </w:rPr>
        <w:t>0</w:t>
      </w:r>
      <w:r>
        <w:rPr>
          <w:rFonts w:hint="eastAsia" w:ascii="宋体" w:hAnsi="Times New Roman" w:cs="宋体"/>
          <w:sz w:val="28"/>
          <w:szCs w:val="21"/>
        </w:rPr>
        <w:t>万元，占政府采购支出总额的</w:t>
      </w:r>
      <w:r>
        <w:rPr>
          <w:rFonts w:ascii="宋体" w:hAnsi="Times New Roman" w:cs="宋体"/>
          <w:sz w:val="28"/>
          <w:szCs w:val="21"/>
        </w:rPr>
        <w:t>0%</w:t>
      </w:r>
      <w:r>
        <w:rPr>
          <w:rFonts w:hint="eastAsia" w:ascii="宋体" w:hAnsi="Times New Roman" w:cs="宋体"/>
          <w:sz w:val="28"/>
          <w:szCs w:val="21"/>
        </w:rPr>
        <w:t>，其中：授予小微企业合同金额</w:t>
      </w:r>
      <w:r>
        <w:rPr>
          <w:rFonts w:ascii="宋体" w:hAnsi="Times New Roman" w:cs="宋体"/>
          <w:sz w:val="28"/>
          <w:szCs w:val="21"/>
        </w:rPr>
        <w:t>0</w:t>
      </w:r>
      <w:r>
        <w:rPr>
          <w:rFonts w:hint="eastAsia" w:ascii="宋体" w:hAnsi="Times New Roman" w:cs="宋体"/>
          <w:sz w:val="28"/>
          <w:szCs w:val="21"/>
        </w:rPr>
        <w:t>万元，占政府采购支出总额的</w:t>
      </w:r>
      <w:r>
        <w:rPr>
          <w:rFonts w:ascii="宋体" w:hAnsi="Times New Roman" w:cs="宋体"/>
          <w:sz w:val="28"/>
          <w:szCs w:val="21"/>
        </w:rPr>
        <w:t>0%</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十二、国有资产占用情况说明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年期末，我部门共有车辆</w:t>
      </w:r>
      <w:r>
        <w:rPr>
          <w:rFonts w:ascii="宋体" w:hAnsi="Times New Roman" w:cs="宋体"/>
          <w:sz w:val="28"/>
          <w:szCs w:val="21"/>
        </w:rPr>
        <w:t>1</w:t>
      </w:r>
      <w:r>
        <w:rPr>
          <w:rFonts w:hint="eastAsia" w:ascii="宋体" w:hAnsi="Times New Roman" w:cs="宋体"/>
          <w:sz w:val="28"/>
          <w:szCs w:val="21"/>
        </w:rPr>
        <w:t>辆，其中：省级领导干部用车</w:t>
      </w:r>
      <w:r>
        <w:rPr>
          <w:rFonts w:ascii="宋体" w:hAnsi="Times New Roman" w:cs="宋体"/>
          <w:sz w:val="28"/>
          <w:szCs w:val="21"/>
        </w:rPr>
        <w:t>0</w:t>
      </w:r>
      <w:r>
        <w:rPr>
          <w:rFonts w:hint="eastAsia" w:ascii="宋体" w:hAnsi="Times New Roman" w:cs="宋体"/>
          <w:sz w:val="28"/>
          <w:szCs w:val="21"/>
        </w:rPr>
        <w:t>辆、主要领导干部用车</w:t>
      </w:r>
      <w:r>
        <w:rPr>
          <w:rFonts w:ascii="宋体" w:hAnsi="Times New Roman" w:cs="宋体"/>
          <w:sz w:val="28"/>
          <w:szCs w:val="21"/>
        </w:rPr>
        <w:t>1</w:t>
      </w:r>
      <w:r>
        <w:rPr>
          <w:rFonts w:hint="eastAsia" w:ascii="宋体" w:hAnsi="Times New Roman" w:cs="宋体"/>
          <w:sz w:val="28"/>
          <w:szCs w:val="21"/>
        </w:rPr>
        <w:t>辆、机要通信用车</w:t>
      </w:r>
      <w:r>
        <w:rPr>
          <w:rFonts w:ascii="宋体" w:hAnsi="Times New Roman" w:cs="宋体"/>
          <w:sz w:val="28"/>
          <w:szCs w:val="21"/>
        </w:rPr>
        <w:t>0</w:t>
      </w:r>
      <w:r>
        <w:rPr>
          <w:rFonts w:hint="eastAsia" w:ascii="宋体" w:hAnsi="Times New Roman" w:cs="宋体"/>
          <w:sz w:val="28"/>
          <w:szCs w:val="21"/>
        </w:rPr>
        <w:t>辆、应急保障车</w:t>
      </w:r>
      <w:r>
        <w:rPr>
          <w:rFonts w:ascii="宋体" w:hAnsi="Times New Roman" w:cs="宋体"/>
          <w:sz w:val="28"/>
          <w:szCs w:val="21"/>
        </w:rPr>
        <w:t>0</w:t>
      </w:r>
      <w:r>
        <w:rPr>
          <w:rFonts w:hint="eastAsia" w:ascii="宋体" w:hAnsi="Times New Roman" w:cs="宋体"/>
          <w:sz w:val="28"/>
          <w:szCs w:val="21"/>
        </w:rPr>
        <w:t>辆、执法执勤用车</w:t>
      </w:r>
      <w:r>
        <w:rPr>
          <w:rFonts w:ascii="宋体" w:hAnsi="Times New Roman" w:cs="宋体"/>
          <w:sz w:val="28"/>
          <w:szCs w:val="21"/>
        </w:rPr>
        <w:t>0</w:t>
      </w:r>
      <w:r>
        <w:rPr>
          <w:rFonts w:hint="eastAsia" w:ascii="宋体" w:hAnsi="Times New Roman" w:cs="宋体"/>
          <w:sz w:val="28"/>
          <w:szCs w:val="21"/>
        </w:rPr>
        <w:t>辆、特种专业技术用车</w:t>
      </w:r>
      <w:r>
        <w:rPr>
          <w:rFonts w:ascii="宋体" w:hAnsi="Times New Roman" w:cs="宋体"/>
          <w:sz w:val="28"/>
          <w:szCs w:val="21"/>
        </w:rPr>
        <w:t>0</w:t>
      </w:r>
      <w:r>
        <w:rPr>
          <w:rFonts w:hint="eastAsia" w:ascii="宋体" w:hAnsi="Times New Roman" w:cs="宋体"/>
          <w:sz w:val="28"/>
          <w:szCs w:val="21"/>
        </w:rPr>
        <w:t>辆、离退休干部用车</w:t>
      </w:r>
      <w:r>
        <w:rPr>
          <w:rFonts w:ascii="宋体" w:hAnsi="Times New Roman" w:cs="宋体"/>
          <w:sz w:val="28"/>
          <w:szCs w:val="21"/>
        </w:rPr>
        <w:t>0</w:t>
      </w:r>
      <w:r>
        <w:rPr>
          <w:rFonts w:hint="eastAsia" w:ascii="宋体" w:hAnsi="Times New Roman" w:cs="宋体"/>
          <w:sz w:val="28"/>
          <w:szCs w:val="21"/>
        </w:rPr>
        <w:t>辆、其他用车</w:t>
      </w:r>
      <w:r>
        <w:rPr>
          <w:rFonts w:ascii="宋体" w:hAnsi="Times New Roman" w:cs="宋体"/>
          <w:sz w:val="28"/>
          <w:szCs w:val="21"/>
        </w:rPr>
        <w:t>0</w:t>
      </w:r>
      <w:r>
        <w:rPr>
          <w:rFonts w:hint="eastAsia" w:ascii="宋体" w:hAnsi="Times New Roman" w:cs="宋体"/>
          <w:sz w:val="28"/>
          <w:szCs w:val="21"/>
        </w:rPr>
        <w:t>辆；单位价值</w:t>
      </w:r>
      <w:r>
        <w:rPr>
          <w:rFonts w:ascii="宋体" w:hAnsi="Times New Roman" w:cs="宋体"/>
          <w:sz w:val="28"/>
          <w:szCs w:val="21"/>
        </w:rPr>
        <w:t>50</w:t>
      </w:r>
      <w:r>
        <w:rPr>
          <w:rFonts w:hint="eastAsia" w:ascii="宋体" w:hAnsi="Times New Roman" w:cs="宋体"/>
          <w:sz w:val="28"/>
          <w:szCs w:val="21"/>
        </w:rPr>
        <w:t>万元以上通用设备</w:t>
      </w:r>
      <w:r>
        <w:rPr>
          <w:rFonts w:ascii="宋体" w:hAnsi="Times New Roman" w:cs="宋体"/>
          <w:sz w:val="28"/>
          <w:szCs w:val="21"/>
        </w:rPr>
        <w:t>0</w:t>
      </w:r>
      <w:r>
        <w:rPr>
          <w:rFonts w:hint="eastAsia" w:ascii="宋体" w:hAnsi="Times New Roman" w:cs="宋体"/>
          <w:sz w:val="28"/>
          <w:szCs w:val="21"/>
        </w:rPr>
        <w:t>台（套），单位价值</w:t>
      </w:r>
      <w:r>
        <w:rPr>
          <w:rFonts w:ascii="宋体" w:hAnsi="Times New Roman" w:cs="宋体"/>
          <w:sz w:val="28"/>
          <w:szCs w:val="21"/>
        </w:rPr>
        <w:t>100</w:t>
      </w:r>
      <w:r>
        <w:rPr>
          <w:rFonts w:hint="eastAsia" w:ascii="宋体" w:hAnsi="Times New Roman" w:cs="宋体"/>
          <w:sz w:val="28"/>
          <w:szCs w:val="21"/>
        </w:rPr>
        <w:t>万元以上专用设备</w:t>
      </w:r>
      <w:r>
        <w:rPr>
          <w:rFonts w:ascii="宋体" w:hAnsi="Times New Roman" w:cs="宋体"/>
          <w:sz w:val="28"/>
          <w:szCs w:val="21"/>
        </w:rPr>
        <w:t>0</w:t>
      </w:r>
      <w:r>
        <w:rPr>
          <w:rFonts w:hint="eastAsia" w:ascii="宋体" w:hAnsi="Times New Roman" w:cs="宋体"/>
          <w:sz w:val="28"/>
          <w:szCs w:val="21"/>
        </w:rPr>
        <w:t>台（套）。</w:t>
      </w:r>
    </w:p>
    <w:p>
      <w:pPr>
        <w:autoSpaceDE w:val="0"/>
        <w:autoSpaceDN w:val="0"/>
        <w:adjustRightInd w:val="0"/>
        <w:spacing w:beforeLines="50" w:afterLines="50" w:line="360" w:lineRule="auto"/>
        <w:jc w:val="left"/>
        <w:rPr>
          <w:rFonts w:ascii="宋体" w:hAnsi="Times New Roman" w:cs="宋体"/>
          <w:sz w:val="28"/>
          <w:szCs w:val="21"/>
        </w:rPr>
      </w:pPr>
    </w:p>
    <w:p>
      <w:pPr>
        <w:widowControl/>
        <w:spacing w:beforeLines="50" w:afterLines="50" w:line="360" w:lineRule="auto"/>
        <w:jc w:val="left"/>
        <w:rPr>
          <w:rFonts w:ascii="黑体" w:hAnsi="宋体" w:cs="宋体"/>
          <w:kern w:val="0"/>
          <w:sz w:val="28"/>
          <w:szCs w:val="28"/>
        </w:rPr>
      </w:pPr>
    </w:p>
    <w:p>
      <w:pPr>
        <w:widowControl/>
        <w:spacing w:beforeLines="50" w:afterLines="50" w:line="360" w:lineRule="auto"/>
        <w:jc w:val="left"/>
        <w:rPr>
          <w:rFonts w:ascii="黑体" w:hAnsi="宋体" w:cs="宋体"/>
          <w:kern w:val="0"/>
          <w:sz w:val="28"/>
          <w:szCs w:val="28"/>
        </w:rPr>
      </w:pPr>
    </w:p>
    <w:p>
      <w:pPr>
        <w:widowControl/>
        <w:spacing w:beforeLines="50" w:afterLines="50" w:line="360" w:lineRule="auto"/>
        <w:jc w:val="left"/>
        <w:rPr>
          <w:rFonts w:ascii="黑体" w:hAnsi="宋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w:t>
      </w:r>
      <w:r>
        <w:rPr>
          <w:rFonts w:ascii="黑体" w:hAnsi="黑体" w:eastAsia="黑体" w:cs="黑体"/>
          <w:sz w:val="48"/>
          <w:szCs w:val="48"/>
        </w:rPr>
        <w:t xml:space="preserve">  </w:t>
      </w:r>
      <w:r>
        <w:rPr>
          <w:rFonts w:hint="eastAsia" w:ascii="黑体" w:hAnsi="黑体" w:eastAsia="黑体" w:cs="黑体"/>
          <w:sz w:val="48"/>
          <w:szCs w:val="48"/>
        </w:rPr>
        <w:t>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一、财政拨款收入：</w:t>
      </w:r>
      <w:r>
        <w:rPr>
          <w:rFonts w:hint="eastAsia" w:ascii="宋体" w:hAnsi="仿宋_GB2312" w:cs="仿宋_GB2312"/>
          <w:sz w:val="28"/>
          <w:szCs w:val="32"/>
        </w:rPr>
        <w:t>单位从同级政府财政部门取得的财政预算资金。</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二、事业收入：</w:t>
      </w:r>
      <w:r>
        <w:rPr>
          <w:rFonts w:hint="eastAsia" w:ascii="宋体" w:hAnsi="仿宋_GB2312" w:cs="仿宋_GB2312"/>
          <w:sz w:val="28"/>
          <w:szCs w:val="32"/>
        </w:rPr>
        <w:t>事业单位开展专业业务活动及其辅助活动取得的收入。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三、上级补助收入：</w:t>
      </w:r>
      <w:r>
        <w:rPr>
          <w:rFonts w:hint="eastAsia" w:ascii="宋体" w:hAnsi="仿宋_GB2312" w:cs="仿宋_GB2312"/>
          <w:sz w:val="28"/>
          <w:szCs w:val="32"/>
        </w:rPr>
        <w:t>事业单位从主管部门和上级单位取得的非财政补助收入。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四、附属单位上缴收入：</w:t>
      </w:r>
      <w:r>
        <w:rPr>
          <w:rFonts w:hint="eastAsia" w:ascii="宋体" w:hAnsi="仿宋_GB2312" w:cs="仿宋_GB2312"/>
          <w:sz w:val="28"/>
          <w:szCs w:val="32"/>
        </w:rPr>
        <w:t>事业单位取得附属独立核算单位根据有关规定上缴的收入。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五、经营收入：</w:t>
      </w:r>
      <w:r>
        <w:rPr>
          <w:rFonts w:hint="eastAsia" w:ascii="宋体" w:hAnsi="仿宋_GB2312" w:cs="仿宋_GB2312"/>
          <w:sz w:val="28"/>
          <w:szCs w:val="32"/>
        </w:rPr>
        <w:t>事业单位在专业业务活动及其辅助活动之外开展非独立核算经营活动取得的收入。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六、其他收入：</w:t>
      </w:r>
      <w:r>
        <w:rPr>
          <w:rFonts w:hint="eastAsia" w:ascii="宋体" w:hAnsi="仿宋_GB2312" w:cs="仿宋_GB2312"/>
          <w:sz w:val="28"/>
          <w:szCs w:val="32"/>
        </w:rPr>
        <w:t>单位取得的除“财政拨款收入”、“事业收入”、“上级补助收入”、“附属单位上缴收入”、“经营收入”以外的各项收入。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七、用事业基金弥补收支差额：</w:t>
      </w:r>
      <w:r>
        <w:rPr>
          <w:rFonts w:hint="eastAsia" w:ascii="宋体" w:hAnsi="仿宋_GB2312" w:cs="仿宋_GB2312"/>
          <w:sz w:val="28"/>
          <w:szCs w:val="32"/>
        </w:rPr>
        <w:t>事业单位在当年收入不足以安排当年支出的情况下，使用以前年度积累的事业基金（事业单位当年收支相抵后按国家规定提取、用于弥补以后年度收支差额的基金）弥补当年收支缺口的资金。</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八、基本支出：</w:t>
      </w:r>
      <w:r>
        <w:rPr>
          <w:rFonts w:hint="eastAsia" w:ascii="宋体" w:hAnsi="仿宋_GB2312" w:cs="仿宋_GB2312"/>
          <w:sz w:val="28"/>
          <w:szCs w:val="32"/>
        </w:rPr>
        <w:t>为保障机构正常运转、完成日常工作任务而发生的人员支出和公用支出。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九、项目支出：</w:t>
      </w:r>
      <w:r>
        <w:rPr>
          <w:rFonts w:hint="eastAsia" w:ascii="宋体" w:hAnsi="仿宋_GB2312" w:cs="仿宋_GB2312"/>
          <w:sz w:val="28"/>
          <w:szCs w:val="32"/>
        </w:rPr>
        <w:t>基本支出之外为完成特定行政任务和事业发展目标所发生的支出。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十、“三公”经费：</w:t>
      </w:r>
      <w:r>
        <w:rPr>
          <w:rFonts w:hint="eastAsia" w:ascii="宋体" w:hAnsi="仿宋_GB2312" w:cs="仿宋_GB2312"/>
          <w:sz w:val="28"/>
          <w:szCs w:val="32"/>
        </w:rPr>
        <w:t>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十一、机关运行经费：</w:t>
      </w:r>
      <w:r>
        <w:rPr>
          <w:rFonts w:hint="eastAsia" w:ascii="宋体" w:hAnsi="仿宋_GB2312" w:cs="仿宋_GB2312"/>
          <w:sz w:val="28"/>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十二、工资福利支出：</w:t>
      </w:r>
      <w:r>
        <w:rPr>
          <w:rFonts w:hint="eastAsia" w:ascii="宋体" w:hAnsi="仿宋_GB2312" w:cs="仿宋_GB2312"/>
          <w:sz w:val="28"/>
          <w:szCs w:val="32"/>
        </w:rPr>
        <w:t>单位支付给在职职工和编制外长期聘用人员的各类劳动报酬，以及为上述人员缴纳的各项社会保险费等。</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十三、商品和服务支出：</w:t>
      </w:r>
      <w:r>
        <w:rPr>
          <w:rFonts w:hint="eastAsia" w:ascii="宋体" w:hAnsi="仿宋_GB2312" w:cs="仿宋_GB2312"/>
          <w:sz w:val="28"/>
          <w:szCs w:val="32"/>
        </w:rPr>
        <w:t>单位购买商品和服务的支出。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十四、对个人和家庭的补助支出：</w:t>
      </w:r>
      <w:r>
        <w:rPr>
          <w:rFonts w:hint="eastAsia" w:ascii="宋体" w:hAnsi="仿宋_GB2312" w:cs="仿宋_GB2312"/>
          <w:sz w:val="28"/>
          <w:szCs w:val="32"/>
        </w:rPr>
        <w:t>单位用于对个人和家庭的补助支出。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十五、年末结转：</w:t>
      </w:r>
      <w:r>
        <w:rPr>
          <w:rFonts w:hint="eastAsia" w:ascii="宋体" w:hAnsi="仿宋_GB2312" w:cs="仿宋_GB2312"/>
          <w:sz w:val="28"/>
          <w:szCs w:val="32"/>
        </w:rPr>
        <w:t>本年度或以前年度预算安排，已执行但尚未完成或因客观条件发生变化无法按原计划实施，需延迟到以后年度按有关规定继续使用的资金。</w:t>
      </w:r>
    </w:p>
    <w:p>
      <w:pPr>
        <w:widowControl/>
        <w:spacing w:beforeLines="50" w:afterLines="50" w:line="360" w:lineRule="auto"/>
        <w:ind w:firstLine="640" w:firstLineChars="200"/>
        <w:jc w:val="left"/>
        <w:rPr>
          <w:rFonts w:hint="eastAsia" w:ascii="宋体" w:hAnsi="仿宋_GB2312" w:eastAsia="宋体" w:cs="仿宋_GB2312"/>
          <w:sz w:val="28"/>
          <w:szCs w:val="32"/>
          <w:lang w:eastAsia="zh-CN"/>
        </w:rPr>
      </w:pPr>
      <w:r>
        <w:rPr>
          <w:rFonts w:hint="eastAsia" w:ascii="黑体" w:hAnsi="黑体" w:eastAsia="黑体" w:cs="仿宋_GB2312"/>
          <w:sz w:val="32"/>
          <w:szCs w:val="32"/>
        </w:rPr>
        <w:t>十六、年末结余：</w:t>
      </w:r>
      <w:r>
        <w:rPr>
          <w:rFonts w:hint="eastAsia" w:ascii="宋体" w:hAnsi="仿宋_GB2312" w:cs="仿宋_GB2312"/>
          <w:sz w:val="28"/>
          <w:szCs w:val="32"/>
        </w:rPr>
        <w:t>本年度或以前年度预算安排，已执行完毕或因客观条件发生变化无法按原预算安排实施，不需要再使用或无法按原预算安排继续使用</w:t>
      </w:r>
      <w:r>
        <w:rPr>
          <w:rFonts w:hint="eastAsia" w:ascii="仿宋_GB2312" w:hAnsi="仿宋_GB2312" w:eastAsia="仿宋_GB2312" w:cs="仿宋_GB2312"/>
          <w:sz w:val="32"/>
          <w:szCs w:val="32"/>
        </w:rPr>
        <w:t>的</w:t>
      </w:r>
      <w:r>
        <w:rPr>
          <w:rFonts w:hint="eastAsia" w:ascii="宋体" w:hAnsi="仿宋_GB2312" w:cs="仿宋_GB2312"/>
          <w:sz w:val="28"/>
          <w:szCs w:val="32"/>
        </w:rPr>
        <w:t>资金</w:t>
      </w:r>
      <w:r>
        <w:rPr>
          <w:rFonts w:hint="eastAsia" w:ascii="宋体" w:hAnsi="仿宋_GB2312" w:cs="仿宋_GB2312"/>
          <w:sz w:val="28"/>
          <w:szCs w:val="32"/>
          <w:lang w:eastAsia="zh-CN"/>
        </w:rPr>
        <w:t>。</w:t>
      </w:r>
      <w:bookmarkStart w:id="0" w:name="_GoBack"/>
      <w:bookmarkEnd w:id="0"/>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4" o:spid="_x0000_s4097" o:spt="202" type="#_x0000_t202" style="position:absolute;left:0pt;margin-top:0pt;height:21.95pt;width:18.7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- 25 -</w:t>
                </w:r>
                <w:r>
                  <w:rPr>
                    <w:sz w:val="18"/>
                  </w:rPr>
                  <w:fldChar w:fldCharType="end"/>
                </w:r>
              </w:p>
            </w:txbxContent>
          </v:textbox>
        </v:shape>
      </w:pict>
    </w:r>
    <w:r>
      <w:pict>
        <v:shape id="文本框 1027" o:spid="_x0000_s4098" o:spt="202" type="#_x0000_t202" style="position:absolute;left:0pt;margin-top:0pt;height:12.8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5" o:spid="_x0000_s4099" o:spt="202" type="#_x0000_t202" style="position:absolute;left:0pt;margin-top:0pt;height:21.95pt;width:18.7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8BD"/>
    <w:rsid w:val="00010E52"/>
    <w:rsid w:val="00013B11"/>
    <w:rsid w:val="000270E8"/>
    <w:rsid w:val="00057AFD"/>
    <w:rsid w:val="00076410"/>
    <w:rsid w:val="0009602F"/>
    <w:rsid w:val="000B3815"/>
    <w:rsid w:val="000C073B"/>
    <w:rsid w:val="001003F8"/>
    <w:rsid w:val="001153BE"/>
    <w:rsid w:val="001231E1"/>
    <w:rsid w:val="00137808"/>
    <w:rsid w:val="00144159"/>
    <w:rsid w:val="00160D3C"/>
    <w:rsid w:val="001718A8"/>
    <w:rsid w:val="00172A27"/>
    <w:rsid w:val="00175632"/>
    <w:rsid w:val="00182842"/>
    <w:rsid w:val="001874C4"/>
    <w:rsid w:val="001905F2"/>
    <w:rsid w:val="001C6153"/>
    <w:rsid w:val="001D61B1"/>
    <w:rsid w:val="001F5040"/>
    <w:rsid w:val="002006EB"/>
    <w:rsid w:val="00221E2B"/>
    <w:rsid w:val="002471BF"/>
    <w:rsid w:val="002501F0"/>
    <w:rsid w:val="002544EC"/>
    <w:rsid w:val="00260D70"/>
    <w:rsid w:val="00265EA0"/>
    <w:rsid w:val="00282C7F"/>
    <w:rsid w:val="00287811"/>
    <w:rsid w:val="00294169"/>
    <w:rsid w:val="002A350B"/>
    <w:rsid w:val="002B3F94"/>
    <w:rsid w:val="002C4ACB"/>
    <w:rsid w:val="002C7F37"/>
    <w:rsid w:val="002E6A86"/>
    <w:rsid w:val="00304D04"/>
    <w:rsid w:val="00305B88"/>
    <w:rsid w:val="00315FEB"/>
    <w:rsid w:val="00357D69"/>
    <w:rsid w:val="003B1500"/>
    <w:rsid w:val="003F1037"/>
    <w:rsid w:val="003F509F"/>
    <w:rsid w:val="004114FA"/>
    <w:rsid w:val="00417312"/>
    <w:rsid w:val="004252DC"/>
    <w:rsid w:val="0042585F"/>
    <w:rsid w:val="00431846"/>
    <w:rsid w:val="00434CF9"/>
    <w:rsid w:val="0044361E"/>
    <w:rsid w:val="00445CAC"/>
    <w:rsid w:val="0045419C"/>
    <w:rsid w:val="00467969"/>
    <w:rsid w:val="00472E19"/>
    <w:rsid w:val="00473841"/>
    <w:rsid w:val="00485D55"/>
    <w:rsid w:val="00487869"/>
    <w:rsid w:val="00492AE7"/>
    <w:rsid w:val="00493D19"/>
    <w:rsid w:val="00494AE9"/>
    <w:rsid w:val="004B15EB"/>
    <w:rsid w:val="004C65EB"/>
    <w:rsid w:val="004D5275"/>
    <w:rsid w:val="004E0289"/>
    <w:rsid w:val="004E0A70"/>
    <w:rsid w:val="00500F1F"/>
    <w:rsid w:val="00504C3F"/>
    <w:rsid w:val="00507323"/>
    <w:rsid w:val="00507364"/>
    <w:rsid w:val="00512E78"/>
    <w:rsid w:val="00546F7C"/>
    <w:rsid w:val="00555BFD"/>
    <w:rsid w:val="005875A8"/>
    <w:rsid w:val="0059125E"/>
    <w:rsid w:val="00595773"/>
    <w:rsid w:val="005973FE"/>
    <w:rsid w:val="005A0C2F"/>
    <w:rsid w:val="005A75FC"/>
    <w:rsid w:val="005B1AE2"/>
    <w:rsid w:val="005C1110"/>
    <w:rsid w:val="005D00FA"/>
    <w:rsid w:val="006228C4"/>
    <w:rsid w:val="00625A81"/>
    <w:rsid w:val="006512DD"/>
    <w:rsid w:val="00656BEF"/>
    <w:rsid w:val="00656D75"/>
    <w:rsid w:val="00657E86"/>
    <w:rsid w:val="00661173"/>
    <w:rsid w:val="00673EF7"/>
    <w:rsid w:val="00687F6C"/>
    <w:rsid w:val="00693491"/>
    <w:rsid w:val="0069449E"/>
    <w:rsid w:val="006C07F0"/>
    <w:rsid w:val="006C179F"/>
    <w:rsid w:val="006C644A"/>
    <w:rsid w:val="006C7D84"/>
    <w:rsid w:val="00713965"/>
    <w:rsid w:val="007148E8"/>
    <w:rsid w:val="00733DAA"/>
    <w:rsid w:val="00742BA0"/>
    <w:rsid w:val="00753545"/>
    <w:rsid w:val="00764156"/>
    <w:rsid w:val="007706D7"/>
    <w:rsid w:val="007879ED"/>
    <w:rsid w:val="00792B0A"/>
    <w:rsid w:val="0079620F"/>
    <w:rsid w:val="007A48A3"/>
    <w:rsid w:val="007C029F"/>
    <w:rsid w:val="007C7F49"/>
    <w:rsid w:val="007D2A21"/>
    <w:rsid w:val="007D58FD"/>
    <w:rsid w:val="007E299C"/>
    <w:rsid w:val="007E762B"/>
    <w:rsid w:val="007E76CB"/>
    <w:rsid w:val="007F4C7E"/>
    <w:rsid w:val="007F74EE"/>
    <w:rsid w:val="00814946"/>
    <w:rsid w:val="008203F8"/>
    <w:rsid w:val="00843461"/>
    <w:rsid w:val="00867A3D"/>
    <w:rsid w:val="00872946"/>
    <w:rsid w:val="0088023A"/>
    <w:rsid w:val="008858FB"/>
    <w:rsid w:val="00894B41"/>
    <w:rsid w:val="008B5427"/>
    <w:rsid w:val="008F6684"/>
    <w:rsid w:val="00903F6B"/>
    <w:rsid w:val="00904A15"/>
    <w:rsid w:val="009173F9"/>
    <w:rsid w:val="00935DD9"/>
    <w:rsid w:val="00975A04"/>
    <w:rsid w:val="009D4415"/>
    <w:rsid w:val="009E0C01"/>
    <w:rsid w:val="009E26B5"/>
    <w:rsid w:val="009F10DC"/>
    <w:rsid w:val="009F546E"/>
    <w:rsid w:val="00A079F0"/>
    <w:rsid w:val="00A162AF"/>
    <w:rsid w:val="00A3636B"/>
    <w:rsid w:val="00A57BF7"/>
    <w:rsid w:val="00A83D8A"/>
    <w:rsid w:val="00A86322"/>
    <w:rsid w:val="00A93E7D"/>
    <w:rsid w:val="00AA260E"/>
    <w:rsid w:val="00AA44CB"/>
    <w:rsid w:val="00AA5E97"/>
    <w:rsid w:val="00AA67CD"/>
    <w:rsid w:val="00AD6761"/>
    <w:rsid w:val="00AE600E"/>
    <w:rsid w:val="00B0083B"/>
    <w:rsid w:val="00B10416"/>
    <w:rsid w:val="00B209B8"/>
    <w:rsid w:val="00B249F3"/>
    <w:rsid w:val="00B45DE5"/>
    <w:rsid w:val="00B610A8"/>
    <w:rsid w:val="00B710DD"/>
    <w:rsid w:val="00B84557"/>
    <w:rsid w:val="00BC0A25"/>
    <w:rsid w:val="00BE45F4"/>
    <w:rsid w:val="00BE4AF1"/>
    <w:rsid w:val="00BE5A85"/>
    <w:rsid w:val="00BF5718"/>
    <w:rsid w:val="00BF76F8"/>
    <w:rsid w:val="00C3106E"/>
    <w:rsid w:val="00C60609"/>
    <w:rsid w:val="00C77A68"/>
    <w:rsid w:val="00C9048C"/>
    <w:rsid w:val="00C95CC1"/>
    <w:rsid w:val="00CA3F44"/>
    <w:rsid w:val="00CE212D"/>
    <w:rsid w:val="00CE4B38"/>
    <w:rsid w:val="00CE55B0"/>
    <w:rsid w:val="00CF1D99"/>
    <w:rsid w:val="00D05A4F"/>
    <w:rsid w:val="00D1321A"/>
    <w:rsid w:val="00D141D5"/>
    <w:rsid w:val="00D30ADF"/>
    <w:rsid w:val="00D6315E"/>
    <w:rsid w:val="00D652C2"/>
    <w:rsid w:val="00D74EE2"/>
    <w:rsid w:val="00D83E19"/>
    <w:rsid w:val="00D86AB8"/>
    <w:rsid w:val="00D947BC"/>
    <w:rsid w:val="00DA00C9"/>
    <w:rsid w:val="00DB200E"/>
    <w:rsid w:val="00DB3503"/>
    <w:rsid w:val="00DB43E7"/>
    <w:rsid w:val="00DB65F5"/>
    <w:rsid w:val="00DC0097"/>
    <w:rsid w:val="00DC24EC"/>
    <w:rsid w:val="00DF5E7F"/>
    <w:rsid w:val="00E01C3E"/>
    <w:rsid w:val="00E05170"/>
    <w:rsid w:val="00E13099"/>
    <w:rsid w:val="00E4339F"/>
    <w:rsid w:val="00E60CD7"/>
    <w:rsid w:val="00E629EA"/>
    <w:rsid w:val="00E6777C"/>
    <w:rsid w:val="00EB05A3"/>
    <w:rsid w:val="00ED164F"/>
    <w:rsid w:val="00ED38B7"/>
    <w:rsid w:val="00ED7169"/>
    <w:rsid w:val="00EE051D"/>
    <w:rsid w:val="00EF6E68"/>
    <w:rsid w:val="00EF6FF4"/>
    <w:rsid w:val="00F0131A"/>
    <w:rsid w:val="00F01404"/>
    <w:rsid w:val="00F14C17"/>
    <w:rsid w:val="00F17041"/>
    <w:rsid w:val="00F35B37"/>
    <w:rsid w:val="00F44937"/>
    <w:rsid w:val="00F61A47"/>
    <w:rsid w:val="00F84422"/>
    <w:rsid w:val="00F95455"/>
    <w:rsid w:val="00FA45A8"/>
    <w:rsid w:val="00FA574D"/>
    <w:rsid w:val="00FC4750"/>
    <w:rsid w:val="00FE64B4"/>
    <w:rsid w:val="00FE7AD9"/>
    <w:rsid w:val="01322275"/>
    <w:rsid w:val="019B717E"/>
    <w:rsid w:val="01DC6F05"/>
    <w:rsid w:val="02A3489A"/>
    <w:rsid w:val="02CA138D"/>
    <w:rsid w:val="02E238C3"/>
    <w:rsid w:val="033646FC"/>
    <w:rsid w:val="038B6809"/>
    <w:rsid w:val="03C75F80"/>
    <w:rsid w:val="0478364D"/>
    <w:rsid w:val="04AF4BA4"/>
    <w:rsid w:val="050E70CD"/>
    <w:rsid w:val="053B4517"/>
    <w:rsid w:val="053D4C0D"/>
    <w:rsid w:val="0557532E"/>
    <w:rsid w:val="0799329C"/>
    <w:rsid w:val="08570237"/>
    <w:rsid w:val="086F16A7"/>
    <w:rsid w:val="0A0F7225"/>
    <w:rsid w:val="0A2B7D82"/>
    <w:rsid w:val="0ADC40E9"/>
    <w:rsid w:val="0AE607F4"/>
    <w:rsid w:val="0B451598"/>
    <w:rsid w:val="0BEC73F4"/>
    <w:rsid w:val="0C392698"/>
    <w:rsid w:val="0D224EC2"/>
    <w:rsid w:val="10BD36F6"/>
    <w:rsid w:val="11BF0649"/>
    <w:rsid w:val="123E3E08"/>
    <w:rsid w:val="12F66B4A"/>
    <w:rsid w:val="13354546"/>
    <w:rsid w:val="141E4014"/>
    <w:rsid w:val="14DA1F92"/>
    <w:rsid w:val="161C2DFF"/>
    <w:rsid w:val="16373578"/>
    <w:rsid w:val="16D3336B"/>
    <w:rsid w:val="17806C36"/>
    <w:rsid w:val="17A74F62"/>
    <w:rsid w:val="18A47774"/>
    <w:rsid w:val="19352BDA"/>
    <w:rsid w:val="19C13DCF"/>
    <w:rsid w:val="1B2E6FD8"/>
    <w:rsid w:val="1B877D21"/>
    <w:rsid w:val="1C4319A9"/>
    <w:rsid w:val="1E396E2E"/>
    <w:rsid w:val="1E4D68A4"/>
    <w:rsid w:val="1E994F4A"/>
    <w:rsid w:val="1EAF0224"/>
    <w:rsid w:val="1ED74E3A"/>
    <w:rsid w:val="1F2230A4"/>
    <w:rsid w:val="20210932"/>
    <w:rsid w:val="202448E0"/>
    <w:rsid w:val="20BE3E6B"/>
    <w:rsid w:val="21302EEA"/>
    <w:rsid w:val="22376FB5"/>
    <w:rsid w:val="23E152D7"/>
    <w:rsid w:val="255D43C8"/>
    <w:rsid w:val="25FD0CE5"/>
    <w:rsid w:val="26162EAF"/>
    <w:rsid w:val="26876BDD"/>
    <w:rsid w:val="27000E2D"/>
    <w:rsid w:val="2714632A"/>
    <w:rsid w:val="272405C5"/>
    <w:rsid w:val="27B0539E"/>
    <w:rsid w:val="29185CEA"/>
    <w:rsid w:val="29365CF8"/>
    <w:rsid w:val="29397105"/>
    <w:rsid w:val="299469B3"/>
    <w:rsid w:val="29BE69C3"/>
    <w:rsid w:val="2A4D53A1"/>
    <w:rsid w:val="2A805789"/>
    <w:rsid w:val="2B4A0E52"/>
    <w:rsid w:val="2C975890"/>
    <w:rsid w:val="2DEF21BB"/>
    <w:rsid w:val="2E4A2F05"/>
    <w:rsid w:val="2ECC1061"/>
    <w:rsid w:val="2FA476AD"/>
    <w:rsid w:val="2FD45319"/>
    <w:rsid w:val="303F7540"/>
    <w:rsid w:val="31DD00BF"/>
    <w:rsid w:val="323A761D"/>
    <w:rsid w:val="328B2FA1"/>
    <w:rsid w:val="3293174C"/>
    <w:rsid w:val="32936002"/>
    <w:rsid w:val="32BB38D4"/>
    <w:rsid w:val="32C9376D"/>
    <w:rsid w:val="333018C1"/>
    <w:rsid w:val="33780472"/>
    <w:rsid w:val="33933F43"/>
    <w:rsid w:val="33AF0905"/>
    <w:rsid w:val="34EB6088"/>
    <w:rsid w:val="355932F4"/>
    <w:rsid w:val="35611882"/>
    <w:rsid w:val="359A495D"/>
    <w:rsid w:val="35EB0033"/>
    <w:rsid w:val="362726BD"/>
    <w:rsid w:val="36746FC3"/>
    <w:rsid w:val="368763AE"/>
    <w:rsid w:val="37C33CE8"/>
    <w:rsid w:val="395D59E7"/>
    <w:rsid w:val="39A93932"/>
    <w:rsid w:val="3A915562"/>
    <w:rsid w:val="3AA61693"/>
    <w:rsid w:val="3B7265A0"/>
    <w:rsid w:val="3B8D4765"/>
    <w:rsid w:val="3C000DBA"/>
    <w:rsid w:val="3DC045D3"/>
    <w:rsid w:val="3E504FFB"/>
    <w:rsid w:val="3E615CD0"/>
    <w:rsid w:val="3E9C47F6"/>
    <w:rsid w:val="3EA725DC"/>
    <w:rsid w:val="3F874466"/>
    <w:rsid w:val="3FAB3095"/>
    <w:rsid w:val="3FE45947"/>
    <w:rsid w:val="412253A8"/>
    <w:rsid w:val="41242965"/>
    <w:rsid w:val="424B067B"/>
    <w:rsid w:val="42D4120D"/>
    <w:rsid w:val="435671EA"/>
    <w:rsid w:val="440809E9"/>
    <w:rsid w:val="442407A6"/>
    <w:rsid w:val="44805EA1"/>
    <w:rsid w:val="451A1CB3"/>
    <w:rsid w:val="45710696"/>
    <w:rsid w:val="46142B1B"/>
    <w:rsid w:val="46C14AA3"/>
    <w:rsid w:val="47E60DD0"/>
    <w:rsid w:val="481C151D"/>
    <w:rsid w:val="482A1360"/>
    <w:rsid w:val="48735039"/>
    <w:rsid w:val="48E01CDD"/>
    <w:rsid w:val="48F74323"/>
    <w:rsid w:val="492C684B"/>
    <w:rsid w:val="49500594"/>
    <w:rsid w:val="497810BC"/>
    <w:rsid w:val="49E7604E"/>
    <w:rsid w:val="4AE51E54"/>
    <w:rsid w:val="4AED689F"/>
    <w:rsid w:val="4BF67CDD"/>
    <w:rsid w:val="4D262140"/>
    <w:rsid w:val="4D603DD6"/>
    <w:rsid w:val="4DE63C7A"/>
    <w:rsid w:val="4EBF010F"/>
    <w:rsid w:val="4EF95324"/>
    <w:rsid w:val="4F471EB0"/>
    <w:rsid w:val="51015B9F"/>
    <w:rsid w:val="51331326"/>
    <w:rsid w:val="51740A7F"/>
    <w:rsid w:val="51A5541E"/>
    <w:rsid w:val="51C96242"/>
    <w:rsid w:val="53752D86"/>
    <w:rsid w:val="537F55D7"/>
    <w:rsid w:val="53A30E59"/>
    <w:rsid w:val="53CA1B73"/>
    <w:rsid w:val="54341889"/>
    <w:rsid w:val="54F46F60"/>
    <w:rsid w:val="55A37BEA"/>
    <w:rsid w:val="5784687B"/>
    <w:rsid w:val="57846959"/>
    <w:rsid w:val="578E6A87"/>
    <w:rsid w:val="582121E0"/>
    <w:rsid w:val="587031B7"/>
    <w:rsid w:val="58907098"/>
    <w:rsid w:val="58D61859"/>
    <w:rsid w:val="5A5738FA"/>
    <w:rsid w:val="5AC2203A"/>
    <w:rsid w:val="5CBB3334"/>
    <w:rsid w:val="5D115FAF"/>
    <w:rsid w:val="5E8C07A5"/>
    <w:rsid w:val="62811722"/>
    <w:rsid w:val="62E75A72"/>
    <w:rsid w:val="63DC186C"/>
    <w:rsid w:val="63F7026C"/>
    <w:rsid w:val="64571880"/>
    <w:rsid w:val="649125B6"/>
    <w:rsid w:val="650C3A11"/>
    <w:rsid w:val="652F4C1A"/>
    <w:rsid w:val="6590590B"/>
    <w:rsid w:val="666D37F1"/>
    <w:rsid w:val="67087D8F"/>
    <w:rsid w:val="671F687E"/>
    <w:rsid w:val="67F415F8"/>
    <w:rsid w:val="681E569F"/>
    <w:rsid w:val="684B73E5"/>
    <w:rsid w:val="6A047A2A"/>
    <w:rsid w:val="6AD72251"/>
    <w:rsid w:val="6D1D2ABE"/>
    <w:rsid w:val="6F3831C3"/>
    <w:rsid w:val="6FAC752C"/>
    <w:rsid w:val="70417DD1"/>
    <w:rsid w:val="70753482"/>
    <w:rsid w:val="707B522A"/>
    <w:rsid w:val="70DA00C5"/>
    <w:rsid w:val="73194D05"/>
    <w:rsid w:val="736175F0"/>
    <w:rsid w:val="73A83B0E"/>
    <w:rsid w:val="73B824B7"/>
    <w:rsid w:val="744D3EF9"/>
    <w:rsid w:val="74794411"/>
    <w:rsid w:val="74D66C82"/>
    <w:rsid w:val="75242E45"/>
    <w:rsid w:val="75867C40"/>
    <w:rsid w:val="75AE323E"/>
    <w:rsid w:val="76432199"/>
    <w:rsid w:val="76F44829"/>
    <w:rsid w:val="77A267C0"/>
    <w:rsid w:val="78205483"/>
    <w:rsid w:val="78811C4B"/>
    <w:rsid w:val="78882278"/>
    <w:rsid w:val="78B118A6"/>
    <w:rsid w:val="78DE16F4"/>
    <w:rsid w:val="79135044"/>
    <w:rsid w:val="79F84B06"/>
    <w:rsid w:val="7A644B5B"/>
    <w:rsid w:val="7A7D0F99"/>
    <w:rsid w:val="7AB37BA0"/>
    <w:rsid w:val="7B2A08DE"/>
    <w:rsid w:val="7D972243"/>
    <w:rsid w:val="7EFD44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qFormat/>
    <w:uiPriority w:val="99"/>
    <w:pPr>
      <w:jc w:val="left"/>
    </w:pPr>
  </w:style>
  <w:style w:type="paragraph" w:styleId="4">
    <w:name w:val="Balloon Text"/>
    <w:basedOn w:val="1"/>
    <w:link w:val="23"/>
    <w:qFormat/>
    <w:uiPriority w:val="99"/>
    <w:rPr>
      <w:sz w:val="18"/>
      <w:szCs w:val="18"/>
    </w:rPr>
  </w:style>
  <w:style w:type="paragraph" w:styleId="5">
    <w:name w:val="footer"/>
    <w:basedOn w:val="1"/>
    <w:link w:val="26"/>
    <w:qFormat/>
    <w:uiPriority w:val="99"/>
    <w:pPr>
      <w:tabs>
        <w:tab w:val="center" w:pos="4153"/>
        <w:tab w:val="right" w:pos="8306"/>
      </w:tabs>
      <w:snapToGrid w:val="0"/>
      <w:jc w:val="left"/>
    </w:pPr>
    <w:rPr>
      <w:sz w:val="18"/>
      <w:szCs w:val="20"/>
    </w:rPr>
  </w:style>
  <w:style w:type="paragraph" w:styleId="6">
    <w:name w:val="header"/>
    <w:basedOn w:val="1"/>
    <w:link w:val="25"/>
    <w:qFormat/>
    <w:uiPriority w:val="99"/>
    <w:pPr>
      <w:pBdr>
        <w:bottom w:val="single" w:color="auto" w:sz="6" w:space="1"/>
      </w:pBdr>
      <w:tabs>
        <w:tab w:val="center" w:pos="4153"/>
        <w:tab w:val="right" w:pos="8306"/>
      </w:tabs>
      <w:snapToGrid w:val="0"/>
      <w:jc w:val="center"/>
    </w:pPr>
    <w:rPr>
      <w:sz w:val="18"/>
      <w:szCs w:val="20"/>
    </w:rPr>
  </w:style>
  <w:style w:type="paragraph" w:styleId="7">
    <w:name w:val="footnote text"/>
    <w:basedOn w:val="1"/>
    <w:link w:val="24"/>
    <w:qFormat/>
    <w:uiPriority w:val="99"/>
    <w:pPr>
      <w:snapToGrid w:val="0"/>
      <w:jc w:val="left"/>
    </w:pPr>
    <w:rPr>
      <w:sz w:val="18"/>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99"/>
    <w:rPr>
      <w:rFonts w:cs="Times New Roman"/>
      <w:color w:val="800080"/>
      <w:u w:val="single"/>
    </w:rPr>
  </w:style>
  <w:style w:type="character" w:styleId="12">
    <w:name w:val="Hyperlink"/>
    <w:basedOn w:val="10"/>
    <w:qFormat/>
    <w:uiPriority w:val="99"/>
    <w:rPr>
      <w:rFonts w:cs="Times New Roman"/>
      <w:color w:val="0000FF"/>
      <w:u w:val="single"/>
    </w:rPr>
  </w:style>
  <w:style w:type="character" w:styleId="13">
    <w:name w:val="footnote reference"/>
    <w:basedOn w:val="10"/>
    <w:qFormat/>
    <w:uiPriority w:val="99"/>
    <w:rPr>
      <w:rFonts w:cs="Times New Roman"/>
      <w:vertAlign w:val="superscript"/>
    </w:rPr>
  </w:style>
  <w:style w:type="character" w:customStyle="1" w:styleId="14">
    <w:name w:val="Heading 1 Char"/>
    <w:basedOn w:val="10"/>
    <w:link w:val="2"/>
    <w:qFormat/>
    <w:locked/>
    <w:uiPriority w:val="99"/>
    <w:rPr>
      <w:rFonts w:cs="Times New Roman"/>
      <w:b/>
      <w:bCs/>
      <w:kern w:val="44"/>
      <w:sz w:val="44"/>
      <w:szCs w:val="44"/>
    </w:rPr>
  </w:style>
  <w:style w:type="character" w:customStyle="1" w:styleId="15">
    <w:name w:val="Balloon Text Char"/>
    <w:semiHidden/>
    <w:qFormat/>
    <w:locked/>
    <w:uiPriority w:val="99"/>
    <w:rPr>
      <w:kern w:val="2"/>
      <w:sz w:val="18"/>
    </w:rPr>
  </w:style>
  <w:style w:type="character" w:customStyle="1" w:styleId="16">
    <w:name w:val="font01"/>
    <w:basedOn w:val="10"/>
    <w:qFormat/>
    <w:uiPriority w:val="99"/>
    <w:rPr>
      <w:rFonts w:ascii="宋体" w:hAnsi="宋体" w:eastAsia="宋体" w:cs="宋体"/>
      <w:color w:val="000000"/>
      <w:sz w:val="22"/>
      <w:szCs w:val="22"/>
      <w:u w:val="none"/>
    </w:rPr>
  </w:style>
  <w:style w:type="character" w:customStyle="1" w:styleId="17">
    <w:name w:val="font11"/>
    <w:basedOn w:val="10"/>
    <w:qFormat/>
    <w:uiPriority w:val="99"/>
    <w:rPr>
      <w:rFonts w:ascii="宋体" w:hAnsi="宋体" w:eastAsia="宋体" w:cs="宋体"/>
      <w:color w:val="000000"/>
      <w:sz w:val="20"/>
      <w:szCs w:val="20"/>
      <w:u w:val="none"/>
    </w:rPr>
  </w:style>
  <w:style w:type="character" w:customStyle="1" w:styleId="18">
    <w:name w:val="font51"/>
    <w:basedOn w:val="10"/>
    <w:qFormat/>
    <w:uiPriority w:val="99"/>
    <w:rPr>
      <w:rFonts w:ascii="宋体" w:hAnsi="宋体" w:eastAsia="宋体" w:cs="宋体"/>
      <w:color w:val="000000"/>
      <w:sz w:val="24"/>
      <w:szCs w:val="24"/>
      <w:u w:val="none"/>
    </w:rPr>
  </w:style>
  <w:style w:type="character" w:customStyle="1" w:styleId="19">
    <w:name w:val="font41"/>
    <w:basedOn w:val="10"/>
    <w:qFormat/>
    <w:uiPriority w:val="99"/>
    <w:rPr>
      <w:rFonts w:ascii="宋体" w:hAnsi="宋体" w:eastAsia="宋体" w:cs="宋体"/>
      <w:color w:val="000000"/>
      <w:sz w:val="24"/>
      <w:szCs w:val="24"/>
      <w:u w:val="none"/>
    </w:rPr>
  </w:style>
  <w:style w:type="character" w:customStyle="1" w:styleId="20">
    <w:name w:val="Footer Char"/>
    <w:qFormat/>
    <w:locked/>
    <w:uiPriority w:val="99"/>
    <w:rPr>
      <w:kern w:val="2"/>
      <w:sz w:val="18"/>
    </w:rPr>
  </w:style>
  <w:style w:type="character" w:customStyle="1" w:styleId="21">
    <w:name w:val="font21"/>
    <w:basedOn w:val="10"/>
    <w:qFormat/>
    <w:uiPriority w:val="99"/>
    <w:rPr>
      <w:rFonts w:ascii="宋体" w:hAnsi="宋体" w:eastAsia="宋体" w:cs="宋体"/>
      <w:color w:val="000000"/>
      <w:sz w:val="22"/>
      <w:szCs w:val="22"/>
      <w:u w:val="none"/>
    </w:rPr>
  </w:style>
  <w:style w:type="character" w:customStyle="1" w:styleId="22">
    <w:name w:val="Header Char"/>
    <w:locked/>
    <w:uiPriority w:val="99"/>
    <w:rPr>
      <w:kern w:val="2"/>
      <w:sz w:val="18"/>
    </w:rPr>
  </w:style>
  <w:style w:type="character" w:customStyle="1" w:styleId="23">
    <w:name w:val="Balloon Text Char1"/>
    <w:basedOn w:val="10"/>
    <w:link w:val="4"/>
    <w:semiHidden/>
    <w:qFormat/>
    <w:locked/>
    <w:uiPriority w:val="99"/>
    <w:rPr>
      <w:rFonts w:cs="Times New Roman"/>
      <w:sz w:val="2"/>
    </w:rPr>
  </w:style>
  <w:style w:type="character" w:customStyle="1" w:styleId="24">
    <w:name w:val="Footnote Text Char"/>
    <w:basedOn w:val="10"/>
    <w:link w:val="7"/>
    <w:semiHidden/>
    <w:qFormat/>
    <w:locked/>
    <w:uiPriority w:val="99"/>
    <w:rPr>
      <w:rFonts w:cs="Times New Roman"/>
      <w:sz w:val="18"/>
      <w:szCs w:val="18"/>
    </w:rPr>
  </w:style>
  <w:style w:type="character" w:customStyle="1" w:styleId="25">
    <w:name w:val="Header Char1"/>
    <w:basedOn w:val="10"/>
    <w:link w:val="6"/>
    <w:semiHidden/>
    <w:qFormat/>
    <w:locked/>
    <w:uiPriority w:val="99"/>
    <w:rPr>
      <w:rFonts w:cs="Times New Roman"/>
      <w:sz w:val="18"/>
      <w:szCs w:val="18"/>
    </w:rPr>
  </w:style>
  <w:style w:type="character" w:customStyle="1" w:styleId="26">
    <w:name w:val="Footer Char1"/>
    <w:basedOn w:val="10"/>
    <w:link w:val="5"/>
    <w:semiHidden/>
    <w:qFormat/>
    <w:locked/>
    <w:uiPriority w:val="99"/>
    <w:rPr>
      <w:rFonts w:cs="Times New Roman"/>
      <w:sz w:val="18"/>
      <w:szCs w:val="18"/>
    </w:rPr>
  </w:style>
  <w:style w:type="character" w:customStyle="1" w:styleId="27">
    <w:name w:val="Comment Text Char"/>
    <w:basedOn w:val="10"/>
    <w:link w:val="3"/>
    <w:semiHidden/>
    <w:qFormat/>
    <w:locked/>
    <w:uiPriority w:val="99"/>
    <w:rPr>
      <w:rFonts w:cs="Times New Roman"/>
    </w:rPr>
  </w:style>
  <w:style w:type="paragraph" w:customStyle="1" w:styleId="28">
    <w:name w:val="标题1"/>
    <w:basedOn w:val="2"/>
    <w:qFormat/>
    <w:uiPriority w:val="99"/>
    <w:pPr>
      <w:spacing w:before="0" w:after="0" w:line="240" w:lineRule="auto"/>
      <w:jc w:val="center"/>
    </w:pPr>
    <w:rPr>
      <w:rFonts w:ascii="华文中宋" w:hAnsi="华文中宋" w:eastAsia="华文中宋"/>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 User</Company>
  <Pages>32</Pages>
  <Words>1632</Words>
  <Characters>9306</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2020-09-24T09:48:00Z</dcterms:created>
  <dc:creator>管理者</dc:creator>
  <cp:lastModifiedBy>zxkj</cp:lastModifiedBy>
  <cp:lastPrinted>2020-09-25T08:34:00Z</cp:lastPrinted>
  <dcterms:modified xsi:type="dcterms:W3CDTF">2021-05-27T09:28:41Z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3E3FBA9404ED4F6F82F01E90F3D07712</vt:lpwstr>
  </property>
</Properties>
</file>