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中共永城市委市直</w:t>
      </w:r>
      <w:r>
        <w:rPr>
          <w:rFonts w:hint="eastAsia" w:ascii="黑体" w:hAnsi="黑体" w:eastAsia="黑体" w:cs="黑体"/>
          <w:b/>
          <w:sz w:val="48"/>
          <w:szCs w:val="48"/>
        </w:rPr>
        <w:t>机关</w:t>
      </w: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工作委员会</w:t>
      </w:r>
      <w:r>
        <w:rPr>
          <w:rFonts w:hint="eastAsia" w:ascii="黑体" w:hAnsi="黑体" w:eastAsia="黑体" w:cs="黑体"/>
          <w:b/>
          <w:sz w:val="48"/>
          <w:szCs w:val="48"/>
        </w:rPr>
        <w:t>20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48"/>
          <w:szCs w:val="48"/>
        </w:rPr>
        <w:t>年</w:t>
      </w: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度部门</w:t>
      </w:r>
      <w:r>
        <w:rPr>
          <w:rFonts w:hint="eastAsia" w:ascii="黑体" w:hAnsi="黑体" w:eastAsia="黑体" w:cs="黑体"/>
          <w:b/>
          <w:sz w:val="48"/>
          <w:szCs w:val="48"/>
        </w:rPr>
        <w:t>预算</w:t>
      </w: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公开</w:t>
      </w: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目录</w: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第一部分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中共永城市委市直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机关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工作委员会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概况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一、主要职能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二、部门预算单位构成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第二部分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中共永城市委市直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机关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工作委员会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2020年度部门预算情况说明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第三部分 名词解释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中共永城市委市直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机关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工作委员会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2020 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九、国有资本经营预算支出情况表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十、政府采购情况表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十一、部门（单位）整体绩效目标表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十二、部门预算项目绩效目标汇总表</w:t>
      </w:r>
    </w:p>
    <w:p>
      <w:pPr>
        <w:jc w:val="center"/>
        <w:rPr>
          <w:rFonts w:hint="eastAsia" w:ascii="Arial" w:hAnsi="Arial" w:eastAsia="方正小标宋简体" w:cs="Arial"/>
          <w:b/>
          <w:sz w:val="36"/>
          <w:szCs w:val="36"/>
          <w:lang w:val="en-US" w:eastAsia="zh-CN"/>
        </w:rPr>
      </w:pPr>
      <w:r>
        <w:rPr>
          <w:rFonts w:hint="eastAsia" w:ascii="Arial" w:hAnsi="Arial" w:eastAsia="方正小标宋简体" w:cs="Arial"/>
          <w:b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中共永城市委市直</w:t>
      </w:r>
      <w:r>
        <w:rPr>
          <w:rFonts w:hint="eastAsia" w:ascii="黑体" w:hAnsi="黑体" w:eastAsia="黑体" w:cs="黑体"/>
          <w:b/>
          <w:sz w:val="36"/>
          <w:szCs w:val="36"/>
        </w:rPr>
        <w:t>机关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工作委员会</w:t>
      </w: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度部门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6"/>
          <w:szCs w:val="36"/>
        </w:rPr>
        <w:t>预算情况说明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第一部分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中共永城市委市直</w:t>
      </w:r>
      <w:r>
        <w:rPr>
          <w:rFonts w:hint="eastAsia" w:ascii="宋体" w:hAnsi="宋体" w:eastAsia="宋体" w:cs="宋体"/>
          <w:b/>
          <w:sz w:val="32"/>
          <w:szCs w:val="32"/>
        </w:rPr>
        <w:t>机关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工作委员会概况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723" w:firstLineChars="200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cs="宋体"/>
          <w:b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中共永城市委市直</w:t>
      </w:r>
      <w:r>
        <w:rPr>
          <w:rFonts w:hint="eastAsia" w:ascii="宋体" w:hAnsi="宋体" w:eastAsia="宋体" w:cs="宋体"/>
          <w:b/>
          <w:sz w:val="30"/>
          <w:szCs w:val="30"/>
        </w:rPr>
        <w:t>机关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工作委员会</w:t>
      </w:r>
      <w:r>
        <w:rPr>
          <w:rFonts w:hint="eastAsia" w:cs="宋体"/>
          <w:b/>
          <w:sz w:val="30"/>
          <w:szCs w:val="30"/>
          <w:lang w:eastAsia="zh-CN"/>
        </w:rPr>
        <w:t>主要职能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部门主要职责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负责规划市直机关党的建设，统一领导市直机关、市直各企业、事业单位、商丘市直驻永单位党的工作。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指导市直机关各级党组织建设，抓好党的思想、组织、作风建设。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市直机关各级党组织实施对党员特别是党员领导干部的监督，参加市直各单位的党组、党委民主生活会。四是指导市直机关党组织配合行政领导做好思想政治工作。五是负责市直各机关党支部成员的考察、任免、考核工作。六是负责审批所属市直机关党组织的设置及党员发展工作，做好党费的收缴和管理等党务工作。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ind w:firstLine="643" w:firstLineChars="200"/>
        <w:rPr>
          <w:rFonts w:hint="eastAsia" w:ascii="仿宋_GB2312" w:hAnsi="ˎ̥" w:eastAsia="仿宋_GB2312" w:cs="Arial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b/>
          <w:color w:val="000000"/>
          <w:sz w:val="32"/>
          <w:szCs w:val="32"/>
          <w:lang w:eastAsia="zh-CN"/>
        </w:rPr>
        <w:t>人员构成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default" w:ascii="仿宋_GB2312" w:hAnsi="ˎ̥" w:eastAsia="仿宋_GB2312" w:cs="Arial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b w:val="0"/>
          <w:bCs/>
          <w:color w:val="000000"/>
          <w:sz w:val="32"/>
          <w:szCs w:val="32"/>
          <w:lang w:val="en-US" w:eastAsia="zh-CN"/>
        </w:rPr>
        <w:t>市直机关工委实有人员11人；其中正科级3人，科员8人，离退休人员7人。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预算年度的主要工作任务                     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1、考核市直各支部各党组党建工作；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2、七一活动的开展；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3、支部书记培训、市直党员干部学习培训、入党积极分子培训、十九大精神党员培训；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4、国庆节建党91周年活动；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left="638" w:leftChars="304" w:firstLine="0" w:firstLineChars="0"/>
        <w:jc w:val="left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5、确保其它工作正常有序开展。                                            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二、中共永城市委市直机关工作委员预算单位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的构成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机构设置情况</w:t>
      </w:r>
    </w:p>
    <w:p>
      <w:pPr>
        <w:pStyle w:val="4"/>
        <w:widowControl/>
        <w:ind w:firstLine="480" w:firstLineChars="15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市直机关工委内设办公室、宣传科、组织科、武装部4个科室。为全额财政预算一级单位。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第二部分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中共永城市委市直机关工作委员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2020年度部门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预算情况说明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cs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收入支出预算总体情况说明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default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年收入总计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万元，支出总计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万元，与 201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年相比，收支总计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4.57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3.59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%。主要原因：由于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工资标准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、津补贴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等调整，基本支出较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去年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增加。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                               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年收入合计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三、部门支出预算总体情况说明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年支出合计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121.88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四、财政拨款收入预算情况说明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年收入预算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4.57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3.59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      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 xml:space="preserve">         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五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财政拨款支出预算情况说明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年支出预算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131.88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4.57 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3.59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97.74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74.1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1.4 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13.13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3.33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11.01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8.35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0.16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1.43 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 7.6 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变化原因：由于机构改革、工资标准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、津补贴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调整等，基本支出较上年增加。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六、支出预算经济分类情况说明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按照《财政部关于印发&lt;支出经济分类科目改革方案&gt;的通知》（财预〔2017〕98 号）要求，从 201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单位按两套经济分类科目分别反映不同资金来源的全部预算支出。</w:t>
      </w:r>
    </w:p>
    <w:p>
      <w:pPr>
        <w:pStyle w:val="4"/>
        <w:widowControl/>
        <w:numPr>
          <w:ilvl w:val="0"/>
          <w:numId w:val="2"/>
        </w:numPr>
        <w:ind w:left="-220" w:leftChars="0" w:firstLine="640" w:firstLineChars="0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政府性基金预算支出情况说明</w:t>
      </w:r>
    </w:p>
    <w:p>
      <w:pPr>
        <w:pStyle w:val="4"/>
        <w:widowControl/>
        <w:numPr>
          <w:numId w:val="0"/>
        </w:numPr>
        <w:ind w:left="420" w:leftChars="0"/>
        <w:rPr>
          <w:rFonts w:hint="default" w:ascii="仿宋" w:hAnsi="仿宋" w:eastAsia="仿宋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color w:val="000000"/>
          <w:sz w:val="32"/>
          <w:szCs w:val="32"/>
          <w:lang w:val="en-US" w:eastAsia="zh-CN"/>
        </w:rPr>
        <w:t>本单位2020年无政府性基金支出。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八、“三公”经费支出预算情况说明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 年“三公”经费支出预算数比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年预算减少0万元。具体情况如下：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1、因公出国(境)费用0万元，较上年下降0%；主要原因是：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无出国出境。</w:t>
      </w:r>
      <w:bookmarkStart w:id="0" w:name="_GoBack"/>
      <w:bookmarkEnd w:id="0"/>
    </w:p>
    <w:p>
      <w:pPr>
        <w:pStyle w:val="4"/>
        <w:widowControl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2、公务接待费0万元，较上年下降0%，主要原因是严格执行《党政机关国内公务接待管理规定》等办法，不断规范公务接待管理，严格接待审批控制，厉行勤俭节约，不断压缩公务接待费支出。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3、公务用车运行维护费0万元，较上年下降0%，主要原因：</w:t>
      </w:r>
      <w:r>
        <w:rPr>
          <w:rFonts w:hint="eastAsia" w:ascii="仿宋_GB2312" w:eastAsia="仿宋_GB2312"/>
          <w:sz w:val="32"/>
          <w:szCs w:val="32"/>
          <w:lang w:eastAsia="zh-CN"/>
        </w:rPr>
        <w:t>无公务用车。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4、公务用车购置0万元，较上年下降0%，主要变化原因：</w:t>
      </w:r>
      <w:r>
        <w:rPr>
          <w:rFonts w:hint="eastAsia" w:ascii="仿宋_GB2312" w:eastAsia="仿宋_GB2312"/>
          <w:sz w:val="32"/>
          <w:szCs w:val="32"/>
          <w:lang w:eastAsia="zh-CN"/>
        </w:rPr>
        <w:t>无公务用车购置。</w:t>
      </w:r>
    </w:p>
    <w:p>
      <w:pPr>
        <w:pStyle w:val="4"/>
        <w:widowControl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九、其他重要事项的情况说明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(一)机关运行经费支出情况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，商品服务支出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11.01万元，办公费3.10万元，印刷费1.2万元，邮电费0.8万元，差旅费1.7万元，福利费0.78万元，工会经费0.31万元，其它交通费用3.12万元。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本单位2020年无政府采购支出。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（三）关于预算绩效管理工作开展情况说明</w:t>
      </w:r>
    </w:p>
    <w:p>
      <w:pPr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我单位以实现绩效目标为导向，深入开展财政支出绩效评价，抓好绩效目标编制，对一般性项目支出实施绩效自评和项目核查，进一步加强制度建设，提升自评质量，预算绩效管理取得新成效。</w:t>
      </w:r>
    </w:p>
    <w:p>
      <w:pPr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2"/>
          <w:sz w:val="32"/>
          <w:szCs w:val="32"/>
        </w:rPr>
        <w:t>年，我单位选取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5个</w:t>
      </w:r>
      <w:r>
        <w:rPr>
          <w:rFonts w:hint="eastAsia" w:ascii="仿宋_GB2312" w:eastAsia="仿宋_GB2312"/>
          <w:kern w:val="2"/>
          <w:sz w:val="32"/>
          <w:szCs w:val="32"/>
        </w:rPr>
        <w:t>项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目：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1、七一爱国教育，项目内容：开展纪念中国共产党系列活动；2、党建工作座谈，项目内容:召开市直机关支部座谈会；3、支部书记培训，</w:t>
      </w:r>
      <w:r>
        <w:rPr>
          <w:rFonts w:hint="eastAsia" w:ascii="仿宋_GB2312" w:eastAsia="仿宋_GB2312"/>
          <w:kern w:val="2"/>
          <w:sz w:val="32"/>
          <w:szCs w:val="32"/>
        </w:rPr>
        <w:t>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内容：支部书记培训班，党组织设置，任期换届调查等；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4、党代会经费，</w:t>
      </w:r>
      <w:r>
        <w:rPr>
          <w:rFonts w:hint="eastAsia" w:ascii="仿宋_GB2312" w:eastAsia="仿宋_GB2312"/>
          <w:kern w:val="2"/>
          <w:sz w:val="32"/>
          <w:szCs w:val="32"/>
        </w:rPr>
        <w:t>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内容：成立秘书、宣传、组织、会务、保卫等工作组；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5、党员培训班，项目内容：《中国共产党章程》、《中国共产党纪律处分条例》、革命传统教育，优秀共产党员先进事迹、市直党员分期学习等5</w:t>
      </w:r>
      <w:r>
        <w:rPr>
          <w:rFonts w:hint="eastAsia" w:ascii="仿宋_GB2312" w:eastAsia="仿宋_GB2312"/>
          <w:kern w:val="2"/>
          <w:sz w:val="32"/>
          <w:szCs w:val="32"/>
        </w:rPr>
        <w:t>个项目作为重点绩效评价项目，涉及资金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2"/>
          <w:sz w:val="32"/>
          <w:szCs w:val="32"/>
        </w:rPr>
        <w:t>0万元。</w:t>
      </w:r>
    </w:p>
    <w:p>
      <w:pPr>
        <w:ind w:firstLine="640" w:firstLineChars="200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（四）国有资产占用情况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:2019年底固定资产144115元，其中，电脑10台，打印机2台，空调7台，办公桌椅14张，档案柜14个。</w:t>
      </w:r>
    </w:p>
    <w:p>
      <w:pPr>
        <w:pStyle w:val="4"/>
        <w:widowControl/>
        <w:ind w:firstLine="320" w:firstLineChars="1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（五）专项转移支付项目情况</w:t>
      </w:r>
    </w:p>
    <w:p>
      <w:pPr>
        <w:pStyle w:val="4"/>
        <w:widowControl/>
        <w:wordWrap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我单位负责参与管理的专项转移支付项目共0项。</w:t>
      </w:r>
    </w:p>
    <w:p>
      <w:pPr>
        <w:pStyle w:val="4"/>
        <w:widowControl/>
        <w:wordWrap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（六）纳入本次预算单位构成情况说明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财政局预算批复中指出，当前机构改革正在推进中，本次预算批复及公开暂按目前掌握的情况下达预算资金，待各部门“三定”方案印发后，再进行相应调整。</w:t>
      </w:r>
    </w:p>
    <w:p>
      <w:pPr>
        <w:pStyle w:val="4"/>
        <w:widowControl/>
        <w:ind w:firstLine="3360" w:firstLineChars="105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第三部分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widowControl/>
        <w:rPr>
          <w:rFonts w:hint="eastAsia" w:ascii="仿宋_GB2312" w:hAnsi="Times New Roman" w:eastAsia="仿宋_GB2312" w:cs="Times New Roman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w w:val="95"/>
          <w:kern w:val="2"/>
          <w:sz w:val="32"/>
          <w:szCs w:val="32"/>
          <w:lang w:val="en-US" w:eastAsia="zh-CN" w:bidi="ar-SA"/>
        </w:rPr>
        <w:t>中共永城市委市直机关工作委员 2020 年度部门预算表</w:t>
      </w:r>
    </w:p>
    <w:p>
      <w:pPr>
        <w:rPr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仿宋_GB2312" w:hAnsi="ˎ̥" w:eastAsia="仿宋_GB2312" w:cs="Arial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EB9FE"/>
    <w:multiLevelType w:val="singleLevel"/>
    <w:tmpl w:val="F44EB9FE"/>
    <w:lvl w:ilvl="0" w:tentative="0">
      <w:start w:val="7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abstractNum w:abstractNumId="1">
    <w:nsid w:val="35D78966"/>
    <w:multiLevelType w:val="singleLevel"/>
    <w:tmpl w:val="35D789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065DF5"/>
    <w:rsid w:val="22E13FDF"/>
    <w:rsid w:val="28025D00"/>
    <w:rsid w:val="3C876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246</Words>
  <Characters>1404</Characters>
  <Lines>11</Lines>
  <Paragraphs>3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zxkj</cp:lastModifiedBy>
  <cp:lastPrinted>2020-08-07T02:43:00Z</cp:lastPrinted>
  <dcterms:modified xsi:type="dcterms:W3CDTF">2021-06-10T07:09:47Z</dcterms:modified>
  <dc:title>中共永城市委市直机关工作委员会2020年度部门预算公开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37AC53FAD30E46BC8036D6F481BEACF3</vt:lpwstr>
  </property>
</Properties>
</file>