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>
      <w:pPr>
        <w:jc w:val="center"/>
        <w:rPr>
          <w:rFonts w:hint="eastAsia" w:cs="Arial" w:asciiTheme="majorEastAsia" w:hAnsiTheme="majorEastAsia" w:eastAsiaTheme="majorEastAsia"/>
          <w:b/>
          <w:sz w:val="52"/>
          <w:szCs w:val="52"/>
          <w:lang w:eastAsia="zh-CN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永城市</w:t>
      </w:r>
      <w:r>
        <w:rPr>
          <w:rFonts w:hint="eastAsia" w:cs="Arial" w:asciiTheme="majorEastAsia" w:hAnsiTheme="majorEastAsia" w:eastAsiaTheme="majorEastAsia"/>
          <w:b/>
          <w:sz w:val="52"/>
          <w:szCs w:val="52"/>
        </w:rPr>
        <w:t>供销</w:t>
      </w:r>
      <w:r>
        <w:rPr>
          <w:rFonts w:hint="eastAsia" w:cs="Arial" w:asciiTheme="majorEastAsia" w:hAnsiTheme="majorEastAsia" w:eastAsiaTheme="majorEastAsia"/>
          <w:b/>
          <w:sz w:val="52"/>
          <w:szCs w:val="52"/>
          <w:lang w:eastAsia="zh-CN"/>
        </w:rPr>
        <w:t>合作联社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2018年预算基本情况说明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2018年1月20日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both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spacing w:line="720" w:lineRule="auto"/>
        <w:ind w:left="240"/>
        <w:jc w:val="center"/>
        <w:rPr>
          <w:rFonts w:hint="eastAsia" w:ascii="黑体" w:hAnsi="黑体" w:eastAsia="黑体" w:cs="黑体"/>
          <w:b/>
          <w:bCs/>
          <w:sz w:val="48"/>
          <w:szCs w:val="48"/>
        </w:rPr>
      </w:pPr>
    </w:p>
    <w:p>
      <w:pPr>
        <w:spacing w:line="720" w:lineRule="auto"/>
        <w:ind w:left="240"/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目录</w:t>
      </w:r>
    </w:p>
    <w:p>
      <w:pPr>
        <w:numPr>
          <w:ilvl w:val="0"/>
          <w:numId w:val="1"/>
        </w:numPr>
        <w:spacing w:line="720" w:lineRule="auto"/>
        <w:ind w:left="24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 w:cs="Arial"/>
          <w:b/>
          <w:sz w:val="32"/>
          <w:szCs w:val="32"/>
        </w:rPr>
        <w:t>供销</w:t>
      </w:r>
      <w:r>
        <w:rPr>
          <w:rFonts w:hint="eastAsia" w:ascii="黑体" w:hAnsi="黑体" w:eastAsia="黑体" w:cs="Arial"/>
          <w:b/>
          <w:sz w:val="32"/>
          <w:szCs w:val="32"/>
          <w:lang w:eastAsia="zh-CN"/>
        </w:rPr>
        <w:t>合作联社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单位概况</w:t>
      </w:r>
    </w:p>
    <w:p>
      <w:pPr>
        <w:spacing w:line="720" w:lineRule="auto"/>
        <w:ind w:left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一、部门机构设置、职能、年度工作任务</w:t>
      </w:r>
    </w:p>
    <w:p>
      <w:pPr>
        <w:spacing w:line="720" w:lineRule="auto"/>
        <w:ind w:left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二、部门预算单位构成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第二部分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 w:cs="Arial"/>
          <w:b/>
          <w:sz w:val="32"/>
          <w:szCs w:val="32"/>
        </w:rPr>
        <w:t>供销</w:t>
      </w:r>
      <w:r>
        <w:rPr>
          <w:rFonts w:hint="eastAsia" w:ascii="黑体" w:hAnsi="黑体" w:eastAsia="黑体" w:cs="Arial"/>
          <w:b/>
          <w:sz w:val="32"/>
          <w:szCs w:val="32"/>
          <w:lang w:eastAsia="zh-CN"/>
        </w:rPr>
        <w:t>合作联社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640" w:firstLineChars="200"/>
        <w:jc w:val="left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、“三公”经费支出预算情况说明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、其他重要事项的情况说明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第三部分 名词解释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附件：永城市</w:t>
      </w:r>
      <w:r>
        <w:rPr>
          <w:rFonts w:hint="eastAsia" w:ascii="黑体" w:hAnsi="黑体" w:eastAsia="黑体" w:cs="Arial"/>
          <w:b/>
          <w:sz w:val="32"/>
          <w:szCs w:val="32"/>
        </w:rPr>
        <w:t>供销</w:t>
      </w:r>
      <w:r>
        <w:rPr>
          <w:rFonts w:hint="eastAsia" w:ascii="黑体" w:hAnsi="黑体" w:eastAsia="黑体" w:cs="Arial"/>
          <w:b/>
          <w:sz w:val="32"/>
          <w:szCs w:val="32"/>
          <w:lang w:eastAsia="zh-CN"/>
        </w:rPr>
        <w:t>合作联社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部门收支总体情况表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部门收入总体情况表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部门支出总体情况表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一般公共预算基本支出经济分类情况表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财政拨款收支总体情况表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财政拨款支出情况表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政府性基金支出情况表</w:t>
      </w: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Arial" w:hAnsi="Arial" w:eastAsia="方正小标宋简体" w:cs="Arial"/>
          <w:b/>
          <w:sz w:val="48"/>
          <w:szCs w:val="48"/>
          <w:lang w:eastAsia="zh-CN"/>
        </w:rPr>
      </w:pPr>
      <w:r>
        <w:rPr>
          <w:rFonts w:hint="eastAsia" w:ascii="Arial" w:hAnsi="Arial" w:eastAsia="方正小标宋简体" w:cs="Arial"/>
          <w:b/>
          <w:sz w:val="48"/>
          <w:szCs w:val="48"/>
        </w:rPr>
        <w:t>永城市供销</w:t>
      </w:r>
      <w:r>
        <w:rPr>
          <w:rFonts w:hint="eastAsia" w:ascii="Arial" w:hAnsi="Arial" w:eastAsia="方正小标宋简体" w:cs="Arial"/>
          <w:b/>
          <w:sz w:val="48"/>
          <w:szCs w:val="48"/>
          <w:lang w:eastAsia="zh-CN"/>
        </w:rPr>
        <w:t>合作联社</w:t>
      </w:r>
    </w:p>
    <w:p>
      <w:pPr>
        <w:jc w:val="center"/>
        <w:rPr>
          <w:rFonts w:ascii="方正小标宋简体" w:eastAsia="方正小标宋简体"/>
          <w:b/>
          <w:sz w:val="48"/>
          <w:szCs w:val="48"/>
        </w:rPr>
      </w:pPr>
      <w:r>
        <w:rPr>
          <w:rFonts w:hint="eastAsia" w:ascii="方正小标宋简体" w:eastAsia="方正小标宋简体"/>
          <w:b/>
          <w:sz w:val="48"/>
          <w:szCs w:val="48"/>
        </w:rPr>
        <w:t>2018年预算基本情况说明</w:t>
      </w:r>
    </w:p>
    <w:p>
      <w:pPr>
        <w:numPr>
          <w:numId w:val="0"/>
        </w:numPr>
        <w:spacing w:line="720" w:lineRule="auto"/>
        <w:ind w:left="240" w:leftChars="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第一部分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 w:cs="Arial"/>
          <w:b/>
          <w:sz w:val="32"/>
          <w:szCs w:val="32"/>
        </w:rPr>
        <w:t>供销</w:t>
      </w:r>
      <w:r>
        <w:rPr>
          <w:rFonts w:hint="eastAsia" w:ascii="黑体" w:hAnsi="黑体" w:eastAsia="黑体" w:cs="Arial"/>
          <w:b/>
          <w:sz w:val="32"/>
          <w:szCs w:val="32"/>
          <w:lang w:eastAsia="zh-CN"/>
        </w:rPr>
        <w:t>合作联社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单位概况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黑体" w:hAnsi="黑体" w:eastAsia="黑体" w:cs="Arial"/>
          <w:b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(一)部门主要职责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供销社内设9个职能科室。主要职责是：组织、指导全市供销社系统积极参与农业产业化，搞好农业社会化服务体系和农村商品流通体系建设，引导组织农民进入市场，活跃城乡商品流通，促进城乡经济发展。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（二）机构设置情况</w:t>
      </w:r>
    </w:p>
    <w:p>
      <w:pPr>
        <w:ind w:firstLine="640" w:firstLineChars="200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永城市供销社下属39个单位，其中有6个公司，4个直属厂，29个基层供销社。6个公司包括：生产公司、棉麻公司、土产公司、农业物资供应公司、日杂公司、汇源商社。4个直属厂包括：陈官庄皮革厂、吕店纱厂、高庄棉厂、综合加工厂。29个基层供销社分布在29个乡镇。以上39个单位都是独立核算单位，受永城市供销社监管和指导。日杂公司、汇源商社改造成股份制企业，其他37个单位均无经营业务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(三)预算年度的主要工作任务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指导全系统的网络建设、网络布局、项目建设与管理；指导农业产业化龙头企业发展、农民专业合作社和农业综合开发。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（四）部门预算单位构成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</w:rPr>
        <w:t>永城市供销合作联社部门预算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永城市供销合作联社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本级预算，本单位无二级机构。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第二部分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 w:cs="Arial"/>
          <w:b/>
          <w:sz w:val="32"/>
          <w:szCs w:val="32"/>
        </w:rPr>
        <w:t>供销</w:t>
      </w:r>
      <w:r>
        <w:rPr>
          <w:rFonts w:hint="eastAsia" w:ascii="黑体" w:hAnsi="黑体" w:eastAsia="黑体" w:cs="Arial"/>
          <w:b/>
          <w:sz w:val="32"/>
          <w:szCs w:val="32"/>
          <w:lang w:eastAsia="zh-CN"/>
        </w:rPr>
        <w:t>合作联社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Style w:val="6"/>
          <w:rFonts w:hint="eastAsia" w:ascii="仿宋_GB2312" w:hAnsi="ˎ̥" w:eastAsia="仿宋_GB2312" w:cs="Arial"/>
          <w:b w:val="0"/>
          <w:color w:val="000000"/>
          <w:sz w:val="32"/>
          <w:szCs w:val="32"/>
        </w:rPr>
        <w:t>（一）财政拨款收入预算情况说明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2018年收入预算421万元，其中财政拨款366万元，比上年增加35万元，增长11%；纳入预算管理的行政事业性收费收入55万元，比上年增加15万元，增长38%。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b/>
          <w:color w:val="000000"/>
          <w:sz w:val="32"/>
          <w:szCs w:val="32"/>
        </w:rPr>
      </w:pPr>
      <w:r>
        <w:rPr>
          <w:rStyle w:val="6"/>
          <w:rFonts w:hint="eastAsia" w:ascii="仿宋_GB2312" w:hAnsi="ˎ̥" w:eastAsia="仿宋_GB2312" w:cs="Arial"/>
          <w:b w:val="0"/>
          <w:color w:val="000000"/>
          <w:sz w:val="32"/>
          <w:szCs w:val="32"/>
        </w:rPr>
        <w:t>（二）财政拨款支出预算情况说明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支出预算421万元，其中财政拨款支出366万元，比上年增加35万元，增长11%。支出按用途划分为：工资福利支出274万元，占总支出的65%，比上年增加80万元，增长41%；对个人和家庭的补助31万元，占总支出的7%，比上年减少80万元，减少72%；商品服务支出41万元，占总支出的10%，比上年增加24万元，增长141%；项目支出75万元，占总支出的18%，比上年增加20万元，增长40%</w:t>
      </w:r>
      <w:r>
        <w:rPr>
          <w:rFonts w:ascii="仿宋_GB2312" w:hAnsi="ˎ̥" w:eastAsia="仿宋_GB2312" w:cs="Arial"/>
          <w:color w:val="000000"/>
          <w:sz w:val="32"/>
          <w:szCs w:val="32"/>
        </w:rPr>
        <w:t>。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主要变化原因：2018年新增工资，退休人员工资移交劳动局发放。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、政府性基金预算收支预算情况说明(无)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、“三公”经费支出预算情况说明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“三公”经费支出预算3.8万元，较上年下降(或增长)0%。公务接待费0.8万元，较上年下降(或增长)0%；公务用车运行维护费3万元，较上年下降(或增长)0%；公务用车购置0万元，较上年下降(或增长)0%。主要变化原因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严格执行《党政机关国内公务接待管理规定》等办法，坚持厉行勤俭节约，不断压缩公务接待费支出，公车改革实施后，公务用车运行维护费降低。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、其他重要事项的情况说明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(一)机关运行经费支出情况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公费9万元，印刷费8万元，水费1万元，电费5万元，物业管理费4万元，差旅费6万元，维修费10万元，公务接待费0.8万元，专用燃料费3.2万元，工会经费1.0万元，福利费4万元，公务用车运行维护费8万元，其他商品和服务支出56万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(二)政府采购支出情况 </w:t>
      </w:r>
    </w:p>
    <w:p>
      <w:pPr>
        <w:pStyle w:val="4"/>
        <w:spacing w:before="0" w:beforeAutospacing="0" w:after="0" w:afterAutospacing="0" w:line="60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2018年政府采购预算安排0万元，其中：政府采购货物类0万元，政府采购服务类0万元,政府采购工程类0万元。</w:t>
      </w:r>
    </w:p>
    <w:p>
      <w:pPr>
        <w:numPr>
          <w:ilvl w:val="0"/>
          <w:numId w:val="3"/>
        </w:num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重点项目预算绩效目标（逐步公开)</w:t>
      </w: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第三部分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32"/>
        </w:rPr>
        <w:t>专业性较强的名词解释</w:t>
      </w:r>
    </w:p>
    <w:bookmarkEnd w:id="0"/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、财政拨款收入：是指市级财政当年拨付的资金。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、事业收入：是指事业单位开展专业活动及辅助活动所取得的收入。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、其他收入：是指部门取得的除“财政拨款”、“事业收入”、“事业单位经营收入”等以外的收入。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、项目支出：是指在基本支出之外，为完成特定的行政工作任务或事业发展目标所发生的支出。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、一般公共服务（类）事务（款）：是指用于保障机构正常运行、开展业务等活动的支出。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）行政运行（项）：是指为保障机构正常运转、完成日常工作任务安排的支出。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）一般行政管理事务（项）：是指单位的项目支出。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）机关服务（项）：是指为单位提供后勤保障服务的机关服务局的支出。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）事业运行（项）：是指事业单位用于保障机构正常运转的基本支出。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/>
    <w:p>
      <w:pPr>
        <w:pStyle w:val="4"/>
        <w:spacing w:line="360" w:lineRule="auto"/>
        <w:rPr>
          <w:rFonts w:ascii="仿宋_GB2312" w:hAnsi="ˎ̥" w:eastAsia="仿宋_GB2312" w:cs="Arial"/>
          <w:color w:val="00000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7DF0"/>
    <w:multiLevelType w:val="singleLevel"/>
    <w:tmpl w:val="02C87DF0"/>
    <w:lvl w:ilvl="0" w:tentative="0">
      <w:start w:val="3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>
    <w:nsid w:val="4662AA8F"/>
    <w:multiLevelType w:val="singleLevel"/>
    <w:tmpl w:val="4662AA8F"/>
    <w:lvl w:ilvl="0" w:tentative="0">
      <w:start w:val="1"/>
      <w:numFmt w:val="chineseCounting"/>
      <w:suff w:val="space"/>
      <w:lvlText w:val="第%1部分"/>
      <w:lvlJc w:val="left"/>
      <w:pPr>
        <w:ind w:left="0" w:firstLine="0"/>
      </w:pPr>
    </w:lvl>
  </w:abstractNum>
  <w:abstractNum w:abstractNumId="2">
    <w:nsid w:val="58366DE8"/>
    <w:multiLevelType w:val="singleLevel"/>
    <w:tmpl w:val="58366DE8"/>
    <w:lvl w:ilvl="0" w:tentative="0">
      <w:start w:val="1"/>
      <w:numFmt w:val="chineseCounting"/>
      <w:suff w:val="nothing"/>
      <w:lvlText w:val="%1、"/>
      <w:lvlJc w:val="left"/>
      <w:pPr>
        <w:ind w:left="555" w:firstLine="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89F"/>
    <w:rsid w:val="000403E4"/>
    <w:rsid w:val="0008416D"/>
    <w:rsid w:val="000875DF"/>
    <w:rsid w:val="00095D3E"/>
    <w:rsid w:val="000C1ED5"/>
    <w:rsid w:val="0011467C"/>
    <w:rsid w:val="00165B20"/>
    <w:rsid w:val="001C5DE9"/>
    <w:rsid w:val="001E1C67"/>
    <w:rsid w:val="001F7FAE"/>
    <w:rsid w:val="0021620E"/>
    <w:rsid w:val="00233822"/>
    <w:rsid w:val="00245502"/>
    <w:rsid w:val="002567CE"/>
    <w:rsid w:val="00272A6E"/>
    <w:rsid w:val="002974D6"/>
    <w:rsid w:val="00297860"/>
    <w:rsid w:val="00303F75"/>
    <w:rsid w:val="0034257E"/>
    <w:rsid w:val="003A5C45"/>
    <w:rsid w:val="003D49A3"/>
    <w:rsid w:val="003E14BD"/>
    <w:rsid w:val="0042182B"/>
    <w:rsid w:val="0043450B"/>
    <w:rsid w:val="004E05B9"/>
    <w:rsid w:val="004F72FB"/>
    <w:rsid w:val="00500D5B"/>
    <w:rsid w:val="005047C1"/>
    <w:rsid w:val="005206D4"/>
    <w:rsid w:val="00537650"/>
    <w:rsid w:val="005735F3"/>
    <w:rsid w:val="00591034"/>
    <w:rsid w:val="005920A8"/>
    <w:rsid w:val="005954BA"/>
    <w:rsid w:val="005A2B70"/>
    <w:rsid w:val="0061158C"/>
    <w:rsid w:val="006549ED"/>
    <w:rsid w:val="0069064A"/>
    <w:rsid w:val="006A113C"/>
    <w:rsid w:val="006A4525"/>
    <w:rsid w:val="006B2BA8"/>
    <w:rsid w:val="006F08F0"/>
    <w:rsid w:val="006F355A"/>
    <w:rsid w:val="007066B0"/>
    <w:rsid w:val="007103CE"/>
    <w:rsid w:val="00733456"/>
    <w:rsid w:val="00755988"/>
    <w:rsid w:val="00763644"/>
    <w:rsid w:val="007A4FDC"/>
    <w:rsid w:val="007B4C18"/>
    <w:rsid w:val="007C2027"/>
    <w:rsid w:val="007C24F6"/>
    <w:rsid w:val="007E4C8D"/>
    <w:rsid w:val="0083385F"/>
    <w:rsid w:val="0083744C"/>
    <w:rsid w:val="00845265"/>
    <w:rsid w:val="00870B21"/>
    <w:rsid w:val="0089771A"/>
    <w:rsid w:val="00910D34"/>
    <w:rsid w:val="00952916"/>
    <w:rsid w:val="00980774"/>
    <w:rsid w:val="00991833"/>
    <w:rsid w:val="009B31DD"/>
    <w:rsid w:val="009F01BD"/>
    <w:rsid w:val="009F0C16"/>
    <w:rsid w:val="00A1508B"/>
    <w:rsid w:val="00A8083E"/>
    <w:rsid w:val="00AB118E"/>
    <w:rsid w:val="00AF41B5"/>
    <w:rsid w:val="00B22221"/>
    <w:rsid w:val="00B60910"/>
    <w:rsid w:val="00B76482"/>
    <w:rsid w:val="00BA714C"/>
    <w:rsid w:val="00BC7A38"/>
    <w:rsid w:val="00BE45D8"/>
    <w:rsid w:val="00BF55D6"/>
    <w:rsid w:val="00C00FAC"/>
    <w:rsid w:val="00C1789F"/>
    <w:rsid w:val="00C32009"/>
    <w:rsid w:val="00C36AAB"/>
    <w:rsid w:val="00C96031"/>
    <w:rsid w:val="00CA6C31"/>
    <w:rsid w:val="00CC2C0F"/>
    <w:rsid w:val="00D141DE"/>
    <w:rsid w:val="00D66E3C"/>
    <w:rsid w:val="00D73F94"/>
    <w:rsid w:val="00D9025E"/>
    <w:rsid w:val="00DD0DF7"/>
    <w:rsid w:val="00DE0352"/>
    <w:rsid w:val="00DE4A69"/>
    <w:rsid w:val="00DE4DE6"/>
    <w:rsid w:val="00E03B5C"/>
    <w:rsid w:val="00E2793B"/>
    <w:rsid w:val="00E86FAF"/>
    <w:rsid w:val="00EE7ADF"/>
    <w:rsid w:val="00F36CFA"/>
    <w:rsid w:val="00F94371"/>
    <w:rsid w:val="00F947C0"/>
    <w:rsid w:val="00FE7B5E"/>
    <w:rsid w:val="53DA0C82"/>
    <w:rsid w:val="6A9A7F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363</Words>
  <Characters>2072</Characters>
  <Lines>17</Lines>
  <Paragraphs>4</Paragraphs>
  <TotalTime>0</TotalTime>
  <ScaleCrop>false</ScaleCrop>
  <LinksUpToDate>false</LinksUpToDate>
  <CharactersWithSpaces>2431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2018-03-28T00:35:00Z</dcterms:created>
  <dc:creator>china</dc:creator>
  <cp:lastModifiedBy>Administrator</cp:lastModifiedBy>
  <cp:lastPrinted>2018-04-25T02:46:00Z</cp:lastPrinted>
  <dcterms:modified xsi:type="dcterms:W3CDTF">2019-03-04T03:45:19Z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