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永城市</w:t>
      </w:r>
      <w:r>
        <w:rPr>
          <w:rFonts w:hint="eastAsia" w:cs="Arial" w:asciiTheme="minorEastAsia" w:hAnsiTheme="minorEastAsia" w:eastAsiaTheme="minorEastAsia"/>
          <w:b/>
          <w:sz w:val="52"/>
          <w:szCs w:val="52"/>
        </w:rPr>
        <w:t>地方史志办公室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bookmarkStart w:id="0" w:name="_GoBack"/>
      <w:bookmarkEnd w:id="0"/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left="24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地方史志办公室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地方史志办公室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 w:cs="Arial"/>
          <w:b/>
          <w:sz w:val="32"/>
          <w:szCs w:val="32"/>
        </w:rPr>
        <w:t>地方史志办公室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</w:rPr>
        <w:t>永城市地方史志办公室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numPr>
          <w:numId w:val="0"/>
        </w:numPr>
        <w:spacing w:line="720" w:lineRule="auto"/>
        <w:ind w:left="240" w:leftChars="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地方史志办公室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(一)部门主要职责</w:t>
      </w:r>
    </w:p>
    <w:p>
      <w:pPr>
        <w:pStyle w:val="4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永城市地方史志办公室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内设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职能科室，主要职责是主要职责是负责拟定全市史志工作规划和编纂方案，制定业务规范；负责市志的编纂、出版、发行工作；指导、审定县（市、区）志和市级行业志的编纂工作；编辑、出版、发行政府综合年鉴——《永城年鉴》；搜集、保存地方志文献和资料，组织整理旧志；进行史志理论研究、培训史志队伍；组织开展永城历史研究，编写历史文化丛书；开发利用地方志资源，搜集、整理地情资料信息，建设地情资料信息库，提供地情咨询服务。</w:t>
      </w:r>
    </w:p>
    <w:p>
      <w:pPr>
        <w:pStyle w:val="4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二)人员构成情况</w:t>
      </w:r>
    </w:p>
    <w:p>
      <w:pPr>
        <w:pStyle w:val="4"/>
        <w:spacing w:line="345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内设机构为：综合科、年鉴科、志书编审科。现有在职人员6人，离退休人员4名。</w:t>
      </w:r>
    </w:p>
    <w:p>
      <w:pPr>
        <w:pStyle w:val="4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(三)预算年度的主要工作任务</w:t>
      </w:r>
    </w:p>
    <w:p>
      <w:pPr>
        <w:pStyle w:val="4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出版《永城年鉴》　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永城市地方史志办公室部门预算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永城市地方史志办公室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本级预算，本单位无二级机构。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地方史志办公室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</w:t>
      </w:r>
      <w:r>
        <w:rPr>
          <w:rFonts w:hint="eastAsia" w:ascii="Arial" w:hAnsi="Arial" w:eastAsia="方正小标宋简体" w:cs="Arial"/>
          <w:sz w:val="36"/>
          <w:szCs w:val="36"/>
        </w:rPr>
        <w:t>141.37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万元，其中，一般公共预算</w:t>
      </w:r>
      <w:r>
        <w:rPr>
          <w:rFonts w:hint="eastAsia" w:ascii="Arial" w:hAnsi="Arial" w:eastAsia="方正小标宋简体" w:cs="Arial"/>
          <w:sz w:val="36"/>
          <w:szCs w:val="36"/>
        </w:rPr>
        <w:t>141.37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2018年支出合计</w:t>
      </w:r>
      <w:r>
        <w:rPr>
          <w:rFonts w:hint="eastAsia" w:ascii="Arial" w:hAnsi="Arial" w:eastAsia="方正小标宋简体" w:cs="Arial"/>
          <w:sz w:val="36"/>
          <w:szCs w:val="36"/>
        </w:rPr>
        <w:t>141.37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万元，其中：基本支出</w:t>
      </w:r>
      <w:r>
        <w:rPr>
          <w:rFonts w:ascii="Arial" w:hAnsi="Arial" w:eastAsia="方正小标宋简体" w:cs="Arial"/>
          <w:sz w:val="36"/>
          <w:szCs w:val="36"/>
        </w:rPr>
        <w:t>××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88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17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12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</w:t>
      </w:r>
      <w:r>
        <w:rPr>
          <w:rFonts w:hint="eastAsia" w:ascii="Arial" w:hAnsi="Arial" w:eastAsia="方正小标宋简体" w:cs="Arial"/>
          <w:sz w:val="36"/>
          <w:szCs w:val="36"/>
        </w:rPr>
        <w:t>141.37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</w:t>
      </w:r>
      <w:r>
        <w:rPr>
          <w:rFonts w:hint="eastAsia" w:ascii="Arial" w:hAnsi="Arial" w:eastAsia="方正小标宋简体" w:cs="Arial"/>
          <w:sz w:val="36"/>
          <w:szCs w:val="36"/>
        </w:rPr>
        <w:t>141.37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6"/>
          <w:szCs w:val="36"/>
        </w:rPr>
        <w:t>42.86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30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%。主要变化原因：人员工资调整增长。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</w:t>
      </w:r>
      <w:r>
        <w:rPr>
          <w:rFonts w:hint="eastAsia" w:ascii="Arial" w:hAnsi="Arial" w:eastAsia="方正小标宋简体" w:cs="Arial"/>
          <w:sz w:val="36"/>
          <w:szCs w:val="36"/>
        </w:rPr>
        <w:t>141.37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万元，其中财政拨款支出</w:t>
      </w:r>
      <w:r>
        <w:rPr>
          <w:rFonts w:hint="eastAsia" w:ascii="Arial" w:hAnsi="Arial" w:eastAsia="方正小标宋简体" w:cs="Arial"/>
          <w:sz w:val="36"/>
          <w:szCs w:val="36"/>
        </w:rPr>
        <w:t>141.37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6"/>
          <w:szCs w:val="36"/>
        </w:rPr>
        <w:t>42.86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30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%。支出按用途划分为：工资福利支出</w:t>
      </w:r>
      <w:r>
        <w:rPr>
          <w:rFonts w:hint="eastAsia" w:ascii="Arial" w:hAnsi="Arial" w:eastAsia="方正小标宋简体" w:cs="Arial"/>
          <w:sz w:val="36"/>
          <w:szCs w:val="36"/>
        </w:rPr>
        <w:t>105.38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75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%；对个人和家庭的补助</w:t>
      </w:r>
      <w:r>
        <w:rPr>
          <w:rFonts w:hint="eastAsia" w:ascii="Arial" w:hAnsi="Arial" w:eastAsia="方正小标宋简体" w:cs="Arial"/>
          <w:sz w:val="36"/>
          <w:szCs w:val="36"/>
        </w:rPr>
        <w:t>0.06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万元；商品服务支出</w:t>
      </w:r>
      <w:r>
        <w:rPr>
          <w:rFonts w:hint="eastAsia" w:ascii="Arial" w:hAnsi="Arial" w:eastAsia="方正小标宋简体" w:cs="Arial"/>
          <w:sz w:val="36"/>
          <w:szCs w:val="36"/>
        </w:rPr>
        <w:t>18.93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13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%，；项目支出</w:t>
      </w:r>
      <w:r>
        <w:rPr>
          <w:rFonts w:hint="eastAsia" w:ascii="Arial" w:hAnsi="Arial" w:eastAsia="方正小标宋简体" w:cs="Arial"/>
          <w:sz w:val="36"/>
          <w:szCs w:val="36"/>
        </w:rPr>
        <w:t>17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12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主要变化原因：人员工资调整增长。</w:t>
      </w:r>
    </w:p>
    <w:p>
      <w:pPr>
        <w:pStyle w:val="4"/>
        <w:numPr>
          <w:numId w:val="0"/>
        </w:numPr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政府性基金预算收支预算情况说明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  本单位2018年无政府性基金收支预算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万元，与去年相同。其中：因公出国(境)费用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万元，与去年相同；公务接待费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万元，与去年相同；公务用车运行维护费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万元，与去年相同；公务用车购置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万元，与去年相同。</w:t>
      </w:r>
      <w:r>
        <w:rPr>
          <w:rFonts w:hint="eastAsia" w:ascii="仿宋_GB2312" w:eastAsia="仿宋_GB2312"/>
          <w:b/>
          <w:sz w:val="32"/>
          <w:szCs w:val="32"/>
        </w:rPr>
        <w:t>主要变化原因：无变化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商品服务支出：办公费2.1万元，印刷费10万元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(二)政府采购支出情况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（三）重点项目预算绩效目标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3"/>
        </w:num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</w:rPr>
        <w:t>、专业性较强的名词解释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pPr>
        <w:ind w:left="0" w:firstLine="0"/>
      </w:p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7032C"/>
    <w:rsid w:val="0008416D"/>
    <w:rsid w:val="00537650"/>
    <w:rsid w:val="006549ED"/>
    <w:rsid w:val="006F355A"/>
    <w:rsid w:val="007422F4"/>
    <w:rsid w:val="00755988"/>
    <w:rsid w:val="0083385F"/>
    <w:rsid w:val="00845265"/>
    <w:rsid w:val="009E4E76"/>
    <w:rsid w:val="00B60910"/>
    <w:rsid w:val="00B76482"/>
    <w:rsid w:val="00BC7A38"/>
    <w:rsid w:val="00C1789F"/>
    <w:rsid w:val="00C96031"/>
    <w:rsid w:val="00CC2C0F"/>
    <w:rsid w:val="00E93D98"/>
    <w:rsid w:val="00EF21D6"/>
    <w:rsid w:val="1D32038C"/>
    <w:rsid w:val="485962C4"/>
    <w:rsid w:val="51FC2C63"/>
    <w:rsid w:val="53890FF4"/>
    <w:rsid w:val="5411011C"/>
    <w:rsid w:val="71F57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343</Words>
  <Characters>1957</Characters>
  <Lines>16</Lines>
  <Paragraphs>4</Paragraphs>
  <TotalTime>6</TotalTime>
  <ScaleCrop>false</ScaleCrop>
  <LinksUpToDate>false</LinksUpToDate>
  <CharactersWithSpaces>2296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2019-03-04T07:11:30Z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