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Arial" w:hAnsi="Arial" w:eastAsia="方正小标宋简体" w:cs="Arial"/>
          <w:sz w:val="36"/>
          <w:szCs w:val="36"/>
        </w:rPr>
      </w:pPr>
      <w:r>
        <w:rPr>
          <w:rFonts w:hint="eastAsia" w:asciiTheme="minorEastAsia" w:hAnsiTheme="minorEastAsia"/>
          <w:b/>
          <w:sz w:val="52"/>
          <w:szCs w:val="52"/>
        </w:rPr>
        <w:t>永城市</w:t>
      </w:r>
      <w:r>
        <w:rPr>
          <w:rFonts w:hint="eastAsia" w:cs="Arial" w:asciiTheme="minorEastAsia" w:hAnsiTheme="minorEastAsia" w:eastAsiaTheme="minorEastAsia"/>
          <w:b/>
          <w:sz w:val="52"/>
          <w:szCs w:val="52"/>
        </w:rPr>
        <w:t>科学技术协会</w:t>
      </w:r>
    </w:p>
    <w:p>
      <w:pPr>
        <w:jc w:val="center"/>
        <w:rPr>
          <w:rStyle w:val="6"/>
          <w:rFonts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spacing w:line="720" w:lineRule="auto"/>
        <w:ind w:firstLine="3585" w:firstLineChars="744"/>
        <w:rPr>
          <w:rFonts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科学技术协会</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科学技术协会</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numPr>
          <w:numId w:val="0"/>
        </w:numPr>
        <w:spacing w:line="720" w:lineRule="auto"/>
        <w:ind w:left="240" w:leftChars="0"/>
        <w:rPr>
          <w:rFonts w:hint="eastAsia" w:ascii="黑体" w:hAnsi="黑体" w:eastAsia="黑体" w:cs="黑体"/>
          <w:b/>
          <w:bCs/>
          <w:sz w:val="32"/>
          <w:szCs w:val="32"/>
        </w:rPr>
      </w:pPr>
      <w:r>
        <w:rPr>
          <w:rFonts w:hint="eastAsia" w:ascii="黑体" w:hAnsi="黑体" w:eastAsia="黑体" w:cs="黑体"/>
          <w:b/>
          <w:bCs/>
          <w:sz w:val="32"/>
          <w:szCs w:val="32"/>
          <w:lang w:eastAsia="zh-CN"/>
        </w:rPr>
        <w:t>第三部分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名词解释</w:t>
      </w:r>
    </w:p>
    <w:p>
      <w:pPr>
        <w:widowControl w:val="0"/>
        <w:numPr>
          <w:numId w:val="0"/>
        </w:numPr>
        <w:spacing w:line="720" w:lineRule="auto"/>
        <w:jc w:val="both"/>
        <w:rPr>
          <w:rFonts w:hint="eastAsia" w:ascii="黑体" w:hAnsi="黑体" w:eastAsia="黑体" w:cs="黑体"/>
          <w:b/>
          <w:bCs/>
          <w:sz w:val="32"/>
          <w:szCs w:val="32"/>
        </w:rPr>
      </w:pPr>
    </w:p>
    <w:p>
      <w:pPr>
        <w:widowControl w:val="0"/>
        <w:numPr>
          <w:numId w:val="0"/>
        </w:numPr>
        <w:spacing w:line="720" w:lineRule="auto"/>
        <w:jc w:val="both"/>
        <w:rPr>
          <w:rFonts w:hint="eastAsia" w:ascii="黑体" w:hAnsi="黑体" w:eastAsia="黑体" w:cs="黑体"/>
          <w:b/>
          <w:bCs/>
          <w:sz w:val="32"/>
          <w:szCs w:val="32"/>
        </w:rPr>
      </w:pPr>
    </w:p>
    <w:p>
      <w:pPr>
        <w:widowControl w:val="0"/>
        <w:numPr>
          <w:numId w:val="0"/>
        </w:numPr>
        <w:spacing w:line="720" w:lineRule="auto"/>
        <w:jc w:val="both"/>
        <w:rPr>
          <w:rFonts w:hint="eastAsia" w:ascii="黑体" w:hAnsi="黑体" w:eastAsia="黑体" w:cs="黑体"/>
          <w:b/>
          <w:bCs/>
          <w:sz w:val="32"/>
          <w:szCs w:val="32"/>
        </w:rPr>
      </w:pPr>
    </w:p>
    <w:p>
      <w:pPr>
        <w:widowControl w:val="0"/>
        <w:numPr>
          <w:numId w:val="0"/>
        </w:numPr>
        <w:spacing w:line="720" w:lineRule="auto"/>
        <w:jc w:val="both"/>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科学技术协会</w:t>
      </w:r>
      <w:r>
        <w:rPr>
          <w:rFonts w:hint="eastAsia" w:ascii="黑体" w:hAnsi="黑体" w:eastAsia="黑体" w:cs="黑体"/>
          <w:b/>
          <w:bCs/>
          <w:sz w:val="32"/>
          <w:szCs w:val="32"/>
        </w:rPr>
        <w:t>2018年度部门预算表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r>
        <w:rPr>
          <w:rFonts w:hint="eastAsia" w:ascii="Arial" w:hAnsi="Arial" w:eastAsia="方正小标宋简体" w:cs="Arial"/>
          <w:sz w:val="36"/>
          <w:szCs w:val="36"/>
        </w:rPr>
        <w:t>永城市科学技术协会单位</w:t>
      </w:r>
    </w:p>
    <w:p>
      <w:pPr>
        <w:jc w:val="center"/>
        <w:rPr>
          <w:rFonts w:ascii="方正小标宋简体" w:eastAsia="方正小标宋简体"/>
          <w:sz w:val="36"/>
          <w:szCs w:val="36"/>
        </w:rPr>
      </w:pPr>
      <w:r>
        <w:rPr>
          <w:rFonts w:hint="eastAsia" w:ascii="方正小标宋简体" w:eastAsia="方正小标宋简体"/>
          <w:sz w:val="36"/>
          <w:szCs w:val="36"/>
        </w:rPr>
        <w:t>2018年预算基本情况说明</w:t>
      </w:r>
    </w:p>
    <w:p>
      <w:pPr>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科学技术协会</w:t>
      </w:r>
      <w:r>
        <w:rPr>
          <w:rFonts w:hint="eastAsia" w:ascii="黑体" w:hAnsi="黑体" w:eastAsia="黑体" w:cs="黑体"/>
          <w:b/>
          <w:bCs/>
          <w:sz w:val="32"/>
          <w:szCs w:val="32"/>
        </w:rPr>
        <w:t>单位概况</w:t>
      </w:r>
    </w:p>
    <w:p>
      <w:pPr>
        <w:spacing w:line="600" w:lineRule="exact"/>
        <w:ind w:firstLine="640" w:firstLineChars="200"/>
        <w:rPr>
          <w:rFonts w:ascii="楷体_GB2312" w:eastAsia="楷体_GB2312"/>
          <w:sz w:val="32"/>
        </w:rPr>
      </w:pPr>
      <w:r>
        <w:rPr>
          <w:rFonts w:hint="eastAsia" w:ascii="仿宋_GB2312" w:hAnsi="ˎ̥" w:eastAsia="仿宋_GB2312" w:cs="Arial"/>
          <w:color w:val="000000"/>
          <w:sz w:val="32"/>
          <w:szCs w:val="32"/>
        </w:rPr>
        <w:t>　　(一)部门主要职责</w:t>
      </w:r>
      <w:r>
        <w:rPr>
          <w:rFonts w:hint="eastAsia" w:ascii="仿宋_GB2312" w:eastAsia="仿宋_GB2312"/>
          <w:sz w:val="32"/>
        </w:rPr>
        <w:t xml:space="preserve">主要是：科协是党领导下的科技工作者的群众团体，是党和政府联系科技工作者的桥梁和纽带，是党和政府发展科技工作者的参谋和助手，是国家发展科学技术事业的重要力量。科学普及的主力军作用，学术交流主渠道作用，国际民间技术合作的代表作用和科技工作者之家作用。 </w:t>
      </w:r>
    </w:p>
    <w:p>
      <w:pPr>
        <w:spacing w:line="600" w:lineRule="exact"/>
        <w:ind w:firstLine="640" w:firstLineChars="200"/>
        <w:rPr>
          <w:rFonts w:ascii="楷体_GB2312" w:eastAsia="楷体_GB2312"/>
          <w:b/>
          <w:sz w:val="32"/>
        </w:rPr>
      </w:pPr>
      <w:r>
        <w:rPr>
          <w:rFonts w:hint="eastAsia" w:ascii="仿宋_GB2312" w:hAnsi="ˎ̥" w:eastAsia="仿宋_GB2312" w:cs="Arial"/>
          <w:color w:val="000000"/>
          <w:sz w:val="32"/>
          <w:szCs w:val="32"/>
        </w:rPr>
        <w:t xml:space="preserve">（二）机构设置情况（包含二级机构的请写明二级机构的基本情况）  </w:t>
      </w:r>
      <w:r>
        <w:rPr>
          <w:rFonts w:hint="eastAsia" w:ascii="仿宋_GB2312" w:eastAsia="仿宋_GB2312"/>
          <w:sz w:val="32"/>
        </w:rPr>
        <w:t>永城市科学技术协会内设1室2部，办公室、普及部、学会学术部，科技馆。</w:t>
      </w:r>
    </w:p>
    <w:p>
      <w:pPr>
        <w:spacing w:line="600" w:lineRule="exact"/>
        <w:ind w:firstLine="643" w:firstLineChars="200"/>
        <w:rPr>
          <w:rFonts w:ascii="仿宋_GB2312" w:hAnsi="ˎ̥" w:eastAsia="仿宋_GB2312" w:cs="Arial"/>
          <w:color w:val="000000"/>
          <w:sz w:val="32"/>
          <w:szCs w:val="32"/>
        </w:rPr>
      </w:pPr>
      <w:r>
        <w:rPr>
          <w:rFonts w:hint="eastAsia" w:ascii="楷体_GB2312" w:eastAsia="楷体_GB2312"/>
          <w:b/>
          <w:sz w:val="32"/>
        </w:rPr>
        <w:t>（三）预算年度的主要工作任务</w:t>
      </w:r>
    </w:p>
    <w:p>
      <w:pPr>
        <w:spacing w:line="600" w:lineRule="exact"/>
        <w:rPr>
          <w:rFonts w:ascii="仿宋_GB2312" w:eastAsia="仿宋_GB2312"/>
          <w:sz w:val="32"/>
        </w:rPr>
      </w:pPr>
      <w:r>
        <w:rPr>
          <w:rFonts w:hint="eastAsia" w:ascii="仿宋_GB2312" w:eastAsia="仿宋_GB2312"/>
          <w:sz w:val="32"/>
        </w:rPr>
        <w:t>1．开展学术交流，活跃学术思想，促进科学发展，推动自主创新。</w:t>
      </w:r>
    </w:p>
    <w:p>
      <w:pPr>
        <w:spacing w:line="600" w:lineRule="exact"/>
        <w:ind w:firstLine="640" w:firstLineChars="200"/>
        <w:rPr>
          <w:rFonts w:ascii="仿宋_GB2312" w:eastAsia="仿宋_GB2312"/>
          <w:sz w:val="32"/>
        </w:rPr>
      </w:pPr>
      <w:r>
        <w:rPr>
          <w:rFonts w:hint="eastAsia" w:ascii="仿宋_GB2312" w:eastAsia="仿宋_GB2312"/>
          <w:sz w:val="32"/>
        </w:rPr>
        <w:t xml:space="preserve">2．组织科技工作者为建立以企业为主体的技术创新体系，全面提升企业的自主创新能力做贡献。 </w:t>
      </w:r>
    </w:p>
    <w:p>
      <w:pPr>
        <w:spacing w:line="600" w:lineRule="exact"/>
        <w:ind w:firstLine="640" w:firstLineChars="200"/>
        <w:rPr>
          <w:rFonts w:ascii="仿宋_GB2312" w:eastAsia="仿宋_GB2312"/>
          <w:sz w:val="32"/>
        </w:rPr>
      </w:pPr>
      <w:r>
        <w:rPr>
          <w:rFonts w:hint="eastAsia" w:ascii="仿宋_GB2312" w:eastAsia="仿宋_GB2312"/>
          <w:sz w:val="32"/>
        </w:rPr>
        <w:t xml:space="preserve">3．依照《中华人民共和国科学技术普及法》弘扬科学精神，普及科学知识，传播科学思想和科学方法，捍卫科学尊严推广先进技术，开展青少年科学技术教育，提高全民科学素质。 </w:t>
      </w:r>
    </w:p>
    <w:p>
      <w:pPr>
        <w:spacing w:line="600" w:lineRule="exact"/>
        <w:ind w:firstLine="640" w:firstLineChars="200"/>
        <w:rPr>
          <w:rFonts w:ascii="仿宋_GB2312" w:eastAsia="仿宋_GB2312"/>
          <w:sz w:val="32"/>
        </w:rPr>
      </w:pPr>
      <w:r>
        <w:rPr>
          <w:rFonts w:hint="eastAsia" w:ascii="仿宋_GB2312" w:eastAsia="仿宋_GB2312"/>
          <w:sz w:val="32"/>
        </w:rPr>
        <w:t xml:space="preserve">4．反映科技工作者的建议、意见和诉求，维护科技工作者的合法权益。 </w:t>
      </w:r>
    </w:p>
    <w:p>
      <w:pPr>
        <w:spacing w:line="600" w:lineRule="exact"/>
        <w:ind w:firstLine="640" w:firstLineChars="200"/>
        <w:rPr>
          <w:rFonts w:ascii="仿宋_GB2312" w:eastAsia="仿宋_GB2312"/>
          <w:sz w:val="32"/>
        </w:rPr>
      </w:pPr>
      <w:r>
        <w:rPr>
          <w:rFonts w:hint="eastAsia" w:ascii="仿宋_GB2312" w:eastAsia="仿宋_GB2312"/>
          <w:sz w:val="32"/>
        </w:rPr>
        <w:t xml:space="preserve">5．组织科技工作者参与全市科学技术制度的制定和政府事务的政治协商，科学决策，民主监督工作。 </w:t>
      </w:r>
    </w:p>
    <w:p>
      <w:pPr>
        <w:spacing w:line="600" w:lineRule="exact"/>
        <w:ind w:firstLine="640" w:firstLineChars="200"/>
        <w:rPr>
          <w:rFonts w:ascii="仿宋_GB2312" w:eastAsia="仿宋_GB2312"/>
          <w:sz w:val="32"/>
        </w:rPr>
      </w:pPr>
      <w:r>
        <w:rPr>
          <w:rFonts w:hint="eastAsia" w:ascii="仿宋_GB2312" w:eastAsia="仿宋_GB2312"/>
          <w:sz w:val="32"/>
        </w:rPr>
        <w:t xml:space="preserve">6．表彰奖励全市优秀科技工作者，并向上级举荐人才。 </w:t>
      </w:r>
    </w:p>
    <w:p>
      <w:pPr>
        <w:spacing w:line="600" w:lineRule="exact"/>
        <w:ind w:firstLine="640" w:firstLineChars="200"/>
        <w:rPr>
          <w:rFonts w:ascii="仿宋_GB2312" w:eastAsia="仿宋_GB2312"/>
          <w:sz w:val="32"/>
        </w:rPr>
      </w:pPr>
      <w:r>
        <w:rPr>
          <w:rFonts w:hint="eastAsia" w:ascii="仿宋_GB2312" w:eastAsia="仿宋_GB2312"/>
          <w:sz w:val="32"/>
        </w:rPr>
        <w:t xml:space="preserve">7．组织开展农技协和咨询服务工作。 </w:t>
      </w:r>
    </w:p>
    <w:p>
      <w:pPr>
        <w:spacing w:line="600" w:lineRule="exact"/>
        <w:ind w:firstLine="640" w:firstLineChars="200"/>
        <w:rPr>
          <w:rFonts w:ascii="仿宋_GB2312" w:eastAsia="仿宋_GB2312"/>
          <w:sz w:val="32"/>
        </w:rPr>
      </w:pPr>
      <w:r>
        <w:rPr>
          <w:rFonts w:hint="eastAsia" w:ascii="仿宋_GB2312" w:eastAsia="仿宋_GB2312"/>
          <w:sz w:val="32"/>
        </w:rPr>
        <w:t xml:space="preserve">8．开展民间科学技术交流活动，促进技术合作，发展同永城市外科学技术团体和科技工作者的交流和往来。 </w:t>
      </w:r>
    </w:p>
    <w:p>
      <w:pPr>
        <w:spacing w:line="600" w:lineRule="exact"/>
        <w:ind w:firstLine="640" w:firstLineChars="200"/>
        <w:rPr>
          <w:rFonts w:ascii="仿宋_GB2312" w:eastAsia="仿宋_GB2312"/>
          <w:sz w:val="32"/>
        </w:rPr>
      </w:pPr>
      <w:r>
        <w:rPr>
          <w:rFonts w:hint="eastAsia" w:ascii="仿宋_GB2312" w:eastAsia="仿宋_GB2312"/>
          <w:sz w:val="32"/>
        </w:rPr>
        <w:t xml:space="preserve">9．开展四类重点人群的继续教育和培训工作。 </w:t>
      </w:r>
    </w:p>
    <w:p>
      <w:pPr>
        <w:spacing w:line="600" w:lineRule="exact"/>
        <w:ind w:firstLine="640" w:firstLineChars="200"/>
        <w:rPr>
          <w:rFonts w:hint="eastAsia" w:ascii="仿宋_GB2312" w:eastAsia="仿宋_GB2312"/>
          <w:sz w:val="32"/>
        </w:rPr>
      </w:pPr>
      <w:r>
        <w:rPr>
          <w:rFonts w:hint="eastAsia" w:ascii="仿宋_GB2312" w:eastAsia="仿宋_GB2312"/>
          <w:sz w:val="32"/>
        </w:rPr>
        <w:t>10．兴办符合中国科学技术协会宗旨的社会公益性事业。</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科学技术协会</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258.4</w:t>
      </w:r>
      <w:r>
        <w:rPr>
          <w:rFonts w:hint="eastAsia" w:ascii="仿宋_GB2312" w:hAnsi="ˎ̥" w:eastAsia="仿宋_GB2312" w:cs="Arial"/>
          <w:color w:val="000000"/>
          <w:sz w:val="32"/>
          <w:szCs w:val="32"/>
        </w:rPr>
        <w:t>万元，其中，一般公共预算258.4万元。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2018年支出合计258.4万元，其中：基本支出188.4万元，占73%；项目支出70万元，占27%。</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258.4万元，其中财政拨款258.4万元，比上年增加36.68万元，增长16.5%；纳入预算管理的行政事业性收费收入0万元，比上年增加0万元，增长0%。主要变化原因：1.在职人员执行新工资标准，2.增加车补，3。离退休人员工资不在本单位发放。</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2018年支出预算258.4万元，其中财政拨款支出258.4万元，比上年增加36.68万元，增长16.5%。支出按用途划分为：工资福利支出171.06万元，占总支出的66.2%，比上年增加68.39万元，增长</w:t>
      </w:r>
      <w:r>
        <w:rPr>
          <w:rFonts w:hint="eastAsia" w:ascii="Arial" w:hAnsi="Arial" w:eastAsia="方正小标宋简体" w:cs="Arial"/>
          <w:sz w:val="36"/>
          <w:szCs w:val="36"/>
        </w:rPr>
        <w:t>66.6</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rPr>
        <w:t>0.68</w:t>
      </w:r>
      <w:r>
        <w:rPr>
          <w:rFonts w:hint="eastAsia" w:ascii="仿宋_GB2312" w:hAnsi="ˎ̥" w:eastAsia="仿宋_GB2312" w:cs="Arial"/>
          <w:color w:val="000000"/>
          <w:sz w:val="32"/>
          <w:szCs w:val="32"/>
        </w:rPr>
        <w:t>万元，占总支出的0.26%，比上年减少51.74万元，减少97.8%；商品服务支出16.66万元，占总支出的6.45%，比上年增加10.03万元，增长151.1%；项目支出70万元，占总支出的27%，比上年增加10万元，增长16.66%</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主要变化原因：1.在职人员执行新工资标准，2.增加车补，3。离退休人员工资不在本单位发放。</w:t>
      </w:r>
    </w:p>
    <w:p>
      <w:pPr>
        <w:pStyle w:val="4"/>
        <w:numPr>
          <w:numId w:val="0"/>
        </w:numPr>
        <w:ind w:firstLine="320" w:firstLineChars="1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rPr>
          <w:rFonts w:ascii="黑体" w:hAnsi="黑体" w:eastAsia="黑体" w:cs="Arial"/>
          <w:color w:val="000000"/>
          <w:sz w:val="32"/>
          <w:szCs w:val="32"/>
        </w:rPr>
      </w:pPr>
      <w:r>
        <w:rPr>
          <w:rFonts w:hint="eastAsia" w:ascii="仿宋_GB2312" w:hAnsi="仿宋_GB2312" w:eastAsia="仿宋_GB2312" w:cs="仿宋_GB2312"/>
          <w:color w:val="000000"/>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rPr>
        <w:t>2.45</w:t>
      </w:r>
      <w:r>
        <w:rPr>
          <w:rFonts w:hint="eastAsia" w:ascii="仿宋_GB2312" w:eastAsia="仿宋_GB2312"/>
          <w:sz w:val="32"/>
          <w:szCs w:val="32"/>
        </w:rPr>
        <w:t>万元，较上年下降2%。其中：因公出国(境)费用0万元，较上年下降(或增长)0%；公务接待费0.23万元，较上年持平；公务用车运行维护费2.22万元，较上年下降2.2%；公务用车购置0万元，较上年下降(或增长)0%。</w:t>
      </w:r>
      <w:r>
        <w:rPr>
          <w:rFonts w:hint="eastAsia" w:ascii="仿宋_GB2312" w:eastAsia="仿宋_GB2312"/>
          <w:b/>
          <w:sz w:val="32"/>
          <w:szCs w:val="32"/>
        </w:rPr>
        <w:t>主要变化原因：</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(一)机关运行经费支出情况。公用经费支出3.6万元，公务交通补贴8.58万元，单位业务费2万元，工会经费0.7万元，职工福利费1.74万元，退休公用经费0.04万元。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ind w:firstLine="640" w:firstLineChars="200"/>
        <w:rPr>
          <w:rFonts w:ascii="仿宋_GB2312" w:eastAsia="仿宋_GB2312"/>
          <w:sz w:val="32"/>
          <w:szCs w:val="32"/>
        </w:rPr>
      </w:pPr>
      <w:r>
        <w:rPr>
          <w:rFonts w:hint="eastAsia" w:ascii="仿宋_GB2312" w:eastAsia="仿宋_GB2312"/>
          <w:sz w:val="32"/>
          <w:szCs w:val="32"/>
        </w:rPr>
        <w:t>无</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0" w:firstLineChars="200"/>
        <w:rPr>
          <w:rFonts w:ascii="仿宋_GB2312" w:eastAsia="仿宋_GB2312"/>
          <w:sz w:val="32"/>
          <w:szCs w:val="32"/>
        </w:rPr>
      </w:pPr>
    </w:p>
    <w:p>
      <w:pPr>
        <w:ind w:firstLine="643" w:firstLineChars="200"/>
        <w:rPr>
          <w:rFonts w:ascii="黑体" w:hAnsi="黑体" w:eastAsia="黑体"/>
          <w:b/>
          <w:bCs/>
          <w:sz w:val="32"/>
          <w:szCs w:val="32"/>
        </w:rPr>
      </w:pPr>
      <w:bookmarkStart w:id="0" w:name="_GoBack"/>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bookmarkEnd w:id="0"/>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1A1"/>
    <w:rsid w:val="00643D10"/>
    <w:rsid w:val="008371A1"/>
    <w:rsid w:val="008C0BC5"/>
    <w:rsid w:val="00DC747C"/>
    <w:rsid w:val="00DF467B"/>
    <w:rsid w:val="00E74798"/>
    <w:rsid w:val="53901B42"/>
    <w:rsid w:val="63B4540F"/>
    <w:rsid w:val="761C2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link w:val="3"/>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406</Words>
  <Characters>2319</Characters>
  <Lines>19</Lines>
  <Paragraphs>5</Paragraphs>
  <TotalTime>0</TotalTime>
  <ScaleCrop>false</ScaleCrop>
  <LinksUpToDate>false</LinksUpToDate>
  <CharactersWithSpaces>2720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2019-03-04T01:47:45Z</dcterms:modified>
  <dc:title>永城市科学技术协会单位2018年预算基本情况说明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