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cs="Arial"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永城市</w:t>
      </w:r>
      <w:r>
        <w:rPr>
          <w:rFonts w:hint="eastAsia" w:cs="Arial" w:asciiTheme="minorEastAsia" w:hAnsiTheme="minorEastAsia" w:eastAsiaTheme="minorEastAsia"/>
          <w:b/>
          <w:sz w:val="52"/>
          <w:szCs w:val="52"/>
        </w:rPr>
        <w:t>工商业联合会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left="24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工商业联合会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工商业联合会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名词解释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 w:cs="Arial"/>
          <w:b/>
          <w:sz w:val="32"/>
          <w:szCs w:val="32"/>
        </w:rPr>
        <w:t>工商业联合会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</w:rPr>
        <w:t>永城市工商业联合会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2018年预算基本情况说明</w:t>
      </w:r>
    </w:p>
    <w:p>
      <w:pPr>
        <w:numPr>
          <w:numId w:val="0"/>
        </w:numPr>
        <w:spacing w:line="720" w:lineRule="auto"/>
        <w:ind w:left="240" w:leftChars="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工商业联合会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(一)部门主要职责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团结、服务、引导、教育非公有制经济人士爱国、敬业、诚信、守法、贡献，培养拥护党的领导、走中国特色社会主义道路的非公有制经济人士队伍;做好非公有制经济代表人士政治安排的推荐工作。参与政治协商，发挥民主监督作用，积极参政议政;参与政府相关的经济活动，广泛联系各地工商界人士，开展民间外交，推动经贸交流和协作，促进经济社会发展;参与协调劳动关系，促进和谐社会建设;指导本会直属商会工作，积极参与社会组织建设工作，促进行业协会商会改革发展;反映非公有制企业和非公有制经济人士利益诉求，维护其合法权益; 为会员提供政策信息、人才交流培训等服务。组织会员企业参加各类经贸活动，外出参观考察，帮助会员企业拓展市场;配合有关部门开展非公有制会员企业党建工作;积极引导非公有制企业及其非公有制经济人士承担社会责任，大力支持慈善公益事业发展，积极投身光彩事业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（二）机构设置情况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内设办公室，经联科，为全额财政预算单位。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(三)预算年度的主要工作任务</w:t>
      </w:r>
    </w:p>
    <w:p>
      <w:pPr>
        <w:pStyle w:val="4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确保做好非公有制经济代表人士政治安排的推荐工作。参与政治协商，发挥民主监督作用，积极参政议政;参与政府相关的经济活动，广泛联系各地工商界人士，开展民间外交，推动经贸交流和协作，促进经济社会发展;参与协调劳动关系，促进和谐社会建设;指导本会直属商会工作，积极参与社会组织建设工作，促进行业协会商会改革发展;反映非公有制企业和非公有制经济人士利益诉求，维护其合法权益; 为会员提供政策信息、人才交流培训等服务。组织会员企业参加各类经贸活动，外出参观考察，帮助会员企业拓展市场;配合有关部门开展非公有制会员企业党建工作;积极引导非公有制企业及其非公有制经济人士承担社会责任，大力支持慈善公益事业发展，积极投身光彩事业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（四）部门预算单位构成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永城市工商业联合会部门预算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永城市工商业联合会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本级预算，本单位无二级机构。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工商业联合会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2018年收入合计</w:t>
      </w:r>
      <w:r>
        <w:rPr>
          <w:rFonts w:hint="eastAsia" w:ascii="仿宋" w:hAnsi="仿宋" w:eastAsia="仿宋" w:cs="Arial"/>
          <w:sz w:val="32"/>
          <w:szCs w:val="32"/>
        </w:rPr>
        <w:t>79.21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万元，其中，一般公共预算</w:t>
      </w:r>
      <w:r>
        <w:rPr>
          <w:rFonts w:hint="eastAsia" w:ascii="仿宋" w:hAnsi="仿宋" w:eastAsia="仿宋" w:cs="Arial"/>
          <w:sz w:val="32"/>
          <w:szCs w:val="32"/>
        </w:rPr>
        <w:t>79.21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万元，部门财政性资金结转</w:t>
      </w:r>
      <w:r>
        <w:rPr>
          <w:rFonts w:hint="eastAsia" w:ascii="仿宋" w:hAnsi="仿宋" w:eastAsia="仿宋" w:cs="Arial"/>
          <w:sz w:val="32"/>
          <w:szCs w:val="32"/>
        </w:rPr>
        <w:t>0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2018年支出合计79.21万元，其中：基本支出67.21万元，占85%；项目支出12万元，占15%。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2018年收入预算79.21万元，其中财政拨款79.21万元，比上年增加4.33万元，增长6%；主要变化原因：人员增资。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2018年支出预算79.21万元，其中财政拨款支出79.21万元，比上年增加4.33万元，增长6%。支出按用途划分为：工资福利支出60.09万元，占总支出的75%，比上年增加10.7万元，增长22%；对个人和家庭的补助0.62万元，占总支出的0.1%，比上年增加0万元，增长0%；商品服务支出6.5万元，占总支出的8%，比上年增加2.56万元，增长65%；项目支出12万元，占总支出的15%，比上年增加3万元，增长33%</w:t>
      </w:r>
      <w:r>
        <w:rPr>
          <w:rFonts w:ascii="仿宋" w:hAnsi="仿宋" w:eastAsia="仿宋" w:cs="Arial"/>
          <w:color w:val="000000"/>
          <w:sz w:val="32"/>
          <w:szCs w:val="32"/>
        </w:rPr>
        <w:t>。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主要变化原因：根据省工商联文件精神，开展“四好”商会建设和公务用车补贴。</w:t>
      </w:r>
    </w:p>
    <w:p>
      <w:pPr>
        <w:pStyle w:val="4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本单位2018年度无政府性基金预算支出。</w:t>
      </w:r>
    </w:p>
    <w:p>
      <w:pPr>
        <w:spacing w:line="560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“三公”经费支出预算0万元，较上年下降(或增长)0%。其中：因公出国(境)费用0万元，较上年下降(或增长)0%；公务接待费0万元，较上年下降(或增长)0%；公务用车运行维护费0万元，较上年下降(或增长)0%；公务用车购置0万元，较上年下降(或增长)0%。</w:t>
      </w:r>
      <w:r>
        <w:rPr>
          <w:rFonts w:hint="eastAsia" w:ascii="仿宋" w:hAnsi="仿宋" w:eastAsia="仿宋"/>
          <w:b/>
          <w:sz w:val="32"/>
          <w:szCs w:val="32"/>
        </w:rPr>
        <w:t>主要变化原因：无</w:t>
      </w:r>
    </w:p>
    <w:p>
      <w:pPr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(一)机关运行经费支出情况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共计6.5万元其中:办公费1.6万元，印刷费1.3万元，电费0.4万元，邮电费0.4万元，差旅费2.05万元，工会经费0.21万元，福利费0.54万元。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(二)政府采购支出情况</w:t>
      </w:r>
    </w:p>
    <w:p>
      <w:pPr>
        <w:pStyle w:val="4"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（三）重点项目预算绩效目标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3"/>
        </w:num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无。</w:t>
      </w:r>
    </w:p>
    <w:p>
      <w:pPr>
        <w:spacing w:line="720" w:lineRule="auto"/>
        <w:rPr>
          <w:rFonts w:hint="eastAsia" w:ascii="黑体" w:hAnsi="黑体" w:eastAsia="黑体" w:cs="Arial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Arial"/>
          <w:b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 w:cs="Arial"/>
          <w:b/>
          <w:sz w:val="32"/>
          <w:szCs w:val="32"/>
        </w:rPr>
        <w:t>、专业性较强的名词解释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、事业收入：是指事业单位开展专业活动及辅助活动所取得的收入。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pPr>
        <w:ind w:left="0" w:firstLine="0"/>
      </w:p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8416D"/>
    <w:rsid w:val="002970D1"/>
    <w:rsid w:val="00326953"/>
    <w:rsid w:val="00443785"/>
    <w:rsid w:val="00537650"/>
    <w:rsid w:val="00553545"/>
    <w:rsid w:val="005E13DF"/>
    <w:rsid w:val="006549ED"/>
    <w:rsid w:val="006F355A"/>
    <w:rsid w:val="006F4F80"/>
    <w:rsid w:val="00755988"/>
    <w:rsid w:val="0083385F"/>
    <w:rsid w:val="00845265"/>
    <w:rsid w:val="00923162"/>
    <w:rsid w:val="009D3A28"/>
    <w:rsid w:val="009E310D"/>
    <w:rsid w:val="00A316B2"/>
    <w:rsid w:val="00B45867"/>
    <w:rsid w:val="00B60910"/>
    <w:rsid w:val="00B76482"/>
    <w:rsid w:val="00BC7A38"/>
    <w:rsid w:val="00C1789F"/>
    <w:rsid w:val="00C96031"/>
    <w:rsid w:val="00CC2C0F"/>
    <w:rsid w:val="00D71E0E"/>
    <w:rsid w:val="00E35158"/>
    <w:rsid w:val="00F369BC"/>
    <w:rsid w:val="00FE5912"/>
    <w:rsid w:val="00FE5F17"/>
    <w:rsid w:val="07483284"/>
    <w:rsid w:val="0FD25802"/>
    <w:rsid w:val="38BB3581"/>
    <w:rsid w:val="4B321D7E"/>
    <w:rsid w:val="5BBB32ED"/>
    <w:rsid w:val="5FFC318F"/>
    <w:rsid w:val="61237EB2"/>
    <w:rsid w:val="71AE7C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431</Words>
  <Characters>2462</Characters>
  <Lines>20</Lines>
  <Paragraphs>5</Paragraphs>
  <TotalTime>1</TotalTime>
  <ScaleCrop>false</ScaleCrop>
  <LinksUpToDate>false</LinksUpToDate>
  <CharactersWithSpaces>2888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2019-03-04T07:21:43Z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