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cs="Arial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永城市</w:t>
      </w:r>
      <w:r>
        <w:rPr>
          <w:rFonts w:hint="eastAsia" w:cs="Arial" w:asciiTheme="minorEastAsia" w:hAnsiTheme="minorEastAsia" w:eastAsiaTheme="minorEastAsia"/>
          <w:b/>
          <w:sz w:val="52"/>
          <w:szCs w:val="52"/>
        </w:rPr>
        <w:t>农业机械管理局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firstLine="3585" w:firstLineChars="744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农业机械管理局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农业机械管理局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</w:t>
      </w:r>
      <w:bookmarkStart w:id="0" w:name="_GoBack"/>
      <w:bookmarkEnd w:id="0"/>
      <w:r>
        <w:rPr>
          <w:rFonts w:hint="eastAsia" w:ascii="黑体" w:hAnsi="黑体" w:eastAsia="黑体" w:cs="Arial"/>
          <w:color w:val="000000"/>
          <w:sz w:val="32"/>
          <w:szCs w:val="32"/>
        </w:rPr>
        <w:t>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农业机械管理局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永城市农业机械管理局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农业机械管理局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(一)部门主要职责和机构设置情况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</w:t>
      </w:r>
      <w:r>
        <w:rPr>
          <w:rFonts w:ascii="仿宋_GB2312" w:hAnsi="ˎ̥" w:eastAsia="仿宋_GB2312" w:cs="Arial"/>
          <w:color w:val="000000"/>
          <w:sz w:val="32"/>
          <w:szCs w:val="32"/>
        </w:rPr>
        <w:t>、贯彻执行国家、省和市政府有关农业机械化工作的政策、法律、法规及管理办法。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2</w:t>
      </w:r>
      <w:r>
        <w:rPr>
          <w:rFonts w:ascii="仿宋_GB2312" w:hAnsi="ˎ̥" w:eastAsia="仿宋_GB2312" w:cs="Arial"/>
          <w:color w:val="000000"/>
          <w:sz w:val="32"/>
          <w:szCs w:val="32"/>
        </w:rPr>
        <w:t>、研究制定永城市农业机械化、设施农业工程、农用航空业的发展战略、中长期规划；指导农业机械结构调整，引导农业机械产品结构调整。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3</w:t>
      </w:r>
      <w:r>
        <w:rPr>
          <w:rFonts w:ascii="仿宋_GB2312" w:hAnsi="ˎ̥" w:eastAsia="仿宋_GB2312" w:cs="Arial"/>
          <w:color w:val="000000"/>
          <w:sz w:val="32"/>
          <w:szCs w:val="32"/>
        </w:rPr>
        <w:t>、研究提出农业机械化的重大技术措施，组织农业机械化科技攻关和关键机具设备的开发；负责农机化新技术引进、示范、推广、应用项目的论证、立项、申报、实施及监督管理工作。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4</w:t>
      </w:r>
      <w:r>
        <w:rPr>
          <w:rFonts w:ascii="仿宋_GB2312" w:hAnsi="ˎ̥" w:eastAsia="仿宋_GB2312" w:cs="Arial"/>
          <w:color w:val="000000"/>
          <w:sz w:val="32"/>
          <w:szCs w:val="32"/>
        </w:rPr>
        <w:t>、组织实施拖拉机、联合收割机等农业机械的使用管理、登记入户、核发牌、安全技术检验；农机驾驶操作人员技术培训、考核发证、年度审验、安全教育；负责乡村道路、田间场院农机事故的调查处理；拟订农机安全管理办法，经批准后组织实施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5</w:t>
      </w:r>
      <w:r>
        <w:rPr>
          <w:rFonts w:ascii="仿宋_GB2312" w:hAnsi="ˎ̥" w:eastAsia="仿宋_GB2312" w:cs="Arial"/>
          <w:color w:val="000000"/>
          <w:sz w:val="32"/>
          <w:szCs w:val="32"/>
        </w:rPr>
        <w:t>、研究制定农机服务体系建设的政策措施，指导基层农机服务体系建设；组织协调农业机械开展社会化服务、机械化生产和农机抗灾救灾工作；规范指导农机作业市场。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6</w:t>
      </w:r>
      <w:r>
        <w:rPr>
          <w:rFonts w:ascii="仿宋_GB2312" w:hAnsi="ˎ̥" w:eastAsia="仿宋_GB2312" w:cs="Arial"/>
          <w:color w:val="000000"/>
          <w:sz w:val="32"/>
          <w:szCs w:val="32"/>
        </w:rPr>
        <w:t>、负责农机管理系统的宏观管理；指导农业机械使用维修管理工作；制定管理规划和技术措施并监督实施；组织实施农机职业技能鉴定和农机产品质量监督检查工作；负责农机教育和农民农机职业技术教育工作。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7</w:t>
      </w:r>
      <w:r>
        <w:rPr>
          <w:rFonts w:ascii="仿宋_GB2312" w:hAnsi="ˎ̥" w:eastAsia="仿宋_GB2312" w:cs="Arial"/>
          <w:color w:val="000000"/>
          <w:sz w:val="32"/>
          <w:szCs w:val="32"/>
        </w:rPr>
        <w:t>、参与农机用油的供应管理，优惠政策的协调和市场监督工作；指导农机节油工作；研究提出农用救灾柴油和补贴资金的分配意见，并对使用情况进行监督管理。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8</w:t>
      </w:r>
      <w:r>
        <w:rPr>
          <w:rFonts w:ascii="仿宋_GB2312" w:hAnsi="ˎ̥" w:eastAsia="仿宋_GB2312" w:cs="Arial"/>
          <w:color w:val="000000"/>
          <w:sz w:val="32"/>
          <w:szCs w:val="32"/>
        </w:rPr>
        <w:t>、负责农机化统计工作，搞好农机信息网络建设、收集、预测并发布有关农机行业的技术及服务信息；负责农机对外经济技术合作与交流。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　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9</w:t>
      </w:r>
      <w:r>
        <w:rPr>
          <w:rFonts w:ascii="仿宋_GB2312" w:hAnsi="ˎ̥" w:eastAsia="仿宋_GB2312" w:cs="Arial"/>
          <w:color w:val="000000"/>
          <w:sz w:val="32"/>
          <w:szCs w:val="32"/>
        </w:rPr>
        <w:t>、管理农机化事业的各项资金；对系统内的重点建设、技术改造、技术引进、利用外资等项目进行审查，提出立项建议。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3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10</w:t>
      </w:r>
      <w:r>
        <w:rPr>
          <w:rFonts w:ascii="仿宋_GB2312" w:hAnsi="ˎ̥" w:eastAsia="仿宋_GB2312" w:cs="Arial"/>
          <w:color w:val="000000"/>
          <w:sz w:val="32"/>
          <w:szCs w:val="32"/>
        </w:rPr>
        <w:t>、承办市政府交办的其他事项。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(二)预算年度的主要工作任务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ascii="仿宋_GB2312" w:hAnsi="ˎ̥" w:eastAsia="仿宋_GB2312" w:cs="Arial"/>
          <w:color w:val="000000"/>
          <w:sz w:val="32"/>
          <w:szCs w:val="32"/>
        </w:rPr>
        <w:t>贯彻执行国家、省和市政府有关农业机械化工作的政策、法律、法规及管理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工作</w:t>
      </w:r>
      <w:r>
        <w:rPr>
          <w:rFonts w:ascii="仿宋_GB2312" w:hAnsi="ˎ̥" w:eastAsia="仿宋_GB2312" w:cs="Arial"/>
          <w:color w:val="000000"/>
          <w:sz w:val="32"/>
          <w:szCs w:val="32"/>
        </w:rPr>
        <w:t>。制定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年度</w:t>
      </w:r>
      <w:r>
        <w:rPr>
          <w:rFonts w:ascii="仿宋_GB2312" w:hAnsi="ˎ̥" w:eastAsia="仿宋_GB2312" w:cs="Arial"/>
          <w:color w:val="000000"/>
          <w:sz w:val="32"/>
          <w:szCs w:val="32"/>
        </w:rPr>
        <w:t>农业机械化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发展工作</w:t>
      </w:r>
      <w:r>
        <w:rPr>
          <w:rFonts w:ascii="仿宋_GB2312" w:hAnsi="ˎ̥" w:eastAsia="仿宋_GB2312" w:cs="Arial"/>
          <w:color w:val="000000"/>
          <w:sz w:val="32"/>
          <w:szCs w:val="32"/>
        </w:rPr>
        <w:t>；指导农业机械结构调整，引导农业机械产品结构调整。提出农业机械化的重大技术措施，组织农机化新技术引进、示范、推广及监督管理工作。组织实施拖拉机、联合收割机等农业机械的使用管理、登记入户、核发牌、安全技术检验；农机驾驶操作人员技术培训、考核发证、年度审验、安全教育；负责乡村道路、田间场院农机事故的调查处理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</w:t>
      </w:r>
      <w:r>
        <w:rPr>
          <w:rFonts w:ascii="仿宋_GB2312" w:hAnsi="ˎ̥" w:eastAsia="仿宋_GB2312" w:cs="Arial"/>
          <w:color w:val="000000"/>
          <w:sz w:val="32"/>
          <w:szCs w:val="32"/>
        </w:rPr>
        <w:t>农机服务体系建设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和</w:t>
      </w:r>
      <w:r>
        <w:rPr>
          <w:rFonts w:ascii="仿宋_GB2312" w:hAnsi="ˎ̥" w:eastAsia="仿宋_GB2312" w:cs="Arial"/>
          <w:color w:val="000000"/>
          <w:sz w:val="32"/>
          <w:szCs w:val="32"/>
        </w:rPr>
        <w:t>基层农机服务体系建设；组织协调农业机械开展社会化服务、机械化生产和农机抗灾救灾工作；规范指导农机作业市场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；</w:t>
      </w:r>
      <w:r>
        <w:rPr>
          <w:rFonts w:ascii="仿宋_GB2312" w:hAnsi="ˎ̥" w:eastAsia="仿宋_GB2312" w:cs="Arial"/>
          <w:color w:val="000000"/>
          <w:sz w:val="32"/>
          <w:szCs w:val="32"/>
        </w:rPr>
        <w:t>指导农业机械使用维修管理工作；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负责</w:t>
      </w:r>
      <w:r>
        <w:rPr>
          <w:rFonts w:ascii="仿宋_GB2312" w:hAnsi="ˎ̥" w:eastAsia="仿宋_GB2312" w:cs="Arial"/>
          <w:color w:val="000000"/>
          <w:sz w:val="32"/>
          <w:szCs w:val="32"/>
        </w:rPr>
        <w:t>农机化统计工作，搞好农机信息网络建设、收集、预测并发布有关农机行业的技术及服务信息；管理农机化事业的各项资金；市政府交办的其他事项。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（三）部门预算单位构成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永城市农业机械管理局部门预算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永城市农业机械管理局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农业机械管理局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358" w:firstLineChars="11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2018年收入合计493.7万元，其中，一般公共预算493.7万元。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2018年支出合计493.7 万元，其中：基本支出 369.2万元，占75%；项目支出124.5万元，占 25 %。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2018年收入预算493.7万元，其中财政拨款493.7万元，比上年减少16.41万元，下降3.2%。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spacing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2018年支出预算493.7万元，其中财政拨款支出493.7万元，比上年减少16.41万元，下降3.2%。支出按用途划分为：工资福利支出326.41万元，占总支出的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66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%，比上年增加111.01万元，增长</w:t>
      </w:r>
      <w:r>
        <w:rPr>
          <w:rFonts w:hint="eastAsia" w:ascii="Arial" w:hAnsi="Arial" w:eastAsia="方正小标宋简体" w:cs="Arial"/>
          <w:sz w:val="36"/>
          <w:szCs w:val="36"/>
        </w:rPr>
        <w:t>34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6.06万元，比上年减少155.94万元，下降96%，占总支出1.2%；商品和服务支出36.73万元，占总支出7.5%，比上年增加12.63万元，增长34%；项目支出124.5万元，占总支出25.3%，比上年增加16.5万元，增长15%。主要变化原因是：一是我单位完成养老保险改革，退休费转由劳动局发放，对个人和家庭补助支出减少较多；二是我单位开始实行新工资标准，工资福利支出增加，同时住房公积金由原来的对个人和家庭补助支出调入工资福利支出；三是我单位公车改革已完成，所以商品和服务支出随之增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、政府性基金支出预算说明</w:t>
      </w:r>
    </w:p>
    <w:p>
      <w:pPr>
        <w:spacing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4.4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eastAsia="仿宋_GB2312"/>
          <w:sz w:val="32"/>
          <w:szCs w:val="32"/>
        </w:rPr>
        <w:t>%，其中：因公出国(境)费用0万元，较上年无变化；公务接待费0万元，较上年无变化；公务用车运行维护费4.4万元，较上年下降1%；公务购车支出0万元，较上年无变化。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tbl>
      <w:tblPr>
        <w:tblStyle w:val="7"/>
        <w:tblW w:w="7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办公费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6.85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咨询费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手续费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0.97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5.02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邮电费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取暖费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物业管理费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差旅费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维修(护)费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1.10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租赁费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会议费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培训费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专用材料费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被装购置费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专用燃料费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劳务费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委托业务费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1.14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税金及附加费用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numPr>
          <w:ilvl w:val="0"/>
          <w:numId w:val="3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2、事业收入：是指事业单位开展专业活动及辅助活动所取 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0BB24"/>
    <w:multiLevelType w:val="singleLevel"/>
    <w:tmpl w:val="5830BB24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1280" w:firstLine="0"/>
      </w:pPr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086EAB"/>
    <w:rsid w:val="00236298"/>
    <w:rsid w:val="002C7AE1"/>
    <w:rsid w:val="00353AA3"/>
    <w:rsid w:val="00364E08"/>
    <w:rsid w:val="00386CD3"/>
    <w:rsid w:val="003B4FBF"/>
    <w:rsid w:val="004C43C5"/>
    <w:rsid w:val="00537650"/>
    <w:rsid w:val="00540F81"/>
    <w:rsid w:val="00610639"/>
    <w:rsid w:val="006549ED"/>
    <w:rsid w:val="006F355A"/>
    <w:rsid w:val="00755988"/>
    <w:rsid w:val="007B6A7B"/>
    <w:rsid w:val="0083385F"/>
    <w:rsid w:val="00845265"/>
    <w:rsid w:val="00B60910"/>
    <w:rsid w:val="00B76482"/>
    <w:rsid w:val="00BB6302"/>
    <w:rsid w:val="00BC7A38"/>
    <w:rsid w:val="00C1789F"/>
    <w:rsid w:val="00C96031"/>
    <w:rsid w:val="00CC2C0F"/>
    <w:rsid w:val="00CF43F7"/>
    <w:rsid w:val="0C457767"/>
    <w:rsid w:val="16676A10"/>
    <w:rsid w:val="70895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553</Words>
  <Characters>3155</Characters>
  <Lines>26</Lines>
  <Paragraphs>7</Paragraphs>
  <TotalTime>1</TotalTime>
  <ScaleCrop>false</ScaleCrop>
  <LinksUpToDate>false</LinksUpToDate>
  <CharactersWithSpaces>3701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2019-03-04T01:00:07Z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