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b/>
          <w:sz w:val="52"/>
          <w:szCs w:val="52"/>
        </w:rPr>
      </w:pPr>
    </w:p>
    <w:p>
      <w:pPr>
        <w:jc w:val="center"/>
        <w:rPr>
          <w:rFonts w:hint="eastAsia" w:asciiTheme="minorEastAsia" w:hAnsiTheme="minorEastAsia" w:eastAsiaTheme="minorEastAsia"/>
          <w:b/>
          <w:sz w:val="52"/>
          <w:szCs w:val="52"/>
        </w:rPr>
      </w:pPr>
    </w:p>
    <w:p>
      <w:pPr>
        <w:jc w:val="center"/>
        <w:rPr>
          <w:rFonts w:hint="eastAsia" w:asciiTheme="minorEastAsia" w:hAnsiTheme="minorEastAsia" w:eastAsiaTheme="minorEastAsia"/>
          <w:b/>
          <w:sz w:val="52"/>
          <w:szCs w:val="52"/>
        </w:rPr>
      </w:pPr>
    </w:p>
    <w:p>
      <w:pPr>
        <w:jc w:val="center"/>
        <w:rPr>
          <w:rFonts w:hint="eastAsia" w:asciiTheme="minorEastAsia" w:hAnsiTheme="minorEastAsia" w:eastAsiaTheme="minorEastAsia"/>
          <w:b/>
          <w:sz w:val="52"/>
          <w:szCs w:val="52"/>
          <w:lang w:eastAsia="zh-CN"/>
        </w:rPr>
      </w:pPr>
      <w:r>
        <w:rPr>
          <w:rFonts w:hint="eastAsia" w:asciiTheme="minorEastAsia" w:hAnsiTheme="minorEastAsia" w:eastAsiaTheme="minorEastAsia"/>
          <w:b/>
          <w:sz w:val="52"/>
          <w:szCs w:val="52"/>
        </w:rPr>
        <w:t>永城市</w:t>
      </w:r>
      <w:r>
        <w:rPr>
          <w:rFonts w:hint="eastAsia" w:asciiTheme="minorEastAsia" w:hAnsiTheme="minorEastAsia" w:eastAsiaTheme="minorEastAsia"/>
          <w:b/>
          <w:sz w:val="52"/>
          <w:szCs w:val="52"/>
          <w:lang w:eastAsia="zh-CN"/>
        </w:rPr>
        <w:t>纪律检查委员会</w:t>
      </w:r>
    </w:p>
    <w:p>
      <w:pPr>
        <w:jc w:val="center"/>
        <w:rPr>
          <w:rStyle w:val="6"/>
          <w:rFonts w:hint="eastAsia" w:cs="Arial" w:asciiTheme="majorEastAsia" w:hAnsiTheme="majorEastAsia" w:eastAsiaTheme="majorEastAsia"/>
          <w:color w:val="000000"/>
          <w:kern w:val="0"/>
        </w:rPr>
      </w:pPr>
      <w:r>
        <w:rPr>
          <w:rStyle w:val="6"/>
          <w:rFonts w:hint="eastAsia" w:cs="Arial" w:asciiTheme="majorEastAsia" w:hAnsiTheme="majorEastAsia" w:eastAsiaTheme="majorEastAsia"/>
          <w:color w:val="000000"/>
          <w:kern w:val="0"/>
          <w:sz w:val="52"/>
          <w:szCs w:val="52"/>
        </w:rPr>
        <w:t>2018年预算基本情况说明</w:t>
      </w: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r>
        <w:rPr>
          <w:rStyle w:val="6"/>
          <w:rFonts w:hint="eastAsia" w:cs="Arial" w:asciiTheme="majorEastAsia" w:hAnsiTheme="majorEastAsia" w:eastAsiaTheme="majorEastAsia"/>
          <w:color w:val="000000"/>
          <w:kern w:val="0"/>
          <w:sz w:val="52"/>
          <w:szCs w:val="52"/>
        </w:rPr>
        <w:t>2018年1月20日</w:t>
      </w: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spacing w:line="720" w:lineRule="auto"/>
        <w:ind w:firstLine="3585" w:firstLineChars="744"/>
        <w:rPr>
          <w:rFonts w:hint="eastAsia" w:ascii="黑体" w:hAnsi="黑体" w:eastAsia="黑体" w:cs="黑体"/>
          <w:sz w:val="48"/>
          <w:szCs w:val="48"/>
        </w:rPr>
      </w:pPr>
      <w:r>
        <w:rPr>
          <w:rFonts w:hint="eastAsia" w:ascii="黑体" w:hAnsi="黑体" w:eastAsia="黑体" w:cs="黑体"/>
          <w:b/>
          <w:bCs/>
          <w:sz w:val="48"/>
          <w:szCs w:val="48"/>
        </w:rPr>
        <w:t>目录</w:t>
      </w:r>
    </w:p>
    <w:p>
      <w:pPr>
        <w:numPr>
          <w:ilvl w:val="0"/>
          <w:numId w:val="1"/>
        </w:numPr>
        <w:spacing w:line="720" w:lineRule="auto"/>
        <w:ind w:left="240"/>
        <w:jc w:val="left"/>
        <w:rPr>
          <w:rFonts w:hint="eastAsia" w:ascii="黑体" w:hAnsi="黑体" w:eastAsia="黑体" w:cs="黑体"/>
          <w:b/>
          <w:bCs/>
          <w:sz w:val="32"/>
          <w:szCs w:val="32"/>
        </w:rPr>
      </w:pPr>
      <w:r>
        <w:rPr>
          <w:rFonts w:hint="eastAsia" w:ascii="黑体" w:hAnsi="黑体" w:eastAsia="黑体" w:cs="黑体"/>
          <w:b/>
          <w:bCs/>
          <w:sz w:val="32"/>
          <w:szCs w:val="32"/>
        </w:rPr>
        <w:t>永城市</w:t>
      </w:r>
      <w:r>
        <w:rPr>
          <w:rFonts w:hint="eastAsia" w:ascii="黑体" w:hAnsi="黑体" w:eastAsia="黑体"/>
          <w:b/>
          <w:sz w:val="32"/>
          <w:szCs w:val="32"/>
          <w:lang w:eastAsia="zh-CN"/>
        </w:rPr>
        <w:t>纪律检查委员会</w:t>
      </w:r>
      <w:r>
        <w:rPr>
          <w:rFonts w:hint="eastAsia" w:ascii="黑体" w:hAnsi="黑体" w:eastAsia="黑体" w:cs="黑体"/>
          <w:b/>
          <w:bCs/>
          <w:sz w:val="32"/>
          <w:szCs w:val="32"/>
        </w:rPr>
        <w:t>单位概况</w:t>
      </w:r>
    </w:p>
    <w:p>
      <w:pPr>
        <w:spacing w:line="720" w:lineRule="auto"/>
        <w:ind w:left="420"/>
        <w:rPr>
          <w:rFonts w:hint="eastAsia" w:ascii="黑体" w:hAnsi="黑体" w:eastAsia="黑体" w:cs="黑体"/>
          <w:sz w:val="32"/>
          <w:szCs w:val="32"/>
        </w:rPr>
      </w:pPr>
      <w:r>
        <w:rPr>
          <w:rFonts w:hint="eastAsia" w:ascii="黑体" w:hAnsi="黑体" w:eastAsia="黑体" w:cs="黑体"/>
          <w:sz w:val="32"/>
          <w:szCs w:val="32"/>
        </w:rPr>
        <w:t>一、部门机构设置、职能、年度工作任务</w:t>
      </w:r>
    </w:p>
    <w:p>
      <w:pPr>
        <w:spacing w:line="720" w:lineRule="auto"/>
        <w:ind w:left="420"/>
        <w:rPr>
          <w:rFonts w:hint="eastAsia" w:ascii="黑体" w:hAnsi="黑体" w:eastAsia="黑体" w:cs="黑体"/>
          <w:sz w:val="32"/>
          <w:szCs w:val="32"/>
        </w:rPr>
      </w:pPr>
      <w:r>
        <w:rPr>
          <w:rFonts w:hint="eastAsia" w:ascii="黑体" w:hAnsi="黑体" w:eastAsia="黑体" w:cs="黑体"/>
          <w:sz w:val="32"/>
          <w:szCs w:val="32"/>
        </w:rPr>
        <w:t>二、部门预算单位构成</w:t>
      </w:r>
    </w:p>
    <w:p>
      <w:pPr>
        <w:spacing w:line="720" w:lineRule="auto"/>
        <w:rPr>
          <w:rFonts w:hint="eastAsia" w:ascii="黑体" w:hAnsi="黑体" w:eastAsia="黑体" w:cs="黑体"/>
          <w:b/>
          <w:bCs/>
          <w:sz w:val="32"/>
          <w:szCs w:val="32"/>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永城市</w:t>
      </w:r>
      <w:r>
        <w:rPr>
          <w:rFonts w:hint="eastAsia" w:ascii="黑体" w:hAnsi="黑体" w:eastAsia="黑体"/>
          <w:b/>
          <w:sz w:val="32"/>
          <w:szCs w:val="32"/>
          <w:lang w:eastAsia="zh-CN"/>
        </w:rPr>
        <w:t>纪律检查委员会</w:t>
      </w:r>
      <w:r>
        <w:rPr>
          <w:rFonts w:hint="eastAsia" w:ascii="黑体" w:hAnsi="黑体" w:eastAsia="黑体" w:cs="黑体"/>
          <w:b/>
          <w:bCs/>
          <w:sz w:val="32"/>
          <w:szCs w:val="32"/>
        </w:rPr>
        <w:t>2018年度部门预算情况说明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一</w:t>
      </w:r>
      <w:r>
        <w:rPr>
          <w:rFonts w:hint="eastAsia" w:ascii="黑体" w:hAnsi="黑体" w:eastAsia="黑体" w:cs="Arial"/>
          <w:color w:val="000000"/>
          <w:sz w:val="32"/>
          <w:szCs w:val="32"/>
        </w:rPr>
        <w:t>、一般公共预算收支预算情况说明</w:t>
      </w:r>
    </w:p>
    <w:p>
      <w:pPr>
        <w:keepNext w:val="0"/>
        <w:keepLines w:val="0"/>
        <w:pageBreakBefore w:val="0"/>
        <w:kinsoku/>
        <w:wordWrap/>
        <w:overflowPunct/>
        <w:topLinePunct w:val="0"/>
        <w:autoSpaceDE/>
        <w:autoSpaceDN/>
        <w:bidi w:val="0"/>
        <w:adjustRightInd/>
        <w:snapToGrid/>
        <w:spacing w:before="313" w:beforeLines="100" w:after="313" w:afterLines="100"/>
        <w:ind w:firstLine="640" w:firstLineChars="200"/>
        <w:jc w:val="left"/>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二</w:t>
      </w:r>
      <w:r>
        <w:rPr>
          <w:rFonts w:hint="eastAsia" w:ascii="黑体" w:hAnsi="黑体" w:eastAsia="黑体" w:cs="Arial"/>
          <w:color w:val="000000"/>
          <w:sz w:val="32"/>
          <w:szCs w:val="32"/>
        </w:rPr>
        <w:t>、政府性基金预算收支预算情况说明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三</w:t>
      </w:r>
      <w:r>
        <w:rPr>
          <w:rFonts w:hint="eastAsia" w:ascii="黑体" w:hAnsi="黑体" w:eastAsia="黑体" w:cs="Arial"/>
          <w:color w:val="000000"/>
          <w:sz w:val="32"/>
          <w:szCs w:val="32"/>
        </w:rPr>
        <w:t>、“三公”经费支出预算情况说明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四</w:t>
      </w:r>
      <w:r>
        <w:rPr>
          <w:rFonts w:hint="eastAsia" w:ascii="黑体" w:hAnsi="黑体" w:eastAsia="黑体" w:cs="Arial"/>
          <w:color w:val="000000"/>
          <w:sz w:val="32"/>
          <w:szCs w:val="32"/>
        </w:rPr>
        <w:t>、其他重要事项的情况说明</w:t>
      </w:r>
    </w:p>
    <w:p>
      <w:pPr>
        <w:spacing w:line="720" w:lineRule="auto"/>
        <w:rPr>
          <w:rFonts w:hint="eastAsia" w:ascii="黑体" w:hAnsi="黑体" w:eastAsia="黑体" w:cs="黑体"/>
          <w:b/>
          <w:bCs/>
          <w:sz w:val="32"/>
          <w:szCs w:val="32"/>
        </w:rPr>
      </w:pPr>
      <w:r>
        <w:rPr>
          <w:rFonts w:hint="eastAsia" w:ascii="黑体" w:hAnsi="黑体" w:eastAsia="黑体" w:cs="黑体"/>
          <w:b/>
          <w:bCs/>
          <w:sz w:val="32"/>
          <w:szCs w:val="32"/>
        </w:rPr>
        <w:t>第三部分 名词解释</w:t>
      </w:r>
    </w:p>
    <w:p>
      <w:pPr>
        <w:spacing w:line="720" w:lineRule="auto"/>
        <w:rPr>
          <w:rFonts w:hint="eastAsia" w:ascii="黑体" w:hAnsi="黑体" w:eastAsia="黑体" w:cs="黑体"/>
          <w:b/>
          <w:bCs/>
          <w:sz w:val="32"/>
          <w:szCs w:val="32"/>
        </w:rPr>
      </w:pPr>
    </w:p>
    <w:p>
      <w:pPr>
        <w:spacing w:line="720" w:lineRule="auto"/>
        <w:rPr>
          <w:rFonts w:hint="eastAsia" w:ascii="黑体" w:hAnsi="黑体" w:eastAsia="黑体" w:cs="黑体"/>
          <w:b/>
          <w:bCs/>
          <w:sz w:val="32"/>
          <w:szCs w:val="32"/>
        </w:rPr>
      </w:pPr>
      <w:r>
        <w:rPr>
          <w:rFonts w:hint="eastAsia" w:ascii="黑体" w:hAnsi="黑体" w:eastAsia="黑体" w:cs="黑体"/>
          <w:b/>
          <w:bCs/>
          <w:sz w:val="32"/>
          <w:szCs w:val="32"/>
        </w:rPr>
        <w:t>附件：永城市</w:t>
      </w:r>
      <w:r>
        <w:rPr>
          <w:rFonts w:hint="eastAsia" w:ascii="黑体" w:hAnsi="黑体" w:eastAsia="黑体"/>
          <w:b/>
          <w:sz w:val="32"/>
          <w:szCs w:val="32"/>
          <w:lang w:eastAsia="zh-CN"/>
        </w:rPr>
        <w:t>纪律检查委员会</w:t>
      </w:r>
      <w:r>
        <w:rPr>
          <w:rFonts w:hint="eastAsia" w:ascii="黑体" w:hAnsi="黑体" w:eastAsia="黑体" w:cs="黑体"/>
          <w:b/>
          <w:bCs/>
          <w:sz w:val="32"/>
          <w:szCs w:val="32"/>
        </w:rPr>
        <w:t>2018年度部门预算表</w:t>
      </w:r>
    </w:p>
    <w:p>
      <w:pPr>
        <w:numPr>
          <w:ilvl w:val="0"/>
          <w:numId w:val="2"/>
        </w:numPr>
        <w:spacing w:line="720" w:lineRule="auto"/>
        <w:rPr>
          <w:rFonts w:hint="eastAsia" w:ascii="黑体" w:hAnsi="黑体" w:eastAsia="黑体" w:cs="黑体"/>
          <w:sz w:val="32"/>
          <w:szCs w:val="32"/>
        </w:rPr>
      </w:pPr>
      <w:r>
        <w:rPr>
          <w:rFonts w:hint="eastAsia" w:ascii="黑体" w:hAnsi="黑体" w:eastAsia="黑体" w:cs="黑体"/>
          <w:sz w:val="32"/>
          <w:szCs w:val="32"/>
        </w:rPr>
        <w:t>部门收支总体情况表</w:t>
      </w:r>
    </w:p>
    <w:p>
      <w:pPr>
        <w:numPr>
          <w:ilvl w:val="0"/>
          <w:numId w:val="2"/>
        </w:numPr>
        <w:spacing w:line="720" w:lineRule="auto"/>
        <w:rPr>
          <w:rFonts w:hint="eastAsia" w:ascii="黑体" w:hAnsi="黑体" w:eastAsia="黑体" w:cs="黑体"/>
          <w:sz w:val="32"/>
          <w:szCs w:val="32"/>
        </w:rPr>
      </w:pPr>
      <w:r>
        <w:rPr>
          <w:rFonts w:hint="eastAsia" w:ascii="黑体" w:hAnsi="黑体" w:eastAsia="黑体" w:cs="黑体"/>
          <w:sz w:val="32"/>
          <w:szCs w:val="32"/>
        </w:rPr>
        <w:t>部门收入总体情况表</w:t>
      </w:r>
    </w:p>
    <w:p>
      <w:pPr>
        <w:numPr>
          <w:ilvl w:val="0"/>
          <w:numId w:val="2"/>
        </w:numPr>
        <w:spacing w:line="720" w:lineRule="auto"/>
        <w:rPr>
          <w:rFonts w:hint="eastAsia" w:ascii="黑体" w:hAnsi="黑体" w:eastAsia="黑体" w:cs="黑体"/>
          <w:sz w:val="32"/>
          <w:szCs w:val="32"/>
        </w:rPr>
      </w:pPr>
      <w:r>
        <w:rPr>
          <w:rFonts w:hint="eastAsia" w:ascii="黑体" w:hAnsi="黑体" w:eastAsia="黑体" w:cs="黑体"/>
          <w:sz w:val="32"/>
          <w:szCs w:val="32"/>
        </w:rPr>
        <w:t>部门支出总体情况表</w:t>
      </w:r>
    </w:p>
    <w:p>
      <w:pPr>
        <w:numPr>
          <w:ilvl w:val="0"/>
          <w:numId w:val="2"/>
        </w:numPr>
        <w:spacing w:line="720" w:lineRule="auto"/>
        <w:rPr>
          <w:rFonts w:hint="eastAsia" w:ascii="黑体" w:hAnsi="黑体" w:eastAsia="黑体" w:cs="黑体"/>
          <w:sz w:val="32"/>
          <w:szCs w:val="32"/>
        </w:rPr>
      </w:pPr>
      <w:r>
        <w:rPr>
          <w:rFonts w:hint="eastAsia" w:ascii="黑体" w:hAnsi="黑体" w:eastAsia="黑体" w:cs="黑体"/>
          <w:sz w:val="32"/>
          <w:szCs w:val="32"/>
        </w:rPr>
        <w:t>一般公共预算基本支出经济分类情况表</w:t>
      </w:r>
    </w:p>
    <w:p>
      <w:pPr>
        <w:numPr>
          <w:ilvl w:val="0"/>
          <w:numId w:val="2"/>
        </w:numPr>
        <w:spacing w:line="720" w:lineRule="auto"/>
        <w:rPr>
          <w:rFonts w:hint="eastAsia" w:ascii="黑体" w:hAnsi="黑体" w:eastAsia="黑体" w:cs="黑体"/>
          <w:sz w:val="32"/>
          <w:szCs w:val="32"/>
        </w:rPr>
      </w:pPr>
      <w:r>
        <w:rPr>
          <w:rFonts w:hint="eastAsia" w:ascii="黑体" w:hAnsi="黑体" w:eastAsia="黑体" w:cs="黑体"/>
          <w:sz w:val="32"/>
          <w:szCs w:val="32"/>
        </w:rPr>
        <w:t>财政拨款收支总体情况表</w:t>
      </w:r>
    </w:p>
    <w:p>
      <w:pPr>
        <w:numPr>
          <w:ilvl w:val="0"/>
          <w:numId w:val="2"/>
        </w:numPr>
        <w:spacing w:line="720" w:lineRule="auto"/>
        <w:rPr>
          <w:rFonts w:hint="eastAsia" w:ascii="黑体" w:hAnsi="黑体" w:eastAsia="黑体" w:cs="黑体"/>
          <w:sz w:val="32"/>
          <w:szCs w:val="32"/>
        </w:rPr>
      </w:pPr>
      <w:r>
        <w:rPr>
          <w:rFonts w:hint="eastAsia" w:ascii="黑体" w:hAnsi="黑体" w:eastAsia="黑体" w:cs="黑体"/>
          <w:sz w:val="32"/>
          <w:szCs w:val="32"/>
        </w:rPr>
        <w:t>财政拨款支出情况表</w:t>
      </w:r>
    </w:p>
    <w:p>
      <w:pPr>
        <w:numPr>
          <w:ilvl w:val="0"/>
          <w:numId w:val="2"/>
        </w:numPr>
        <w:spacing w:line="720" w:lineRule="auto"/>
        <w:rPr>
          <w:rFonts w:hint="eastAsia" w:ascii="黑体" w:hAnsi="黑体" w:eastAsia="黑体" w:cs="黑体"/>
          <w:sz w:val="32"/>
          <w:szCs w:val="32"/>
        </w:rPr>
      </w:pPr>
      <w:r>
        <w:rPr>
          <w:rFonts w:hint="eastAsia" w:ascii="黑体" w:hAnsi="黑体" w:eastAsia="黑体" w:cs="黑体"/>
          <w:sz w:val="32"/>
          <w:szCs w:val="32"/>
        </w:rPr>
        <w:t>政府性基金支出情况表</w:t>
      </w: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both"/>
        <w:rPr>
          <w:rFonts w:hint="eastAsia" w:ascii="方正小标宋简体" w:eastAsia="方正小标宋简体"/>
          <w:sz w:val="44"/>
          <w:szCs w:val="44"/>
        </w:rPr>
      </w:pPr>
    </w:p>
    <w:p>
      <w:pPr>
        <w:jc w:val="center"/>
        <w:rPr>
          <w:rFonts w:hint="eastAsia" w:ascii="方正小标宋简体" w:eastAsia="方正小标宋简体"/>
          <w:sz w:val="44"/>
          <w:szCs w:val="44"/>
        </w:rPr>
      </w:pPr>
      <w:r>
        <w:rPr>
          <w:rFonts w:hint="eastAsia" w:ascii="方正小标宋简体" w:eastAsia="方正小标宋简体"/>
          <w:sz w:val="44"/>
          <w:szCs w:val="44"/>
        </w:rPr>
        <w:t>永城市</w:t>
      </w:r>
      <w:r>
        <w:rPr>
          <w:rFonts w:hint="eastAsia" w:ascii="方正小标宋简体" w:eastAsia="方正小标宋简体"/>
          <w:sz w:val="44"/>
          <w:szCs w:val="44"/>
          <w:lang w:eastAsia="zh-CN"/>
        </w:rPr>
        <w:t>纪律检查委员会</w:t>
      </w:r>
      <w:r>
        <w:rPr>
          <w:rFonts w:hint="eastAsia" w:ascii="方正小标宋简体" w:eastAsia="方正小标宋简体"/>
          <w:sz w:val="44"/>
          <w:szCs w:val="44"/>
        </w:rPr>
        <w:t>单位</w:t>
      </w:r>
    </w:p>
    <w:p>
      <w:pPr>
        <w:jc w:val="center"/>
        <w:rPr>
          <w:rFonts w:ascii="方正小标宋简体" w:eastAsia="方正小标宋简体"/>
          <w:sz w:val="44"/>
          <w:szCs w:val="44"/>
        </w:rPr>
      </w:pPr>
      <w:r>
        <w:rPr>
          <w:rFonts w:hint="eastAsia" w:ascii="方正小标宋简体" w:eastAsia="方正小标宋简体"/>
          <w:sz w:val="44"/>
          <w:szCs w:val="44"/>
        </w:rPr>
        <w:t>2018年预算基本情况说明</w:t>
      </w:r>
    </w:p>
    <w:p>
      <w:pPr>
        <w:numPr>
          <w:numId w:val="0"/>
        </w:numPr>
        <w:spacing w:line="720" w:lineRule="auto"/>
        <w:ind w:left="240" w:leftChars="0"/>
        <w:jc w:val="left"/>
        <w:rPr>
          <w:rFonts w:hint="eastAsia" w:ascii="黑体" w:hAnsi="黑体" w:eastAsia="黑体" w:cs="黑体"/>
          <w:b/>
          <w:bCs/>
          <w:sz w:val="32"/>
          <w:szCs w:val="32"/>
        </w:rPr>
      </w:pPr>
      <w:r>
        <w:rPr>
          <w:rFonts w:hint="eastAsia" w:ascii="黑体" w:hAnsi="黑体" w:eastAsia="黑体" w:cs="黑体"/>
          <w:b/>
          <w:bCs/>
          <w:sz w:val="32"/>
          <w:szCs w:val="32"/>
          <w:lang w:eastAsia="zh-CN"/>
        </w:rPr>
        <w:t>第一部分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永城市</w:t>
      </w:r>
      <w:r>
        <w:rPr>
          <w:rFonts w:hint="eastAsia" w:ascii="黑体" w:hAnsi="黑体" w:eastAsia="黑体"/>
          <w:b/>
          <w:sz w:val="32"/>
          <w:szCs w:val="32"/>
          <w:lang w:eastAsia="zh-CN"/>
        </w:rPr>
        <w:t>纪律检查委员会</w:t>
      </w:r>
      <w:r>
        <w:rPr>
          <w:rFonts w:hint="eastAsia" w:ascii="黑体" w:hAnsi="黑体" w:eastAsia="黑体" w:cs="黑体"/>
          <w:b/>
          <w:bCs/>
          <w:sz w:val="32"/>
          <w:szCs w:val="32"/>
        </w:rPr>
        <w:t>单位概况</w:t>
      </w:r>
    </w:p>
    <w:p>
      <w:pPr>
        <w:ind w:firstLine="640" w:firstLineChars="200"/>
        <w:rPr>
          <w:rFonts w:ascii="仿宋_GB2312" w:eastAsia="仿宋_GB2312"/>
          <w:sz w:val="32"/>
          <w:szCs w:val="32"/>
        </w:rPr>
      </w:pPr>
      <w:r>
        <w:rPr>
          <w:rFonts w:hint="eastAsia" w:ascii="仿宋_GB2312" w:eastAsia="仿宋_GB2312"/>
          <w:sz w:val="32"/>
          <w:szCs w:val="32"/>
        </w:rPr>
        <w:t>（一）部门主要职责和机构设置情况</w:t>
      </w:r>
    </w:p>
    <w:p>
      <w:pPr>
        <w:ind w:firstLine="640" w:firstLineChars="200"/>
        <w:rPr>
          <w:rFonts w:ascii="仿宋_GB2312" w:eastAsia="仿宋_GB2312"/>
          <w:sz w:val="32"/>
          <w:szCs w:val="32"/>
        </w:rPr>
      </w:pPr>
      <w:r>
        <w:rPr>
          <w:rFonts w:hint="eastAsia" w:ascii="仿宋_GB2312" w:eastAsia="仿宋_GB2312"/>
          <w:sz w:val="32"/>
          <w:szCs w:val="32"/>
        </w:rPr>
        <w:t>永城市纪委党政机关，内设21个科室，单位实际在职72人。主要职责：（1）负责贯彻落实党中央、中央纪委、省委、省纪委和永城市委，永城市纪委关于加强党风廉政建设的决定，维护党的章程和党内法规，检查党的路线、方针、政策和决议的执行情况，负责反腐败的组织协调工作，协助市委抓好党风廉政建设。（2）负责贯彻落实党中央、国务院、省委、省政府及永城市委、永城市政府有关行政检查工作的决定，实施《行政监察法》规定范围内的监督，重点监督检查市政府各部门及其工作人员、各乡镇政府及其主要负责人、市政府直属企业事业单位及其由国家行政机关任命的领导干部执行国家和省委、省政府的决策、法律法规以及国务院、省政府和永城市政府颁发的决议和命令的情况。（3）负责检查处理市委和市政府各部门、各乡镇党的组织、市委管理的党员领导干部违反党的章程及党内法规的案件，决定或取消对这些案件中党员的处分；受理党员的控告和申诉；必要时直接查处下级党的纪律检查机关管辖范围内比较重要或复杂的案件。（4）负责调查处理市政府各部门及其工作人员、各乡镇政府及其主要负责人、市政府直属企事业单位中由国家行政机关任命的领导干部违反国家政策、法律法规以及违反政纪的行为，并根据责任人所犯错误的情节较重，做出相应处分或提出处理建议，报上级领导机关审批（对涉及选举产生的领导干部按法定程序办理）；受理检查对象不服政纪处分的申诉，受理个人或单位对监察对象违纪行为的检举、控告；保护监察对象的合法权益。（5）负责做出关于维护党纪政纪的决定，制定全市党风党纪政纪教育规划，会同有关部门做好党的纪律检查和行政监察工作方针、政策和法律法规的宣传教育工作。（6）负责对党的纪律检查工作政策、理论及有关问题进行调查研究，拟定全市党纪条规和政策规定。（7）调查了解市政府各部门和各乡镇人民政府制定有关政策的情况，对违反国家法律和有顺国家利益的条款提出修改建议。（8）会同有关部门及各乡镇党委、政府做好纪检监察干部的管理工作，负责市纪委、监察局派驻市直各单位市管干部的提名工作；组织和指导全市纪检监察系统干部培训和组织建设工作。（9）承办市委、市政府交办的其他事项。</w:t>
      </w:r>
    </w:p>
    <w:p>
      <w:pPr>
        <w:ind w:firstLine="640" w:firstLineChars="200"/>
        <w:rPr>
          <w:rFonts w:ascii="仿宋_GB2312" w:eastAsia="仿宋_GB2312"/>
          <w:sz w:val="32"/>
          <w:szCs w:val="32"/>
        </w:rPr>
      </w:pPr>
      <w:r>
        <w:rPr>
          <w:rFonts w:hint="eastAsia" w:ascii="仿宋_GB2312" w:eastAsia="仿宋_GB2312"/>
          <w:sz w:val="32"/>
          <w:szCs w:val="32"/>
        </w:rPr>
        <w:t>（二）人员情况</w:t>
      </w:r>
    </w:p>
    <w:p>
      <w:pPr>
        <w:ind w:firstLine="640" w:firstLineChars="200"/>
        <w:rPr>
          <w:rFonts w:ascii="仿宋_GB2312" w:eastAsia="仿宋_GB2312"/>
          <w:sz w:val="32"/>
          <w:szCs w:val="32"/>
        </w:rPr>
      </w:pPr>
      <w:r>
        <w:rPr>
          <w:rFonts w:hint="eastAsia" w:ascii="仿宋_GB2312" w:eastAsia="仿宋_GB2312"/>
          <w:sz w:val="32"/>
          <w:szCs w:val="32"/>
        </w:rPr>
        <w:t>永城市纪委现有编制66人，其中行政编制37人，事业编制29人，工勤3人。实有72人。财政供给72人。</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永城市委巡察办内设6个职能科室。预算管理单位人员编制共计26名，其中，行政编制26人，在职职工1人。</w:t>
      </w:r>
    </w:p>
    <w:p>
      <w:pPr>
        <w:pStyle w:val="4"/>
        <w:spacing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rPr>
        <w:t>　永城市纪工委预算管理单位人员编制共计60名，其中，事业编制60人；在职职工36人。</w:t>
      </w:r>
    </w:p>
    <w:p>
      <w:pPr>
        <w:spacing w:line="720" w:lineRule="auto"/>
        <w:rPr>
          <w:rFonts w:hint="eastAsia" w:ascii="黑体" w:hAnsi="黑体" w:eastAsia="黑体" w:cs="黑体"/>
          <w:b/>
          <w:bCs/>
          <w:sz w:val="32"/>
          <w:szCs w:val="32"/>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永城市</w:t>
      </w:r>
      <w:r>
        <w:rPr>
          <w:rFonts w:hint="eastAsia" w:ascii="黑体" w:hAnsi="黑体" w:eastAsia="黑体"/>
          <w:b/>
          <w:sz w:val="32"/>
          <w:szCs w:val="32"/>
          <w:lang w:eastAsia="zh-CN"/>
        </w:rPr>
        <w:t>纪律检查委员会</w:t>
      </w:r>
      <w:r>
        <w:rPr>
          <w:rFonts w:hint="eastAsia" w:ascii="黑体" w:hAnsi="黑体" w:eastAsia="黑体" w:cs="黑体"/>
          <w:b/>
          <w:bCs/>
          <w:sz w:val="32"/>
          <w:szCs w:val="32"/>
        </w:rPr>
        <w:t>2018年度部门预算情况说明</w:t>
      </w:r>
    </w:p>
    <w:p>
      <w:pPr>
        <w:pStyle w:val="4"/>
        <w:spacing w:before="0" w:beforeAutospacing="0" w:after="0" w:afterAutospacing="0"/>
        <w:ind w:firstLine="640" w:firstLineChars="200"/>
        <w:rPr>
          <w:rFonts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、一般公共预算收支预算情况说明</w:t>
      </w:r>
    </w:p>
    <w:p>
      <w:pPr>
        <w:ind w:firstLine="640" w:firstLineChars="200"/>
        <w:rPr>
          <w:rFonts w:ascii="仿宋_GB2312" w:eastAsia="仿宋_GB2312"/>
          <w:sz w:val="32"/>
          <w:szCs w:val="32"/>
        </w:rPr>
      </w:pPr>
      <w:r>
        <w:rPr>
          <w:rFonts w:hint="eastAsia" w:ascii="仿宋_GB2312" w:eastAsia="仿宋_GB2312"/>
          <w:sz w:val="32"/>
          <w:szCs w:val="32"/>
        </w:rPr>
        <w:t>（一）部门收入预算总体情况</w:t>
      </w:r>
    </w:p>
    <w:p>
      <w:pPr>
        <w:ind w:firstLine="640" w:firstLineChars="200"/>
        <w:rPr>
          <w:rFonts w:ascii="仿宋_GB2312" w:eastAsia="仿宋_GB2312"/>
          <w:sz w:val="32"/>
          <w:szCs w:val="32"/>
        </w:rPr>
      </w:pPr>
      <w:r>
        <w:rPr>
          <w:rFonts w:hint="eastAsia" w:ascii="仿宋_GB2312" w:eastAsia="仿宋_GB2312"/>
          <w:sz w:val="32"/>
          <w:szCs w:val="32"/>
        </w:rPr>
        <w:t>2018年收入合计2165.59万元，其中，一般公共预算2165.59万元，部门财政性资金结转0万元。</w:t>
      </w:r>
    </w:p>
    <w:p>
      <w:pPr>
        <w:ind w:firstLine="640" w:firstLineChars="200"/>
        <w:rPr>
          <w:rFonts w:ascii="仿宋_GB2312" w:eastAsia="仿宋_GB2312"/>
          <w:sz w:val="32"/>
          <w:szCs w:val="32"/>
        </w:rPr>
      </w:pPr>
      <w:r>
        <w:rPr>
          <w:rFonts w:hint="eastAsia" w:ascii="仿宋_GB2312" w:eastAsia="仿宋_GB2312"/>
          <w:sz w:val="32"/>
          <w:szCs w:val="32"/>
        </w:rPr>
        <w:t>（二）部门支出预算总体情况说明</w:t>
      </w:r>
    </w:p>
    <w:p>
      <w:pPr>
        <w:ind w:firstLine="640" w:firstLineChars="200"/>
        <w:rPr>
          <w:rFonts w:ascii="仿宋_GB2312" w:eastAsia="仿宋_GB2312"/>
          <w:sz w:val="32"/>
          <w:szCs w:val="32"/>
        </w:rPr>
      </w:pPr>
      <w:r>
        <w:rPr>
          <w:rFonts w:hint="eastAsia" w:ascii="仿宋_GB2312" w:eastAsia="仿宋_GB2312"/>
          <w:sz w:val="32"/>
          <w:szCs w:val="32"/>
        </w:rPr>
        <w:t>2018年支出合计2165.59万元，其中：基本支出1303.59万元，占60.19℅；项目支出862万元，占39.81℅。</w:t>
      </w:r>
    </w:p>
    <w:p>
      <w:pPr>
        <w:ind w:firstLine="640" w:firstLineChars="200"/>
        <w:rPr>
          <w:rFonts w:ascii="仿宋_GB2312" w:eastAsia="仿宋_GB2312"/>
          <w:sz w:val="32"/>
          <w:szCs w:val="32"/>
        </w:rPr>
      </w:pPr>
      <w:r>
        <w:rPr>
          <w:rFonts w:hint="eastAsia" w:ascii="仿宋_GB2312" w:eastAsia="仿宋_GB2312"/>
          <w:sz w:val="32"/>
          <w:szCs w:val="32"/>
        </w:rPr>
        <w:t>（三）财政拨款收入预算情况说明</w:t>
      </w:r>
    </w:p>
    <w:p>
      <w:pPr>
        <w:ind w:firstLine="640" w:firstLineChars="200"/>
        <w:rPr>
          <w:rFonts w:ascii="仿宋_GB2312" w:eastAsia="仿宋_GB2312"/>
          <w:sz w:val="32"/>
          <w:szCs w:val="32"/>
        </w:rPr>
      </w:pPr>
      <w:r>
        <w:rPr>
          <w:rFonts w:hint="eastAsia" w:ascii="仿宋_GB2312" w:eastAsia="仿宋_GB2312"/>
          <w:sz w:val="32"/>
          <w:szCs w:val="32"/>
        </w:rPr>
        <w:t>2018年收入预算2165.59万元，其中财政拨款2165.59万元，比上年增加580.09万元，增长36℅，主要原因：成立永城市监察委员会，纪检会非税收入增加，财政返还随之增加，因此预算增加，同时监察委新成立，人员增加，基本支出随之增加。</w:t>
      </w:r>
    </w:p>
    <w:p>
      <w:pPr>
        <w:ind w:firstLine="640" w:firstLineChars="200"/>
        <w:rPr>
          <w:rFonts w:ascii="仿宋_GB2312" w:eastAsia="仿宋_GB2312"/>
          <w:sz w:val="32"/>
          <w:szCs w:val="32"/>
        </w:rPr>
      </w:pPr>
      <w:r>
        <w:rPr>
          <w:rFonts w:hint="eastAsia" w:ascii="仿宋_GB2312" w:eastAsia="仿宋_GB2312"/>
          <w:sz w:val="32"/>
          <w:szCs w:val="32"/>
        </w:rPr>
        <w:t>（四）财政拨款支出预算情况说明</w:t>
      </w:r>
    </w:p>
    <w:p>
      <w:pPr>
        <w:ind w:firstLine="640" w:firstLineChars="200"/>
        <w:rPr>
          <w:rFonts w:ascii="仿宋_GB2312" w:eastAsia="仿宋_GB2312"/>
          <w:sz w:val="32"/>
          <w:szCs w:val="32"/>
        </w:rPr>
      </w:pPr>
      <w:r>
        <w:rPr>
          <w:rFonts w:hint="eastAsia" w:ascii="仿宋_GB2312" w:eastAsia="仿宋_GB2312"/>
          <w:sz w:val="32"/>
          <w:szCs w:val="32"/>
        </w:rPr>
        <w:t>2018年支出预算2165.59万元，其中财政拨款支出2165.59万元。支出按用途划分为：工资福利支出1058.34万元，占总支出的48.8℅，比上年增加365.04万元，增长52℅；对个人和家庭的补助0.38万元，占总支出的0.001%，比上年减少121.72万元，下降99.8%；商品服务支出244.87 186.1万元，占总支出的11.3℅，比上年增加58.77万元，增长31℅；项目支出862万元，占总支出的39.81℅，比上年增加280万元，增长48℅。主要变化原因是：一是成立永城市监察委员会，人员增加，工资福利支出、商品和服务支出随之增加，同时住房公积金由对个人和家庭补助支出转入工资福利支出；二是本单位完成养老保险改革，退休费转由社保机构发放，对个人和家庭补助支出减少；纪检会非税收入增加，财政返还随之增加，因此项目支出增加。</w:t>
      </w:r>
    </w:p>
    <w:p>
      <w:pPr>
        <w:pStyle w:val="4"/>
        <w:spacing w:before="0" w:beforeAutospacing="0" w:after="0" w:afterAutospacing="0"/>
        <w:ind w:firstLine="640" w:firstLineChars="200"/>
        <w:rPr>
          <w:rFonts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、政府性基金预算支出决算情况说明</w:t>
      </w:r>
    </w:p>
    <w:p>
      <w:pPr>
        <w:ind w:firstLine="640" w:firstLineChars="200"/>
        <w:rPr>
          <w:rFonts w:ascii="仿宋_GB2312" w:eastAsia="仿宋_GB2312"/>
          <w:sz w:val="32"/>
          <w:szCs w:val="32"/>
        </w:rPr>
      </w:pPr>
      <w:r>
        <w:rPr>
          <w:rFonts w:hint="eastAsia" w:ascii="仿宋_GB2312" w:eastAsia="仿宋_GB2312"/>
          <w:sz w:val="32"/>
          <w:szCs w:val="32"/>
        </w:rPr>
        <w:t>本单位无政府性基金预算支出。</w:t>
      </w:r>
    </w:p>
    <w:p>
      <w:pPr>
        <w:pStyle w:val="4"/>
        <w:spacing w:before="0" w:beforeAutospacing="0" w:after="0" w:afterAutospacing="0"/>
        <w:ind w:firstLine="640" w:firstLineChars="200"/>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、“三公”经费支出预算情况说明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2018年“三公”经费支出预算11.3万元，与上一年持平。其中：因公出国（境）费用0万元，与上一年持平；公务接待费0万元，与上一年持平。公务用车运行维护费11.3万元，与上一年持平。公务购车0万元，与上一年持平。“三公经费”预算下降的原因:</w:t>
      </w:r>
      <w:r>
        <w:rPr>
          <w:rFonts w:ascii="仿宋_GB2312" w:eastAsia="仿宋_GB2312"/>
          <w:sz w:val="32"/>
          <w:szCs w:val="32"/>
        </w:rPr>
        <w:t>严格执行《党政机关国内公务接待管理规定》等办法，</w:t>
      </w:r>
      <w:r>
        <w:rPr>
          <w:rFonts w:hint="eastAsia" w:ascii="仿宋_GB2312" w:eastAsia="仿宋_GB2312"/>
          <w:sz w:val="32"/>
          <w:szCs w:val="32"/>
        </w:rPr>
        <w:t>坚持</w:t>
      </w:r>
      <w:r>
        <w:rPr>
          <w:rFonts w:ascii="仿宋_GB2312" w:eastAsia="仿宋_GB2312"/>
          <w:sz w:val="32"/>
          <w:szCs w:val="32"/>
        </w:rPr>
        <w:t>厉行勤俭节约，不断压缩公务接待费支出</w:t>
      </w:r>
      <w:r>
        <w:rPr>
          <w:rFonts w:hint="eastAsia" w:ascii="仿宋_GB2312" w:eastAsia="仿宋_GB2312"/>
          <w:sz w:val="32"/>
          <w:szCs w:val="32"/>
        </w:rPr>
        <w:t>;</w:t>
      </w:r>
      <w:r>
        <w:rPr>
          <w:rFonts w:ascii="仿宋_GB2312" w:eastAsia="仿宋_GB2312"/>
          <w:sz w:val="32"/>
          <w:szCs w:val="32"/>
        </w:rPr>
        <w:t xml:space="preserve"> 公车改革实施后，公务用车保有量下降，</w:t>
      </w:r>
      <w:r>
        <w:rPr>
          <w:rFonts w:hint="eastAsia" w:ascii="仿宋_GB2312" w:eastAsia="仿宋_GB2312"/>
          <w:sz w:val="32"/>
          <w:szCs w:val="32"/>
        </w:rPr>
        <w:t>严格公务车辆出行管理，</w:t>
      </w:r>
      <w:r>
        <w:rPr>
          <w:rFonts w:ascii="仿宋_GB2312" w:eastAsia="仿宋_GB2312"/>
          <w:sz w:val="32"/>
          <w:szCs w:val="32"/>
        </w:rPr>
        <w:t>公务用车运行维护费降低</w:t>
      </w:r>
      <w:r>
        <w:rPr>
          <w:rFonts w:hint="eastAsia" w:ascii="仿宋_GB2312" w:eastAsia="仿宋_GB2312"/>
          <w:sz w:val="32"/>
          <w:szCs w:val="32"/>
        </w:rPr>
        <w:t>。</w:t>
      </w:r>
    </w:p>
    <w:p>
      <w:pPr>
        <w:pStyle w:val="4"/>
        <w:spacing w:before="0" w:beforeAutospacing="0" w:after="0" w:afterAutospacing="0"/>
        <w:ind w:firstLine="640" w:firstLineChars="200"/>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、其他重要事项说明</w:t>
      </w:r>
    </w:p>
    <w:p>
      <w:pPr>
        <w:ind w:firstLine="640" w:firstLineChars="200"/>
        <w:rPr>
          <w:rFonts w:ascii="仿宋_GB2312" w:eastAsia="仿宋_GB2312"/>
          <w:sz w:val="32"/>
          <w:szCs w:val="32"/>
        </w:rPr>
      </w:pPr>
      <w:r>
        <w:rPr>
          <w:rFonts w:hint="eastAsia" w:ascii="仿宋_GB2312" w:eastAsia="仿宋_GB2312"/>
          <w:sz w:val="32"/>
          <w:szCs w:val="32"/>
        </w:rPr>
        <w:t>（一）机关运行经费说明</w:t>
      </w:r>
    </w:p>
    <w:tbl>
      <w:tblPr>
        <w:tblStyle w:val="7"/>
        <w:tblW w:w="7918" w:type="dxa"/>
        <w:tblInd w:w="0" w:type="dxa"/>
        <w:tblLayout w:type="fixed"/>
        <w:tblCellMar>
          <w:top w:w="15" w:type="dxa"/>
          <w:left w:w="15" w:type="dxa"/>
          <w:bottom w:w="15" w:type="dxa"/>
          <w:right w:w="15" w:type="dxa"/>
        </w:tblCellMar>
      </w:tblPr>
      <w:tblGrid>
        <w:gridCol w:w="2655"/>
        <w:gridCol w:w="2205"/>
        <w:gridCol w:w="3058"/>
      </w:tblGrid>
      <w:tr>
        <w:tblPrEx>
          <w:tblLayout w:type="fixed"/>
          <w:tblCellMar>
            <w:top w:w="15" w:type="dxa"/>
            <w:left w:w="15" w:type="dxa"/>
            <w:bottom w:w="15" w:type="dxa"/>
            <w:right w:w="15" w:type="dxa"/>
          </w:tblCellMar>
        </w:tblPrEx>
        <w:trPr>
          <w:trHeight w:val="39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办公费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 xml:space="preserve">126.76 </w:t>
            </w:r>
          </w:p>
        </w:tc>
      </w:tr>
      <w:tr>
        <w:tblPrEx>
          <w:tblLayout w:type="fixed"/>
          <w:tblCellMar>
            <w:top w:w="15" w:type="dxa"/>
            <w:left w:w="15" w:type="dxa"/>
            <w:bottom w:w="15" w:type="dxa"/>
            <w:right w:w="15" w:type="dxa"/>
          </w:tblCellMar>
        </w:tblPrEx>
        <w:trPr>
          <w:trHeight w:val="39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印刷费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 xml:space="preserve">6.58 </w:t>
            </w:r>
          </w:p>
        </w:tc>
      </w:tr>
      <w:tr>
        <w:tblPrEx>
          <w:tblLayout w:type="fixed"/>
          <w:tblCellMar>
            <w:top w:w="15" w:type="dxa"/>
            <w:left w:w="15" w:type="dxa"/>
            <w:bottom w:w="15" w:type="dxa"/>
            <w:right w:w="15" w:type="dxa"/>
          </w:tblCellMar>
        </w:tblPrEx>
        <w:trPr>
          <w:trHeight w:val="39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咨询费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 xml:space="preserve">3.95 </w:t>
            </w:r>
          </w:p>
        </w:tc>
      </w:tr>
      <w:tr>
        <w:tblPrEx>
          <w:tblLayout w:type="fixed"/>
          <w:tblCellMar>
            <w:top w:w="15" w:type="dxa"/>
            <w:left w:w="15" w:type="dxa"/>
            <w:bottom w:w="15" w:type="dxa"/>
            <w:right w:w="15" w:type="dxa"/>
          </w:tblCellMar>
        </w:tblPrEx>
        <w:trPr>
          <w:trHeight w:val="39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手续费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 xml:space="preserve">4.74 </w:t>
            </w:r>
          </w:p>
        </w:tc>
      </w:tr>
      <w:tr>
        <w:tblPrEx>
          <w:tblLayout w:type="fixed"/>
          <w:tblCellMar>
            <w:top w:w="15" w:type="dxa"/>
            <w:left w:w="15" w:type="dxa"/>
            <w:bottom w:w="15" w:type="dxa"/>
            <w:right w:w="15" w:type="dxa"/>
          </w:tblCellMar>
        </w:tblPrEx>
        <w:trPr>
          <w:trHeight w:val="39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水费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 xml:space="preserve">3.95 </w:t>
            </w:r>
          </w:p>
        </w:tc>
      </w:tr>
      <w:tr>
        <w:tblPrEx>
          <w:tblLayout w:type="fixed"/>
          <w:tblCellMar>
            <w:top w:w="15" w:type="dxa"/>
            <w:left w:w="15" w:type="dxa"/>
            <w:bottom w:w="15" w:type="dxa"/>
            <w:right w:w="15" w:type="dxa"/>
          </w:tblCellMar>
        </w:tblPrEx>
        <w:trPr>
          <w:trHeight w:val="39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电费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 xml:space="preserve">7.37 </w:t>
            </w:r>
          </w:p>
        </w:tc>
      </w:tr>
      <w:tr>
        <w:tblPrEx>
          <w:tblLayout w:type="fixed"/>
          <w:tblCellMar>
            <w:top w:w="15" w:type="dxa"/>
            <w:left w:w="15" w:type="dxa"/>
            <w:bottom w:w="15" w:type="dxa"/>
            <w:right w:w="15" w:type="dxa"/>
          </w:tblCellMar>
        </w:tblPrEx>
        <w:trPr>
          <w:trHeight w:val="39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邮电费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 xml:space="preserve">4.74 </w:t>
            </w:r>
          </w:p>
        </w:tc>
      </w:tr>
      <w:tr>
        <w:tblPrEx>
          <w:tblLayout w:type="fixed"/>
          <w:tblCellMar>
            <w:top w:w="15" w:type="dxa"/>
            <w:left w:w="15" w:type="dxa"/>
            <w:bottom w:w="15" w:type="dxa"/>
            <w:right w:w="15" w:type="dxa"/>
          </w:tblCellMar>
        </w:tblPrEx>
        <w:trPr>
          <w:trHeight w:val="39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取暖费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 xml:space="preserve">0.47 </w:t>
            </w:r>
          </w:p>
        </w:tc>
      </w:tr>
      <w:tr>
        <w:tblPrEx>
          <w:tblLayout w:type="fixed"/>
          <w:tblCellMar>
            <w:top w:w="15" w:type="dxa"/>
            <w:left w:w="15" w:type="dxa"/>
            <w:bottom w:w="15" w:type="dxa"/>
            <w:right w:w="15" w:type="dxa"/>
          </w:tblCellMar>
        </w:tblPrEx>
        <w:trPr>
          <w:trHeight w:val="39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物业管理费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 xml:space="preserve">9.08 </w:t>
            </w:r>
          </w:p>
        </w:tc>
      </w:tr>
      <w:tr>
        <w:tblPrEx>
          <w:tblLayout w:type="fixed"/>
          <w:tblCellMar>
            <w:top w:w="15" w:type="dxa"/>
            <w:left w:w="15" w:type="dxa"/>
            <w:bottom w:w="15" w:type="dxa"/>
            <w:right w:w="15" w:type="dxa"/>
          </w:tblCellMar>
        </w:tblPrEx>
        <w:trPr>
          <w:trHeight w:val="39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差旅费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 xml:space="preserve">32.64 </w:t>
            </w:r>
          </w:p>
        </w:tc>
      </w:tr>
      <w:tr>
        <w:tblPrEx>
          <w:tblLayout w:type="fixed"/>
          <w:tblCellMar>
            <w:top w:w="15" w:type="dxa"/>
            <w:left w:w="15" w:type="dxa"/>
            <w:bottom w:w="15" w:type="dxa"/>
            <w:right w:w="15" w:type="dxa"/>
          </w:tblCellMar>
        </w:tblPrEx>
        <w:trPr>
          <w:trHeight w:val="39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维修(护)费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rPr>
            </w:pPr>
          </w:p>
        </w:tc>
      </w:tr>
      <w:tr>
        <w:tblPrEx>
          <w:tblLayout w:type="fixed"/>
          <w:tblCellMar>
            <w:top w:w="15" w:type="dxa"/>
            <w:left w:w="15" w:type="dxa"/>
            <w:bottom w:w="15" w:type="dxa"/>
            <w:right w:w="15" w:type="dxa"/>
          </w:tblCellMar>
        </w:tblPrEx>
        <w:trPr>
          <w:trHeight w:val="39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租赁费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rPr>
            </w:pPr>
          </w:p>
        </w:tc>
      </w:tr>
      <w:tr>
        <w:tblPrEx>
          <w:tblLayout w:type="fixed"/>
          <w:tblCellMar>
            <w:top w:w="15" w:type="dxa"/>
            <w:left w:w="15" w:type="dxa"/>
            <w:bottom w:w="15" w:type="dxa"/>
            <w:right w:w="15" w:type="dxa"/>
          </w:tblCellMar>
        </w:tblPrEx>
        <w:trPr>
          <w:trHeight w:val="39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会议费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 xml:space="preserve">13.16 </w:t>
            </w:r>
          </w:p>
        </w:tc>
      </w:tr>
      <w:tr>
        <w:tblPrEx>
          <w:tblLayout w:type="fixed"/>
          <w:tblCellMar>
            <w:top w:w="15" w:type="dxa"/>
            <w:left w:w="15" w:type="dxa"/>
            <w:bottom w:w="15" w:type="dxa"/>
            <w:right w:w="15" w:type="dxa"/>
          </w:tblCellMar>
        </w:tblPrEx>
        <w:trPr>
          <w:trHeight w:val="39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培训费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 xml:space="preserve">6.58 </w:t>
            </w:r>
          </w:p>
        </w:tc>
      </w:tr>
      <w:tr>
        <w:tblPrEx>
          <w:tblLayout w:type="fixed"/>
          <w:tblCellMar>
            <w:top w:w="15" w:type="dxa"/>
            <w:left w:w="15" w:type="dxa"/>
            <w:bottom w:w="15" w:type="dxa"/>
            <w:right w:w="15" w:type="dxa"/>
          </w:tblCellMar>
        </w:tblPrEx>
        <w:trPr>
          <w:trHeight w:val="39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公务接待费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rPr>
            </w:pPr>
          </w:p>
        </w:tc>
      </w:tr>
      <w:tr>
        <w:tblPrEx>
          <w:tblLayout w:type="fixed"/>
          <w:tblCellMar>
            <w:top w:w="15" w:type="dxa"/>
            <w:left w:w="15" w:type="dxa"/>
            <w:bottom w:w="15" w:type="dxa"/>
            <w:right w:w="15" w:type="dxa"/>
          </w:tblCellMar>
        </w:tblPrEx>
        <w:trPr>
          <w:trHeight w:val="39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Style w:val="10"/>
                <w:rFonts w:hint="default"/>
              </w:rPr>
              <w:t xml:space="preserve"> 专用材料费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rPr>
            </w:pPr>
          </w:p>
        </w:tc>
      </w:tr>
      <w:tr>
        <w:tblPrEx>
          <w:tblLayout w:type="fixed"/>
          <w:tblCellMar>
            <w:top w:w="15" w:type="dxa"/>
            <w:left w:w="15" w:type="dxa"/>
            <w:bottom w:w="15" w:type="dxa"/>
            <w:right w:w="15" w:type="dxa"/>
          </w:tblCellMar>
        </w:tblPrEx>
        <w:trPr>
          <w:trHeight w:val="39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Style w:val="10"/>
                <w:rFonts w:hint="default"/>
              </w:rPr>
              <w:t xml:space="preserve"> 被装购置费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rPr>
            </w:pPr>
          </w:p>
        </w:tc>
      </w:tr>
      <w:tr>
        <w:tblPrEx>
          <w:tblLayout w:type="fixed"/>
          <w:tblCellMar>
            <w:top w:w="15" w:type="dxa"/>
            <w:left w:w="15" w:type="dxa"/>
            <w:bottom w:w="15" w:type="dxa"/>
            <w:right w:w="15" w:type="dxa"/>
          </w:tblCellMar>
        </w:tblPrEx>
        <w:trPr>
          <w:trHeight w:val="39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Style w:val="10"/>
                <w:rFonts w:hint="default"/>
              </w:rPr>
              <w:t xml:space="preserve"> 专用燃料费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rPr>
            </w:pPr>
          </w:p>
        </w:tc>
      </w:tr>
      <w:tr>
        <w:tblPrEx>
          <w:tblLayout w:type="fixed"/>
          <w:tblCellMar>
            <w:top w:w="15" w:type="dxa"/>
            <w:left w:w="15" w:type="dxa"/>
            <w:bottom w:w="15" w:type="dxa"/>
            <w:right w:w="15" w:type="dxa"/>
          </w:tblCellMar>
        </w:tblPrEx>
        <w:trPr>
          <w:trHeight w:val="39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劳务费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rPr>
            </w:pPr>
          </w:p>
        </w:tc>
      </w:tr>
      <w:tr>
        <w:tblPrEx>
          <w:tblLayout w:type="fixed"/>
          <w:tblCellMar>
            <w:top w:w="15" w:type="dxa"/>
            <w:left w:w="15" w:type="dxa"/>
            <w:bottom w:w="15" w:type="dxa"/>
            <w:right w:w="15" w:type="dxa"/>
          </w:tblCellMar>
        </w:tblPrEx>
        <w:trPr>
          <w:trHeight w:val="39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委托业务费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rPr>
            </w:pPr>
          </w:p>
        </w:tc>
      </w:tr>
      <w:tr>
        <w:tblPrEx>
          <w:tblLayout w:type="fixed"/>
          <w:tblCellMar>
            <w:top w:w="15" w:type="dxa"/>
            <w:left w:w="15" w:type="dxa"/>
            <w:bottom w:w="15" w:type="dxa"/>
            <w:right w:w="15" w:type="dxa"/>
          </w:tblCellMar>
        </w:tblPrEx>
        <w:trPr>
          <w:trHeight w:val="39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工会经费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cs="宋体"/>
                <w:color w:val="000000"/>
                <w:sz w:val="24"/>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 xml:space="preserve">2.82 </w:t>
            </w:r>
          </w:p>
        </w:tc>
      </w:tr>
      <w:tr>
        <w:tblPrEx>
          <w:tblLayout w:type="fixed"/>
          <w:tblCellMar>
            <w:top w:w="15" w:type="dxa"/>
            <w:left w:w="15" w:type="dxa"/>
            <w:bottom w:w="15" w:type="dxa"/>
            <w:right w:w="15" w:type="dxa"/>
          </w:tblCellMar>
        </w:tblPrEx>
        <w:trPr>
          <w:trHeight w:val="39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福利费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18"/>
                <w:szCs w:val="18"/>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 xml:space="preserve">7.01 </w:t>
            </w:r>
          </w:p>
        </w:tc>
      </w:tr>
      <w:tr>
        <w:tblPrEx>
          <w:tblLayout w:type="fixed"/>
          <w:tblCellMar>
            <w:top w:w="15" w:type="dxa"/>
            <w:left w:w="15" w:type="dxa"/>
            <w:bottom w:w="15" w:type="dxa"/>
            <w:right w:w="15" w:type="dxa"/>
          </w:tblCellMar>
        </w:tblPrEx>
        <w:trPr>
          <w:trHeight w:val="39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公务用车运行维护费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18"/>
                <w:szCs w:val="18"/>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 xml:space="preserve">14.90 </w:t>
            </w:r>
          </w:p>
        </w:tc>
      </w:tr>
      <w:tr>
        <w:tblPrEx>
          <w:tblLayout w:type="fixed"/>
          <w:tblCellMar>
            <w:top w:w="15" w:type="dxa"/>
            <w:left w:w="15" w:type="dxa"/>
            <w:bottom w:w="15" w:type="dxa"/>
            <w:right w:w="15" w:type="dxa"/>
          </w:tblCellMar>
        </w:tblPrEx>
        <w:trPr>
          <w:trHeight w:val="39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Style w:val="10"/>
                <w:rFonts w:hint="default"/>
              </w:rPr>
              <w:t xml:space="preserve"> 税金及附加费用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18"/>
                <w:szCs w:val="18"/>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9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其他交通费用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18"/>
                <w:szCs w:val="18"/>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18"/>
                <w:szCs w:val="18"/>
              </w:rPr>
            </w:pPr>
          </w:p>
        </w:tc>
      </w:tr>
      <w:tr>
        <w:tblPrEx>
          <w:tblLayout w:type="fixed"/>
          <w:tblCellMar>
            <w:top w:w="15" w:type="dxa"/>
            <w:left w:w="15" w:type="dxa"/>
            <w:bottom w:w="15" w:type="dxa"/>
            <w:right w:w="15" w:type="dxa"/>
          </w:tblCellMar>
        </w:tblPrEx>
        <w:trPr>
          <w:trHeight w:val="390" w:hRule="atLeast"/>
        </w:trPr>
        <w:tc>
          <w:tcPr>
            <w:tcW w:w="26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其他商品和服务支出</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 w:val="18"/>
                <w:szCs w:val="18"/>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rPr>
              <w:t xml:space="preserve">0.13 </w:t>
            </w:r>
          </w:p>
        </w:tc>
      </w:tr>
    </w:tbl>
    <w:p>
      <w:pPr>
        <w:ind w:firstLine="640" w:firstLineChars="200"/>
        <w:rPr>
          <w:rFonts w:ascii="仿宋_GB2312" w:eastAsia="仿宋_GB2312"/>
          <w:sz w:val="32"/>
          <w:szCs w:val="32"/>
        </w:rPr>
      </w:pPr>
      <w:r>
        <w:rPr>
          <w:rFonts w:hint="eastAsia" w:ascii="仿宋_GB2312" w:eastAsia="仿宋_GB2312"/>
          <w:sz w:val="32"/>
          <w:szCs w:val="32"/>
        </w:rPr>
        <w:t>（二）政府采购说明</w:t>
      </w:r>
    </w:p>
    <w:p>
      <w:pPr>
        <w:pStyle w:val="4"/>
        <w:spacing w:before="0" w:beforeAutospacing="0" w:after="0" w:afterAutospacing="0"/>
        <w:ind w:firstLine="640" w:firstLineChars="200"/>
        <w:rPr>
          <w:rFonts w:ascii="仿宋_GB2312" w:eastAsia="仿宋_GB2312"/>
          <w:sz w:val="32"/>
          <w:szCs w:val="32"/>
        </w:rPr>
      </w:pPr>
      <w:r>
        <w:rPr>
          <w:rFonts w:hint="eastAsia" w:ascii="仿宋_GB2312" w:eastAsia="仿宋_GB2312"/>
          <w:sz w:val="32"/>
          <w:szCs w:val="32"/>
        </w:rPr>
        <w:t>无</w:t>
      </w:r>
    </w:p>
    <w:p>
      <w:pPr>
        <w:ind w:left="640"/>
        <w:rPr>
          <w:rFonts w:ascii="仿宋_GB2312" w:eastAsia="仿宋_GB2312"/>
          <w:sz w:val="32"/>
          <w:szCs w:val="32"/>
        </w:rPr>
      </w:pPr>
      <w:r>
        <w:rPr>
          <w:rFonts w:hint="eastAsia" w:ascii="仿宋_GB2312" w:eastAsia="仿宋_GB2312"/>
          <w:sz w:val="32"/>
          <w:szCs w:val="32"/>
        </w:rPr>
        <w:t>（三）重点项目预算绩效目标</w:t>
      </w:r>
    </w:p>
    <w:p>
      <w:pPr>
        <w:ind w:left="640"/>
        <w:rPr>
          <w:rFonts w:ascii="仿宋_GB2312" w:eastAsia="仿宋_GB2312"/>
          <w:sz w:val="32"/>
          <w:szCs w:val="32"/>
        </w:rPr>
      </w:pPr>
      <w:r>
        <w:rPr>
          <w:rFonts w:hint="eastAsia" w:ascii="仿宋_GB2312" w:eastAsia="仿宋_GB2312"/>
          <w:sz w:val="32"/>
          <w:szCs w:val="32"/>
        </w:rPr>
        <w:t>无</w:t>
      </w:r>
    </w:p>
    <w:p>
      <w:pPr>
        <w:numPr>
          <w:ilvl w:val="0"/>
          <w:numId w:val="3"/>
        </w:numPr>
        <w:ind w:left="640"/>
        <w:rPr>
          <w:rFonts w:ascii="仿宋_GB2312" w:eastAsia="仿宋_GB2312"/>
          <w:sz w:val="32"/>
          <w:szCs w:val="32"/>
        </w:rPr>
      </w:pPr>
      <w:r>
        <w:rPr>
          <w:rFonts w:hint="eastAsia" w:ascii="仿宋_GB2312" w:eastAsia="仿宋_GB2312"/>
          <w:sz w:val="32"/>
          <w:szCs w:val="32"/>
        </w:rPr>
        <w:t>国有资产占用情况</w:t>
      </w:r>
    </w:p>
    <w:p>
      <w:pPr>
        <w:rPr>
          <w:rFonts w:ascii="仿宋_GB2312" w:eastAsia="仿宋_GB2312"/>
          <w:sz w:val="32"/>
          <w:szCs w:val="32"/>
        </w:rPr>
      </w:pPr>
      <w:r>
        <w:rPr>
          <w:rFonts w:hint="eastAsia" w:ascii="仿宋_GB2312" w:eastAsia="仿宋_GB2312"/>
          <w:sz w:val="32"/>
          <w:szCs w:val="32"/>
        </w:rPr>
        <w:t xml:space="preserve">    无。</w:t>
      </w:r>
    </w:p>
    <w:p>
      <w:pPr>
        <w:pStyle w:val="4"/>
        <w:spacing w:before="0" w:beforeAutospacing="0" w:after="0" w:afterAutospacing="0"/>
        <w:ind w:firstLine="640" w:firstLineChars="200"/>
        <w:rPr>
          <w:rFonts w:ascii="仿宋_GB2312" w:eastAsia="仿宋_GB2312"/>
          <w:sz w:val="32"/>
          <w:szCs w:val="32"/>
        </w:rPr>
      </w:pPr>
    </w:p>
    <w:p>
      <w:pPr>
        <w:pStyle w:val="4"/>
        <w:spacing w:before="0" w:beforeAutospacing="0" w:after="0" w:afterAutospacing="0"/>
        <w:ind w:firstLine="643" w:firstLineChars="200"/>
        <w:rPr>
          <w:rFonts w:ascii="黑体" w:hAnsi="黑体" w:eastAsia="黑体" w:cs="黑体"/>
          <w:b/>
          <w:bCs/>
          <w:sz w:val="32"/>
          <w:szCs w:val="32"/>
        </w:rPr>
      </w:pPr>
      <w:bookmarkStart w:id="0" w:name="_GoBack"/>
      <w:r>
        <w:rPr>
          <w:rFonts w:hint="eastAsia" w:ascii="黑体" w:hAnsi="黑体" w:eastAsia="黑体" w:cs="黑体"/>
          <w:b/>
          <w:bCs/>
          <w:sz w:val="32"/>
          <w:szCs w:val="32"/>
          <w:lang w:eastAsia="zh-CN"/>
        </w:rPr>
        <w:t>第三部分</w:t>
      </w:r>
      <w:r>
        <w:rPr>
          <w:rFonts w:hint="eastAsia" w:ascii="黑体" w:hAnsi="黑体" w:eastAsia="黑体" w:cs="黑体"/>
          <w:b/>
          <w:bCs/>
          <w:sz w:val="32"/>
          <w:szCs w:val="32"/>
        </w:rPr>
        <w:t>、专业性较强的名词解释</w:t>
      </w:r>
    </w:p>
    <w:bookmarkEnd w:id="0"/>
    <w:p>
      <w:pPr>
        <w:ind w:firstLine="640" w:firstLineChars="200"/>
        <w:rPr>
          <w:rFonts w:ascii="仿宋_GB2312" w:eastAsia="仿宋_GB2312"/>
          <w:sz w:val="32"/>
          <w:szCs w:val="32"/>
        </w:rPr>
      </w:pPr>
      <w:r>
        <w:rPr>
          <w:rFonts w:hint="eastAsia" w:ascii="仿宋_GB2312" w:eastAsia="仿宋_GB2312"/>
          <w:sz w:val="32"/>
          <w:szCs w:val="32"/>
        </w:rPr>
        <w:t>1、财政拨款收入：是指市级财政当年拨付的资金。</w:t>
      </w:r>
    </w:p>
    <w:p>
      <w:pPr>
        <w:ind w:firstLine="640" w:firstLineChars="200"/>
        <w:rPr>
          <w:rFonts w:ascii="仿宋_GB2312" w:eastAsia="仿宋_GB2312"/>
          <w:sz w:val="32"/>
          <w:szCs w:val="32"/>
        </w:rPr>
      </w:pPr>
      <w:r>
        <w:rPr>
          <w:rFonts w:hint="eastAsia" w:ascii="仿宋_GB2312" w:eastAsia="仿宋_GB2312"/>
          <w:sz w:val="32"/>
          <w:szCs w:val="32"/>
        </w:rPr>
        <w:t>2、事业收入：是指事业单位开展专业活动及辅助活动所取 得的收入。</w:t>
      </w:r>
    </w:p>
    <w:p>
      <w:pPr>
        <w:ind w:firstLine="640" w:firstLineChars="200"/>
        <w:rPr>
          <w:rFonts w:ascii="仿宋_GB2312" w:eastAsia="仿宋_GB2312"/>
          <w:sz w:val="32"/>
          <w:szCs w:val="32"/>
        </w:rPr>
      </w:pPr>
      <w:r>
        <w:rPr>
          <w:rFonts w:hint="eastAsia" w:ascii="仿宋_GB2312" w:eastAsia="仿宋_GB2312"/>
          <w:sz w:val="32"/>
          <w:szCs w:val="32"/>
        </w:rPr>
        <w:t xml:space="preserve">3、其他收入：是指部门取得的除“财政拨款”、“事业收入”、“事业单位经营收入”等以外的收入。 </w:t>
      </w:r>
    </w:p>
    <w:p>
      <w:pPr>
        <w:ind w:firstLine="640" w:firstLineChars="200"/>
        <w:rPr>
          <w:rFonts w:ascii="仿宋_GB2312" w:eastAsia="仿宋_GB2312"/>
          <w:sz w:val="32"/>
          <w:szCs w:val="32"/>
        </w:rPr>
      </w:pPr>
      <w:r>
        <w:rPr>
          <w:rFonts w:hint="eastAsia" w:ascii="仿宋_GB2312" w:eastAsia="仿宋_GB2312"/>
          <w:sz w:val="32"/>
          <w:szCs w:val="32"/>
        </w:rPr>
        <w:t>4、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p>
    <w:p>
      <w:pPr>
        <w:ind w:firstLine="640" w:firstLineChars="200"/>
        <w:rPr>
          <w:rFonts w:ascii="仿宋_GB2312" w:eastAsia="仿宋_GB2312"/>
          <w:sz w:val="32"/>
          <w:szCs w:val="32"/>
        </w:rPr>
      </w:pPr>
      <w:r>
        <w:rPr>
          <w:rFonts w:hint="eastAsia" w:ascii="仿宋_GB2312" w:eastAsia="仿宋_GB2312"/>
          <w:sz w:val="32"/>
          <w:szCs w:val="32"/>
        </w:rPr>
        <w:t>5、上年结转和结余：是指以前年度支出预算因客观条件变化未执行完毕、结转到本年度按有关规定继续使用的资金，既包括财政拨款结转和结余，也包括事业收入、经营收入、其他收入的结转和结余。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ascii="仿宋_GB2312" w:eastAsia="仿宋_GB2312"/>
          <w:sz w:val="32"/>
          <w:szCs w:val="32"/>
        </w:rPr>
      </w:pPr>
      <w:r>
        <w:rPr>
          <w:rFonts w:hint="eastAsia" w:ascii="仿宋_GB2312" w:eastAsia="仿宋_GB2312"/>
          <w:sz w:val="32"/>
          <w:szCs w:val="32"/>
        </w:rPr>
        <w:t>6、基本支出：是指为保障机构正常运转、完成日常工作任务所必需的开支，其内容包括人员经费和日常公用经费两部分。</w:t>
      </w:r>
    </w:p>
    <w:p>
      <w:pPr>
        <w:ind w:firstLine="640" w:firstLineChars="200"/>
        <w:rPr>
          <w:rFonts w:ascii="仿宋_GB2312" w:eastAsia="仿宋_GB2312"/>
          <w:sz w:val="32"/>
          <w:szCs w:val="32"/>
        </w:rPr>
      </w:pPr>
      <w:r>
        <w:rPr>
          <w:rFonts w:hint="eastAsia" w:ascii="仿宋_GB2312" w:eastAsia="仿宋_GB2312"/>
          <w:sz w:val="32"/>
          <w:szCs w:val="32"/>
        </w:rPr>
        <w:t>7、项目支出：是指在基本支出之外，为完成特定的行政工作任务或事业发展目标所发生的支出。</w:t>
      </w:r>
    </w:p>
    <w:p>
      <w:pPr>
        <w:ind w:firstLine="640" w:firstLineChars="200"/>
        <w:rPr>
          <w:rFonts w:ascii="仿宋_GB2312" w:eastAsia="仿宋_GB2312"/>
          <w:sz w:val="32"/>
          <w:szCs w:val="32"/>
        </w:rPr>
      </w:pPr>
      <w:r>
        <w:rPr>
          <w:rFonts w:hint="eastAsia" w:ascii="仿宋_GB2312" w:eastAsia="仿宋_GB2312"/>
          <w:sz w:val="32"/>
          <w:szCs w:val="32"/>
        </w:rPr>
        <w:t>8、一般公共服务（类）事务（款）：是指用于保障机构正常运行、开展业务等活动的支出。</w:t>
      </w:r>
    </w:p>
    <w:p>
      <w:pPr>
        <w:ind w:firstLine="640" w:firstLineChars="200"/>
        <w:rPr>
          <w:rFonts w:ascii="仿宋_GB2312" w:eastAsia="仿宋_GB2312"/>
          <w:sz w:val="32"/>
          <w:szCs w:val="32"/>
        </w:rPr>
      </w:pPr>
      <w:r>
        <w:rPr>
          <w:rFonts w:hint="eastAsia" w:ascii="仿宋_GB2312" w:eastAsia="仿宋_GB2312"/>
          <w:sz w:val="32"/>
          <w:szCs w:val="32"/>
        </w:rPr>
        <w:t>（1）行政运行（项）：是指为保障机构正常运转、完成日常工作任务安排的支出。</w:t>
      </w:r>
    </w:p>
    <w:p>
      <w:pPr>
        <w:ind w:firstLine="640" w:firstLineChars="200"/>
        <w:rPr>
          <w:rFonts w:ascii="仿宋_GB2312" w:eastAsia="仿宋_GB2312"/>
          <w:sz w:val="32"/>
          <w:szCs w:val="32"/>
        </w:rPr>
      </w:pPr>
      <w:r>
        <w:rPr>
          <w:rFonts w:hint="eastAsia" w:ascii="仿宋_GB2312" w:eastAsia="仿宋_GB2312"/>
          <w:sz w:val="32"/>
          <w:szCs w:val="32"/>
        </w:rPr>
        <w:t>（2）一般行政管理事务（项）：是指单位的项目支出。</w:t>
      </w:r>
    </w:p>
    <w:p>
      <w:pPr>
        <w:ind w:firstLine="640" w:firstLineChars="200"/>
        <w:rPr>
          <w:rFonts w:ascii="仿宋_GB2312" w:eastAsia="仿宋_GB2312"/>
          <w:sz w:val="32"/>
          <w:szCs w:val="32"/>
        </w:rPr>
      </w:pPr>
      <w:r>
        <w:rPr>
          <w:rFonts w:hint="eastAsia" w:ascii="仿宋_GB2312" w:eastAsia="仿宋_GB2312"/>
          <w:sz w:val="32"/>
          <w:szCs w:val="32"/>
        </w:rPr>
        <w:t>（3）机关服务（项）：是指为单位提供后勤保障服务的机关服务局的支出。</w:t>
      </w:r>
    </w:p>
    <w:p>
      <w:pPr>
        <w:ind w:firstLine="640" w:firstLineChars="200"/>
        <w:rPr>
          <w:rFonts w:ascii="仿宋_GB2312" w:eastAsia="仿宋_GB2312"/>
          <w:sz w:val="32"/>
          <w:szCs w:val="32"/>
        </w:rPr>
      </w:pPr>
      <w:r>
        <w:rPr>
          <w:rFonts w:hint="eastAsia" w:ascii="仿宋_GB2312" w:eastAsia="仿宋_GB2312"/>
          <w:sz w:val="32"/>
          <w:szCs w:val="32"/>
        </w:rPr>
        <w:t>（4）事业运行（项）：是指事业单位用于保障机构正常运转的基本支出。</w:t>
      </w:r>
    </w:p>
    <w:p>
      <w:pPr>
        <w:ind w:firstLine="640" w:firstLineChars="200"/>
        <w:rPr>
          <w:rFonts w:ascii="仿宋_GB2312" w:eastAsia="仿宋_GB2312"/>
          <w:sz w:val="32"/>
          <w:szCs w:val="32"/>
        </w:rPr>
      </w:pPr>
      <w:r>
        <w:rPr>
          <w:rFonts w:hint="eastAsia" w:ascii="仿宋_GB2312" w:eastAsia="仿宋_GB2312"/>
          <w:sz w:val="32"/>
          <w:szCs w:val="32"/>
        </w:rPr>
        <w:t>9、“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rPr>
          <w:rFonts w:ascii="仿宋_GB2312" w:eastAsia="仿宋_GB2312"/>
          <w:sz w:val="32"/>
          <w:szCs w:val="32"/>
        </w:rPr>
      </w:pPr>
      <w:r>
        <w:rPr>
          <w:rFonts w:hint="eastAsia" w:ascii="仿宋_GB2312" w:eastAsia="仿宋_GB2312"/>
          <w:sz w:val="32"/>
          <w:szCs w:val="32"/>
        </w:rPr>
        <w:t>10、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85AC7A"/>
    <w:multiLevelType w:val="singleLevel"/>
    <w:tmpl w:val="B585AC7A"/>
    <w:lvl w:ilvl="0" w:tentative="0">
      <w:start w:val="4"/>
      <w:numFmt w:val="chineseCounting"/>
      <w:suff w:val="nothing"/>
      <w:lvlText w:val="（%1）"/>
      <w:lvlJc w:val="left"/>
      <w:rPr>
        <w:rFonts w:hint="eastAsia"/>
      </w:rPr>
    </w:lvl>
  </w:abstractNum>
  <w:abstractNum w:abstractNumId="1">
    <w:nsid w:val="4662AA8F"/>
    <w:multiLevelType w:val="singleLevel"/>
    <w:tmpl w:val="4662AA8F"/>
    <w:lvl w:ilvl="0" w:tentative="0">
      <w:start w:val="1"/>
      <w:numFmt w:val="chineseCounting"/>
      <w:suff w:val="space"/>
      <w:lvlText w:val="第%1部分"/>
      <w:lvlJc w:val="left"/>
      <w:pPr>
        <w:ind w:left="0" w:firstLine="0"/>
      </w:pPr>
    </w:lvl>
  </w:abstractNum>
  <w:abstractNum w:abstractNumId="2">
    <w:nsid w:val="58366DE8"/>
    <w:multiLevelType w:val="singleLevel"/>
    <w:tmpl w:val="58366DE8"/>
    <w:lvl w:ilvl="0" w:tentative="0">
      <w:start w:val="1"/>
      <w:numFmt w:val="chineseCounting"/>
      <w:suff w:val="nothing"/>
      <w:lvlText w:val="%1、"/>
      <w:lvlJc w:val="left"/>
      <w:pPr>
        <w:ind w:left="555" w:firstLine="0"/>
      </w:pPr>
    </w:lvl>
  </w:abstractNum>
  <w:num w:numId="1">
    <w:abstractNumId w:val="1"/>
    <w:lvlOverride w:ilvl="0">
      <w:startOverride w:val="1"/>
    </w:lvlOverride>
  </w:num>
  <w:num w:numId="2">
    <w:abstractNumId w:val="2"/>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1789F"/>
    <w:rsid w:val="0008416D"/>
    <w:rsid w:val="00434795"/>
    <w:rsid w:val="00537650"/>
    <w:rsid w:val="006549ED"/>
    <w:rsid w:val="006F355A"/>
    <w:rsid w:val="00755988"/>
    <w:rsid w:val="00772586"/>
    <w:rsid w:val="0083385F"/>
    <w:rsid w:val="00845265"/>
    <w:rsid w:val="009C1132"/>
    <w:rsid w:val="00B60910"/>
    <w:rsid w:val="00B76482"/>
    <w:rsid w:val="00BC7A38"/>
    <w:rsid w:val="00C1789F"/>
    <w:rsid w:val="00C96031"/>
    <w:rsid w:val="00CC2C0F"/>
    <w:rsid w:val="098323F4"/>
    <w:rsid w:val="16B37581"/>
    <w:rsid w:val="1EA71B8C"/>
    <w:rsid w:val="3D7B584B"/>
    <w:rsid w:val="55591DB4"/>
    <w:rsid w:val="69C11D4D"/>
    <w:rsid w:val="6C7669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Strong"/>
    <w:qFormat/>
    <w:uiPriority w:val="0"/>
    <w:rPr>
      <w:b/>
      <w:bCs/>
    </w:rPr>
  </w:style>
  <w:style w:type="character" w:customStyle="1" w:styleId="8">
    <w:name w:val="页眉 Char"/>
    <w:basedOn w:val="5"/>
    <w:link w:val="3"/>
    <w:qFormat/>
    <w:uiPriority w:val="99"/>
    <w:rPr>
      <w:sz w:val="18"/>
      <w:szCs w:val="18"/>
    </w:rPr>
  </w:style>
  <w:style w:type="character" w:customStyle="1" w:styleId="9">
    <w:name w:val="页脚 Char"/>
    <w:basedOn w:val="5"/>
    <w:link w:val="2"/>
    <w:uiPriority w:val="99"/>
    <w:rPr>
      <w:sz w:val="18"/>
      <w:szCs w:val="18"/>
    </w:rPr>
  </w:style>
  <w:style w:type="character" w:customStyle="1" w:styleId="10">
    <w:name w:val="font1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540</Words>
  <Characters>3083</Characters>
  <Lines>25</Lines>
  <Paragraphs>7</Paragraphs>
  <TotalTime>0</TotalTime>
  <ScaleCrop>false</ScaleCrop>
  <LinksUpToDate>false</LinksUpToDate>
  <CharactersWithSpaces>3616</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2018-03-28T00:35:00Z</dcterms:created>
  <dc:creator>china</dc:creator>
  <cp:lastModifiedBy>Administrator</cp:lastModifiedBy>
  <dcterms:modified xsi:type="dcterms:W3CDTF">2019-03-04T02:23:02Z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