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cs="Arial" w:asciiTheme="majorEastAsia" w:hAnsiTheme="majorEastAsia" w:eastAsiaTheme="majorEastAsia"/>
          <w:color w:val="000000"/>
          <w:kern w:val="0"/>
          <w:sz w:val="52"/>
          <w:szCs w:val="52"/>
        </w:rPr>
      </w:pPr>
    </w:p>
    <w:p>
      <w:pPr>
        <w:jc w:val="center"/>
        <w:rPr>
          <w:rStyle w:val="7"/>
          <w:rFonts w:hint="eastAsia" w:cs="Arial" w:asciiTheme="majorEastAsia" w:hAnsiTheme="majorEastAsia" w:eastAsiaTheme="majorEastAsia"/>
          <w:color w:val="000000"/>
          <w:kern w:val="0"/>
          <w:sz w:val="52"/>
          <w:szCs w:val="52"/>
        </w:rPr>
      </w:pPr>
    </w:p>
    <w:p>
      <w:pPr>
        <w:jc w:val="center"/>
        <w:rPr>
          <w:rStyle w:val="7"/>
          <w:rFonts w:hint="eastAsia" w:cs="Arial" w:asciiTheme="majorEastAsia" w:hAnsiTheme="majorEastAsia" w:eastAsiaTheme="majorEastAsia"/>
          <w:color w:val="000000"/>
          <w:kern w:val="0"/>
          <w:sz w:val="52"/>
          <w:szCs w:val="52"/>
        </w:rPr>
      </w:pPr>
    </w:p>
    <w:p>
      <w:pPr>
        <w:jc w:val="center"/>
        <w:rPr>
          <w:rStyle w:val="7"/>
          <w:rFonts w:hint="eastAsia" w:cs="Arial" w:asciiTheme="majorEastAsia" w:hAnsiTheme="majorEastAsia" w:eastAsiaTheme="majorEastAsia"/>
          <w:color w:val="000000"/>
          <w:kern w:val="0"/>
          <w:sz w:val="52"/>
          <w:szCs w:val="52"/>
        </w:rPr>
      </w:pPr>
      <w:r>
        <w:rPr>
          <w:rStyle w:val="7"/>
          <w:rFonts w:hint="eastAsia" w:cs="Arial" w:asciiTheme="majorEastAsia" w:hAnsiTheme="majorEastAsia" w:eastAsiaTheme="majorEastAsia"/>
          <w:color w:val="000000"/>
          <w:kern w:val="0"/>
          <w:sz w:val="52"/>
          <w:szCs w:val="52"/>
        </w:rPr>
        <w:t>中国共产党永城市委员会老干部局</w:t>
      </w:r>
      <w:r>
        <w:rPr>
          <w:rStyle w:val="7"/>
          <w:rFonts w:hint="eastAsia" w:cs="Arial" w:asciiTheme="majorEastAsia" w:hAnsiTheme="majorEastAsia" w:eastAsiaTheme="majorEastAsia"/>
          <w:color w:val="000000"/>
          <w:kern w:val="0"/>
          <w:sz w:val="52"/>
          <w:szCs w:val="52"/>
        </w:rPr>
        <w:t>2018年预算基本情况说明</w:t>
      </w:r>
    </w:p>
    <w:p>
      <w:pPr>
        <w:jc w:val="center"/>
        <w:rPr>
          <w:rStyle w:val="7"/>
          <w:rFonts w:hint="eastAsia" w:cs="Arial" w:asciiTheme="majorEastAsia" w:hAnsiTheme="majorEastAsia" w:eastAsiaTheme="majorEastAsia"/>
          <w:color w:val="000000"/>
          <w:kern w:val="0"/>
          <w:sz w:val="52"/>
          <w:szCs w:val="52"/>
        </w:rPr>
      </w:pPr>
    </w:p>
    <w:p>
      <w:pPr>
        <w:jc w:val="center"/>
        <w:rPr>
          <w:rStyle w:val="7"/>
          <w:rFonts w:hint="eastAsia" w:cs="Arial" w:asciiTheme="majorEastAsia" w:hAnsiTheme="majorEastAsia" w:eastAsiaTheme="majorEastAsia"/>
          <w:color w:val="000000"/>
          <w:kern w:val="0"/>
          <w:sz w:val="52"/>
          <w:szCs w:val="52"/>
        </w:rPr>
      </w:pPr>
    </w:p>
    <w:p>
      <w:pPr>
        <w:jc w:val="center"/>
        <w:rPr>
          <w:rStyle w:val="7"/>
          <w:rFonts w:hint="eastAsia" w:cs="Arial" w:asciiTheme="majorEastAsia" w:hAnsiTheme="majorEastAsia" w:eastAsiaTheme="majorEastAsia"/>
          <w:color w:val="000000"/>
          <w:kern w:val="0"/>
          <w:sz w:val="52"/>
          <w:szCs w:val="52"/>
        </w:rPr>
      </w:pPr>
    </w:p>
    <w:p>
      <w:pPr>
        <w:jc w:val="center"/>
        <w:rPr>
          <w:rStyle w:val="7"/>
          <w:rFonts w:hint="eastAsia" w:cs="Arial" w:asciiTheme="majorEastAsia" w:hAnsiTheme="majorEastAsia" w:eastAsiaTheme="majorEastAsia"/>
          <w:color w:val="000000"/>
          <w:kern w:val="0"/>
          <w:sz w:val="52"/>
          <w:szCs w:val="52"/>
        </w:rPr>
      </w:pPr>
    </w:p>
    <w:p>
      <w:pPr>
        <w:jc w:val="center"/>
        <w:rPr>
          <w:rStyle w:val="7"/>
          <w:rFonts w:hint="eastAsia" w:cs="Arial" w:asciiTheme="majorEastAsia" w:hAnsiTheme="majorEastAsia" w:eastAsiaTheme="majorEastAsia"/>
          <w:color w:val="000000"/>
          <w:kern w:val="0"/>
          <w:sz w:val="52"/>
          <w:szCs w:val="52"/>
        </w:rPr>
      </w:pPr>
    </w:p>
    <w:p>
      <w:pPr>
        <w:jc w:val="center"/>
        <w:rPr>
          <w:rStyle w:val="7"/>
          <w:rFonts w:hint="eastAsia" w:cs="Arial" w:asciiTheme="majorEastAsia" w:hAnsiTheme="majorEastAsia" w:eastAsiaTheme="majorEastAsia"/>
          <w:color w:val="000000"/>
          <w:kern w:val="0"/>
          <w:sz w:val="52"/>
          <w:szCs w:val="52"/>
        </w:rPr>
      </w:pPr>
    </w:p>
    <w:p>
      <w:pPr>
        <w:jc w:val="center"/>
        <w:rPr>
          <w:rStyle w:val="7"/>
          <w:rFonts w:hint="eastAsia" w:cs="Arial" w:asciiTheme="majorEastAsia" w:hAnsiTheme="majorEastAsia" w:eastAsiaTheme="majorEastAsia"/>
          <w:color w:val="000000"/>
          <w:kern w:val="0"/>
          <w:sz w:val="52"/>
          <w:szCs w:val="52"/>
          <w:lang w:val="en-US" w:eastAsia="zh-CN"/>
        </w:rPr>
      </w:pPr>
      <w:r>
        <w:rPr>
          <w:rStyle w:val="7"/>
          <w:rFonts w:hint="eastAsia" w:cs="Arial" w:asciiTheme="majorEastAsia" w:hAnsiTheme="majorEastAsia" w:eastAsiaTheme="majorEastAsia"/>
          <w:color w:val="000000"/>
          <w:kern w:val="0"/>
          <w:sz w:val="52"/>
          <w:szCs w:val="52"/>
          <w:lang w:val="en-US" w:eastAsia="zh-CN"/>
        </w:rPr>
        <w:t>2018年1月20日</w:t>
      </w:r>
    </w:p>
    <w:p>
      <w:pPr>
        <w:jc w:val="center"/>
        <w:rPr>
          <w:rStyle w:val="7"/>
          <w:rFonts w:hint="eastAsia" w:cs="Arial" w:asciiTheme="majorEastAsia" w:hAnsiTheme="majorEastAsia" w:eastAsiaTheme="majorEastAsia"/>
          <w:color w:val="000000"/>
          <w:kern w:val="0"/>
          <w:sz w:val="44"/>
          <w:szCs w:val="44"/>
        </w:rPr>
      </w:pPr>
    </w:p>
    <w:p>
      <w:pPr>
        <w:jc w:val="center"/>
        <w:rPr>
          <w:rStyle w:val="7"/>
          <w:rFonts w:hint="eastAsia" w:cs="Arial" w:asciiTheme="majorEastAsia" w:hAnsiTheme="majorEastAsia" w:eastAsiaTheme="majorEastAsia"/>
          <w:color w:val="000000"/>
          <w:kern w:val="0"/>
          <w:sz w:val="44"/>
          <w:szCs w:val="44"/>
        </w:rPr>
      </w:pPr>
    </w:p>
    <w:p>
      <w:pPr>
        <w:jc w:val="center"/>
        <w:rPr>
          <w:rStyle w:val="7"/>
          <w:rFonts w:hint="eastAsia" w:cs="Arial" w:asciiTheme="majorEastAsia" w:hAnsiTheme="majorEastAsia" w:eastAsiaTheme="majorEastAsia"/>
          <w:color w:val="000000"/>
          <w:kern w:val="0"/>
          <w:sz w:val="44"/>
          <w:szCs w:val="44"/>
        </w:rPr>
      </w:pPr>
    </w:p>
    <w:p>
      <w:pPr>
        <w:jc w:val="center"/>
        <w:rPr>
          <w:rStyle w:val="7"/>
          <w:rFonts w:hint="eastAsia" w:cs="Arial" w:asciiTheme="majorEastAsia" w:hAnsiTheme="majorEastAsia" w:eastAsiaTheme="majorEastAsia"/>
          <w:color w:val="000000"/>
          <w:kern w:val="0"/>
          <w:sz w:val="44"/>
          <w:szCs w:val="44"/>
        </w:rPr>
      </w:pPr>
    </w:p>
    <w:p>
      <w:pPr>
        <w:jc w:val="both"/>
        <w:rPr>
          <w:rStyle w:val="7"/>
          <w:rFonts w:hint="eastAsia" w:cs="Arial" w:asciiTheme="majorEastAsia" w:hAnsiTheme="majorEastAsia" w:eastAsiaTheme="majorEastAsia"/>
          <w:color w:val="000000"/>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240" w:leftChars="0"/>
        <w:jc w:val="center"/>
        <w:textAlignment w:val="auto"/>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240" w:leftChars="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中国共产党永城市委员会老干部局单位概况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一、部门机构设置、职能、年度工作任务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中国共产党永城市委员会老干部局2018年度部门预算情况说明</w:t>
      </w:r>
    </w:p>
    <w:p>
      <w:pPr>
        <w:pStyle w:val="5"/>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5"/>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5"/>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附件：中国共产党永城市委员会老干部局2018年度部门预算表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部门收入总体情况表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部门支出总体情况表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一般公共预算基本支出经济分类情况表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财政拨款支出情况表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政府性基金支出情况表</w:t>
      </w: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ind w:left="555" w:leftChars="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jc w:val="center"/>
        <w:rPr>
          <w:rFonts w:ascii="方正小标宋简体" w:eastAsia="方正小标宋简体"/>
          <w:b/>
          <w:sz w:val="36"/>
          <w:szCs w:val="36"/>
        </w:rPr>
      </w:pPr>
      <w:r>
        <w:rPr>
          <w:rFonts w:hint="eastAsia" w:ascii="Arial" w:hAnsi="Arial" w:eastAsia="方正小标宋简体" w:cs="Arial"/>
          <w:b/>
          <w:sz w:val="36"/>
          <w:szCs w:val="36"/>
        </w:rPr>
        <w:t>中国共产党永城市委员会老干部局</w:t>
      </w:r>
      <w:r>
        <w:rPr>
          <w:rFonts w:hint="eastAsia" w:ascii="方正小标宋简体" w:eastAsia="方正小标宋简体"/>
          <w:b/>
          <w:sz w:val="36"/>
          <w:szCs w:val="36"/>
        </w:rPr>
        <w:t>2018年</w:t>
      </w:r>
    </w:p>
    <w:p>
      <w:pPr>
        <w:jc w:val="center"/>
        <w:rPr>
          <w:rFonts w:ascii="方正小标宋简体" w:eastAsia="方正小标宋简体"/>
          <w:b/>
          <w:sz w:val="36"/>
          <w:szCs w:val="36"/>
        </w:rPr>
      </w:pPr>
      <w:r>
        <w:rPr>
          <w:rFonts w:hint="eastAsia" w:ascii="方正小标宋简体" w:eastAsia="方正小标宋简体"/>
          <w:b/>
          <w:sz w:val="36"/>
          <w:szCs w:val="36"/>
        </w:rPr>
        <w:t>预算基本情况说明</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720" w:lineRule="auto"/>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中国共产党永城市委员会老干部局单位概况</w:t>
      </w: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left"/>
        <w:textAlignment w:val="auto"/>
        <w:rPr>
          <w:rFonts w:eastAsia="黑体"/>
          <w:color w:val="000000"/>
          <w:sz w:val="32"/>
          <w:szCs w:val="32"/>
        </w:rPr>
      </w:pPr>
      <w:r>
        <w:rPr>
          <w:rFonts w:eastAsia="黑体"/>
          <w:color w:val="000000"/>
          <w:sz w:val="32"/>
          <w:szCs w:val="32"/>
        </w:rPr>
        <w:t>一、</w:t>
      </w:r>
      <w:r>
        <w:rPr>
          <w:rFonts w:hint="eastAsia" w:eastAsia="黑体"/>
          <w:color w:val="000000"/>
          <w:sz w:val="32"/>
          <w:szCs w:val="32"/>
        </w:rPr>
        <w:t>永城市老干部局</w:t>
      </w:r>
      <w:r>
        <w:rPr>
          <w:rFonts w:eastAsia="黑体"/>
          <w:color w:val="000000"/>
          <w:sz w:val="32"/>
          <w:szCs w:val="32"/>
        </w:rPr>
        <w:t>基本情况</w:t>
      </w:r>
    </w:p>
    <w:p>
      <w:pPr>
        <w:ind w:firstLine="640" w:firstLineChars="200"/>
        <w:jc w:val="left"/>
        <w:rPr>
          <w:rFonts w:ascii="方正小标宋简体" w:hAnsi="仿宋" w:eastAsia="方正小标宋简体"/>
          <w:sz w:val="44"/>
          <w:szCs w:val="44"/>
        </w:rPr>
      </w:pPr>
      <w:r>
        <w:rPr>
          <w:rFonts w:hint="eastAsia" w:eastAsia="仿宋_GB2312"/>
          <w:color w:val="000000"/>
          <w:sz w:val="32"/>
          <w:szCs w:val="32"/>
        </w:rPr>
        <w:t>市老干部局内设办公室、活动中心、关工委、老年大学、干休所，老体委，老年书画院，为全额财政预算单位。单位实际人数，</w:t>
      </w:r>
      <w:r>
        <w:rPr>
          <w:rFonts w:hint="eastAsia" w:ascii="仿宋" w:hAnsi="仿宋" w:eastAsia="仿宋"/>
          <w:sz w:val="32"/>
          <w:szCs w:val="32"/>
        </w:rPr>
        <w:t>行政编制5名，参公及工勤编制17个，现在职人员25人，退休人员12人，离休人员5人，遗属10人。</w:t>
      </w:r>
    </w:p>
    <w:p>
      <w:pPr>
        <w:pStyle w:val="2"/>
        <w:adjustRightInd w:val="0"/>
        <w:snapToGrid w:val="0"/>
        <w:spacing w:line="600" w:lineRule="exact"/>
        <w:ind w:firstLine="560"/>
        <w:rPr>
          <w:rFonts w:ascii="仿宋" w:hAnsi="仿宋" w:eastAsia="仿宋"/>
          <w:color w:val="000000"/>
          <w:sz w:val="32"/>
          <w:szCs w:val="32"/>
        </w:rPr>
      </w:pPr>
      <w:r>
        <w:rPr>
          <w:rFonts w:hint="eastAsia" w:ascii="仿宋" w:hAnsi="仿宋" w:eastAsia="仿宋"/>
          <w:color w:val="000000"/>
          <w:sz w:val="32"/>
          <w:szCs w:val="32"/>
        </w:rPr>
        <w:t>1、认真贯彻中央、省、市委、政府关于老干部工作的方针政策规定，指导全市老干部工作，研究提出老干部工作的有关政策意见，报市委、市政府决策。</w:t>
      </w:r>
    </w:p>
    <w:p>
      <w:pPr>
        <w:pStyle w:val="2"/>
        <w:adjustRightInd w:val="0"/>
        <w:snapToGrid w:val="0"/>
        <w:spacing w:line="600" w:lineRule="exact"/>
        <w:ind w:firstLine="560"/>
        <w:rPr>
          <w:rFonts w:ascii="仿宋" w:hAnsi="仿宋" w:eastAsia="仿宋"/>
          <w:color w:val="000000"/>
          <w:sz w:val="32"/>
          <w:szCs w:val="32"/>
        </w:rPr>
      </w:pPr>
      <w:r>
        <w:rPr>
          <w:rFonts w:hint="eastAsia" w:ascii="仿宋" w:hAnsi="仿宋" w:eastAsia="仿宋"/>
          <w:color w:val="000000"/>
          <w:sz w:val="32"/>
          <w:szCs w:val="32"/>
        </w:rPr>
        <w:t>2、指导全市老干部的安置管理服务工作，协同有关部门解决老干部和老干部工作中出现的突出矛盾和问题，检查督促老干部政治生活待遇的落实。</w:t>
      </w:r>
    </w:p>
    <w:p>
      <w:pPr>
        <w:pStyle w:val="2"/>
        <w:adjustRightInd w:val="0"/>
        <w:snapToGrid w:val="0"/>
        <w:spacing w:line="600" w:lineRule="exact"/>
        <w:ind w:firstLine="560"/>
        <w:rPr>
          <w:rFonts w:ascii="仿宋" w:hAnsi="仿宋" w:eastAsia="仿宋"/>
          <w:color w:val="000000"/>
          <w:sz w:val="32"/>
          <w:szCs w:val="32"/>
        </w:rPr>
      </w:pPr>
      <w:r>
        <w:rPr>
          <w:rFonts w:hint="eastAsia" w:ascii="仿宋" w:hAnsi="仿宋" w:eastAsia="仿宋"/>
          <w:color w:val="000000"/>
          <w:sz w:val="32"/>
          <w:szCs w:val="32"/>
        </w:rPr>
        <w:t>3、会同组织部门调查、研究、指导老干部党支部建设，组织老干部在“三大文明”建设中发挥作用，做好老干部的思想政治工作，开展各种健康有益的文化体育活动，丰富老干部晚年生活。</w:t>
      </w:r>
    </w:p>
    <w:p>
      <w:pPr>
        <w:pStyle w:val="2"/>
        <w:adjustRightInd w:val="0"/>
        <w:snapToGrid w:val="0"/>
        <w:spacing w:line="600" w:lineRule="exact"/>
        <w:ind w:firstLine="560"/>
        <w:rPr>
          <w:rFonts w:ascii="仿宋" w:hAnsi="仿宋" w:eastAsia="仿宋"/>
          <w:color w:val="000000"/>
          <w:sz w:val="32"/>
          <w:szCs w:val="32"/>
        </w:rPr>
      </w:pPr>
      <w:r>
        <w:rPr>
          <w:rFonts w:hint="eastAsia" w:ascii="仿宋" w:hAnsi="仿宋" w:eastAsia="仿宋"/>
          <w:color w:val="000000"/>
          <w:sz w:val="32"/>
          <w:szCs w:val="32"/>
        </w:rPr>
        <w:t>4、重大节日组织安排慰问老干部，适时安排老干部参观考察、健康休养。生病看望老干部。</w:t>
      </w:r>
    </w:p>
    <w:p>
      <w:pPr>
        <w:pStyle w:val="2"/>
        <w:adjustRightInd w:val="0"/>
        <w:snapToGrid w:val="0"/>
        <w:spacing w:line="600" w:lineRule="exact"/>
        <w:ind w:firstLine="560"/>
        <w:rPr>
          <w:rFonts w:ascii="仿宋" w:hAnsi="仿宋" w:eastAsia="仿宋"/>
          <w:color w:val="000000"/>
          <w:sz w:val="32"/>
          <w:szCs w:val="32"/>
        </w:rPr>
      </w:pPr>
      <w:r>
        <w:rPr>
          <w:rFonts w:hint="eastAsia" w:ascii="仿宋" w:hAnsi="仿宋" w:eastAsia="仿宋"/>
          <w:color w:val="000000"/>
          <w:sz w:val="32"/>
          <w:szCs w:val="32"/>
        </w:rPr>
        <w:t>5、协调处理老干部丧事，了解反映老干部遗属的有关情况。</w:t>
      </w:r>
    </w:p>
    <w:p>
      <w:pPr>
        <w:pStyle w:val="2"/>
        <w:adjustRightInd w:val="0"/>
        <w:snapToGrid w:val="0"/>
        <w:spacing w:line="600" w:lineRule="exact"/>
        <w:ind w:firstLine="560"/>
        <w:rPr>
          <w:rFonts w:ascii="仿宋" w:hAnsi="仿宋" w:eastAsia="仿宋"/>
          <w:color w:val="000000"/>
          <w:sz w:val="32"/>
          <w:szCs w:val="32"/>
        </w:rPr>
      </w:pPr>
      <w:r>
        <w:rPr>
          <w:rFonts w:hint="eastAsia" w:ascii="仿宋" w:hAnsi="仿宋" w:eastAsia="仿宋"/>
          <w:color w:val="000000"/>
          <w:sz w:val="32"/>
          <w:szCs w:val="32"/>
        </w:rPr>
        <w:t>6、负责市外老干部来永参观、考察和老红军探亲的接待工作。</w:t>
      </w:r>
    </w:p>
    <w:p>
      <w:pPr>
        <w:pStyle w:val="2"/>
        <w:adjustRightInd w:val="0"/>
        <w:snapToGrid w:val="0"/>
        <w:spacing w:line="600" w:lineRule="exact"/>
        <w:ind w:firstLine="720" w:firstLineChars="225"/>
        <w:rPr>
          <w:rFonts w:ascii="仿宋" w:hAnsi="仿宋" w:eastAsia="仿宋"/>
          <w:color w:val="000000"/>
          <w:sz w:val="32"/>
          <w:szCs w:val="32"/>
        </w:rPr>
      </w:pPr>
      <w:r>
        <w:rPr>
          <w:rFonts w:hint="eastAsia" w:ascii="仿宋" w:hAnsi="仿宋" w:eastAsia="仿宋"/>
          <w:color w:val="000000"/>
          <w:sz w:val="32"/>
          <w:szCs w:val="32"/>
        </w:rPr>
        <w:t>7、做好关心下一代、老年人文化体育、老干部大学、老干部活动中心、老干部休养所、老年诗词书画等方面的工作。</w:t>
      </w:r>
    </w:p>
    <w:p>
      <w:pPr>
        <w:pStyle w:val="2"/>
        <w:adjustRightInd w:val="0"/>
        <w:snapToGrid w:val="0"/>
        <w:spacing w:line="600" w:lineRule="exact"/>
        <w:ind w:firstLine="720" w:firstLineChars="225"/>
        <w:rPr>
          <w:rFonts w:ascii="仿宋" w:hAnsi="仿宋" w:eastAsia="仿宋"/>
          <w:color w:val="000000"/>
          <w:sz w:val="32"/>
          <w:szCs w:val="32"/>
        </w:rPr>
      </w:pPr>
      <w:r>
        <w:rPr>
          <w:rFonts w:hint="eastAsia" w:ascii="仿宋" w:hAnsi="仿宋" w:eastAsia="仿宋"/>
          <w:color w:val="000000"/>
          <w:sz w:val="32"/>
          <w:szCs w:val="32"/>
        </w:rPr>
        <w:t>8、完成市委、市政府交办的工作。</w:t>
      </w:r>
    </w:p>
    <w:p>
      <w:pPr>
        <w:ind w:firstLine="640" w:firstLineChars="200"/>
        <w:rPr>
          <w:rFonts w:ascii="仿宋" w:hAnsi="仿宋" w:eastAsia="仿宋"/>
          <w:sz w:val="32"/>
          <w:szCs w:val="32"/>
        </w:rPr>
      </w:pPr>
      <w:r>
        <w:rPr>
          <w:rFonts w:hint="eastAsia" w:ascii="仿宋" w:hAnsi="仿宋" w:eastAsia="仿宋"/>
          <w:sz w:val="32"/>
          <w:szCs w:val="32"/>
        </w:rPr>
        <w:t>（三）预算年度的工作任务</w:t>
      </w:r>
    </w:p>
    <w:p>
      <w:pPr>
        <w:ind w:firstLine="640" w:firstLineChars="200"/>
        <w:rPr>
          <w:rFonts w:hint="eastAsia" w:ascii="仿宋" w:hAnsi="仿宋" w:eastAsia="仿宋"/>
          <w:sz w:val="32"/>
          <w:szCs w:val="32"/>
        </w:rPr>
      </w:pPr>
      <w:r>
        <w:rPr>
          <w:rFonts w:hint="eastAsia" w:ascii="仿宋" w:hAnsi="仿宋" w:eastAsia="仿宋"/>
          <w:sz w:val="32"/>
          <w:szCs w:val="32"/>
        </w:rPr>
        <w:t>全市离休干部及县处级退休干部服务管理工作，关心下一代、老年文化体育、老干部大学、老干部活动中心、老干部休养所、老年书画、诗词等各项工作，及市委市政府、省委老干部局交办的其它工作任务。</w:t>
      </w:r>
    </w:p>
    <w:p>
      <w:pPr>
        <w:widowControl/>
        <w:spacing w:line="360" w:lineRule="auto"/>
        <w:ind w:firstLine="640" w:firstLineChars="200"/>
        <w:jc w:val="left"/>
        <w:rPr>
          <w:rFonts w:hint="eastAsia" w:ascii="仿宋_GB2312" w:hAnsi="ˎ̥" w:eastAsia="仿宋_GB2312" w:cs="Arial"/>
          <w:color w:val="000000"/>
          <w:kern w:val="0"/>
          <w:sz w:val="32"/>
          <w:szCs w:val="32"/>
          <w:lang w:val="en-US" w:eastAsia="zh-CN" w:bidi="ar-SA"/>
        </w:rPr>
      </w:pPr>
      <w:r>
        <w:rPr>
          <w:rFonts w:hint="eastAsia" w:ascii="仿宋_GB2312" w:hAnsi="ˎ̥" w:eastAsia="仿宋_GB2312" w:cs="Arial"/>
          <w:color w:val="000000"/>
          <w:kern w:val="0"/>
          <w:sz w:val="32"/>
          <w:szCs w:val="32"/>
          <w:lang w:val="en-US" w:eastAsia="zh-CN" w:bidi="ar-SA"/>
        </w:rPr>
        <w:t>（四）部门预算单位构成</w:t>
      </w:r>
    </w:p>
    <w:p>
      <w:pPr>
        <w:widowControl/>
        <w:spacing w:line="36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_GB2312"/>
          <w:color w:val="090909"/>
          <w:kern w:val="0"/>
          <w:sz w:val="32"/>
          <w:szCs w:val="32"/>
          <w:lang w:eastAsia="zh-CN"/>
        </w:rPr>
        <w:t>中国共产党永城市委员会老干部局</w:t>
      </w:r>
      <w:r>
        <w:rPr>
          <w:rFonts w:hint="eastAsia" w:ascii="仿宋" w:hAnsi="仿宋" w:eastAsia="仿宋" w:cs="仿宋_GB2312"/>
          <w:color w:val="090909"/>
          <w:kern w:val="0"/>
          <w:sz w:val="32"/>
          <w:szCs w:val="32"/>
        </w:rPr>
        <w:t>部门预算</w:t>
      </w:r>
      <w:r>
        <w:rPr>
          <w:rFonts w:hint="eastAsia" w:ascii="仿宋" w:hAnsi="仿宋" w:eastAsia="仿宋" w:cs="仿宋"/>
          <w:color w:val="000000"/>
          <w:kern w:val="0"/>
          <w:sz w:val="32"/>
          <w:szCs w:val="32"/>
        </w:rPr>
        <w:t>为</w:t>
      </w:r>
      <w:r>
        <w:rPr>
          <w:rFonts w:hint="eastAsia" w:ascii="仿宋" w:hAnsi="仿宋" w:eastAsia="仿宋" w:cs="仿宋_GB2312"/>
          <w:color w:val="090909"/>
          <w:kern w:val="0"/>
          <w:sz w:val="32"/>
          <w:szCs w:val="32"/>
          <w:lang w:eastAsia="zh-CN"/>
        </w:rPr>
        <w:t>中国共产党永城市委员会老干部局</w:t>
      </w:r>
      <w:r>
        <w:rPr>
          <w:rFonts w:hint="eastAsia" w:ascii="仿宋" w:hAnsi="仿宋" w:eastAsia="仿宋" w:cs="仿宋"/>
          <w:color w:val="000000"/>
          <w:kern w:val="0"/>
          <w:sz w:val="32"/>
          <w:szCs w:val="32"/>
        </w:rPr>
        <w:t>本级预算</w:t>
      </w:r>
      <w:r>
        <w:rPr>
          <w:rFonts w:hint="eastAsia" w:ascii="仿宋" w:hAnsi="仿宋" w:eastAsia="仿宋" w:cs="仿宋"/>
          <w:color w:val="000000"/>
          <w:kern w:val="0"/>
          <w:sz w:val="32"/>
          <w:szCs w:val="32"/>
          <w:lang w:eastAsia="zh-CN"/>
        </w:rPr>
        <w:t>，本单位无二级机构。</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中国共产党永城市委员会老干部局2018年度部门预算情况说明</w:t>
      </w:r>
    </w:p>
    <w:p>
      <w:pPr>
        <w:pStyle w:val="5"/>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5"/>
        <w:spacing w:before="0" w:beforeAutospacing="0" w:after="0" w:afterAutospacing="0"/>
        <w:ind w:left="105" w:leftChars="50" w:firstLine="643" w:firstLineChars="200"/>
        <w:rPr>
          <w:rFonts w:ascii="仿宋_GB2312" w:hAnsi="ˎ̥" w:eastAsia="仿宋_GB2312" w:cs="Arial"/>
          <w:b/>
          <w:color w:val="000000"/>
          <w:sz w:val="32"/>
          <w:szCs w:val="32"/>
        </w:rPr>
      </w:pPr>
      <w:r>
        <w:rPr>
          <w:rFonts w:hint="eastAsia" w:ascii="仿宋_GB2312" w:hAnsi="ˎ̥" w:eastAsia="仿宋_GB2312" w:cs="Arial"/>
          <w:b/>
          <w:color w:val="000000"/>
          <w:sz w:val="32"/>
          <w:szCs w:val="32"/>
        </w:rPr>
        <w:t>（一）部门收入预算总体情况说明</w:t>
      </w:r>
    </w:p>
    <w:p>
      <w:pPr>
        <w:pStyle w:val="5"/>
        <w:spacing w:before="0" w:beforeAutospacing="0" w:after="0" w:afterAutospacing="0"/>
        <w:ind w:left="105" w:leftChars="50" w:firstLine="320" w:firstLineChars="1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w:t>
      </w:r>
      <w:r>
        <w:rPr>
          <w:rFonts w:hint="eastAsia" w:ascii="Arial" w:hAnsi="Arial" w:eastAsia="方正小标宋简体" w:cs="Arial"/>
          <w:sz w:val="36"/>
          <w:szCs w:val="36"/>
        </w:rPr>
        <w:t>371.82</w:t>
      </w:r>
      <w:r>
        <w:rPr>
          <w:rFonts w:hint="eastAsia" w:ascii="仿宋_GB2312" w:hAnsi="ˎ̥" w:eastAsia="仿宋_GB2312" w:cs="Arial"/>
          <w:color w:val="000000"/>
          <w:sz w:val="32"/>
          <w:szCs w:val="32"/>
        </w:rPr>
        <w:t>万元，其中，一般公共预算</w:t>
      </w:r>
      <w:r>
        <w:rPr>
          <w:rFonts w:hint="eastAsia" w:ascii="Arial" w:hAnsi="Arial" w:eastAsia="方正小标宋简体" w:cs="Arial"/>
          <w:sz w:val="36"/>
          <w:szCs w:val="36"/>
        </w:rPr>
        <w:t>371.82</w:t>
      </w:r>
      <w:r>
        <w:rPr>
          <w:rFonts w:hint="eastAsia" w:ascii="仿宋_GB2312" w:hAnsi="ˎ̥" w:eastAsia="仿宋_GB2312" w:cs="Arial"/>
          <w:color w:val="000000"/>
          <w:sz w:val="32"/>
          <w:szCs w:val="32"/>
        </w:rPr>
        <w:t>万元，部门财政性资金结转</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w:t>
      </w:r>
    </w:p>
    <w:p>
      <w:pPr>
        <w:pStyle w:val="5"/>
        <w:spacing w:before="0" w:beforeAutospacing="0" w:after="0" w:afterAutospacing="0"/>
        <w:ind w:left="105" w:leftChars="50" w:firstLine="643" w:firstLineChars="200"/>
        <w:rPr>
          <w:rFonts w:ascii="仿宋_GB2312" w:hAnsi="ˎ̥" w:eastAsia="仿宋_GB2312" w:cs="Arial"/>
          <w:b/>
          <w:color w:val="000000"/>
          <w:sz w:val="32"/>
          <w:szCs w:val="32"/>
        </w:rPr>
      </w:pPr>
      <w:r>
        <w:rPr>
          <w:rFonts w:hint="eastAsia" w:ascii="仿宋_GB2312" w:hAnsi="ˎ̥" w:eastAsia="仿宋_GB2312" w:cs="Arial"/>
          <w:b/>
          <w:color w:val="000000"/>
          <w:sz w:val="32"/>
          <w:szCs w:val="32"/>
        </w:rPr>
        <w:t>（二）部门支出预算总体情况说明</w:t>
      </w:r>
    </w:p>
    <w:p>
      <w:pPr>
        <w:pStyle w:val="5"/>
        <w:spacing w:before="0" w:beforeAutospacing="0" w:after="0" w:afterAutospacing="0"/>
        <w:ind w:left="105" w:leftChars="50" w:firstLine="320" w:firstLineChars="1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w:t>
      </w:r>
      <w:r>
        <w:rPr>
          <w:rFonts w:hint="eastAsia" w:ascii="Arial" w:hAnsi="Arial" w:eastAsia="方正小标宋简体" w:cs="Arial"/>
          <w:sz w:val="36"/>
          <w:szCs w:val="36"/>
        </w:rPr>
        <w:t>371.82</w:t>
      </w:r>
      <w:r>
        <w:rPr>
          <w:rFonts w:hint="eastAsia" w:ascii="仿宋_GB2312" w:hAnsi="ˎ̥" w:eastAsia="仿宋_GB2312" w:cs="Arial"/>
          <w:color w:val="000000"/>
          <w:sz w:val="32"/>
          <w:szCs w:val="32"/>
        </w:rPr>
        <w:t>万元，其中：基本支出</w:t>
      </w:r>
      <w:r>
        <w:rPr>
          <w:rFonts w:hint="eastAsia" w:ascii="Arial" w:hAnsi="Arial" w:eastAsia="方正小标宋简体" w:cs="Arial"/>
          <w:sz w:val="36"/>
          <w:szCs w:val="36"/>
        </w:rPr>
        <w:t>371.82</w:t>
      </w:r>
      <w:r>
        <w:rPr>
          <w:rFonts w:hint="eastAsia" w:ascii="仿宋_GB2312" w:hAnsi="ˎ̥" w:eastAsia="仿宋_GB2312" w:cs="Arial"/>
          <w:color w:val="000000"/>
          <w:sz w:val="32"/>
          <w:szCs w:val="32"/>
        </w:rPr>
        <w:t>万元，；项目支出</w:t>
      </w:r>
      <w:r>
        <w:rPr>
          <w:rFonts w:hint="eastAsia" w:ascii="Arial" w:hAnsi="Arial" w:eastAsia="方正小标宋简体" w:cs="Arial"/>
          <w:sz w:val="36"/>
          <w:szCs w:val="36"/>
        </w:rPr>
        <w:t>103.18</w:t>
      </w:r>
      <w:r>
        <w:rPr>
          <w:rFonts w:hint="eastAsia" w:ascii="仿宋_GB2312" w:hAnsi="ˎ̥" w:eastAsia="仿宋_GB2312" w:cs="Arial"/>
          <w:color w:val="000000"/>
          <w:sz w:val="32"/>
          <w:szCs w:val="32"/>
        </w:rPr>
        <w:t>万元，</w:t>
      </w:r>
    </w:p>
    <w:p>
      <w:pPr>
        <w:pStyle w:val="5"/>
        <w:spacing w:before="0" w:beforeAutospacing="0" w:after="0" w:afterAutospacing="0"/>
        <w:ind w:firstLine="643" w:firstLineChars="200"/>
        <w:rPr>
          <w:rFonts w:ascii="仿宋_GB2312" w:hAnsi="ˎ̥" w:eastAsia="仿宋_GB2312" w:cs="Arial"/>
          <w:color w:val="000000"/>
          <w:sz w:val="32"/>
          <w:szCs w:val="32"/>
        </w:rPr>
      </w:pPr>
      <w:r>
        <w:rPr>
          <w:rStyle w:val="7"/>
          <w:rFonts w:hint="eastAsia" w:ascii="仿宋_GB2312" w:hAnsi="ˎ̥" w:eastAsia="仿宋_GB2312" w:cs="Arial"/>
          <w:color w:val="000000"/>
          <w:sz w:val="32"/>
          <w:szCs w:val="32"/>
        </w:rPr>
        <w:t>（三）财政拨款收入预算情况说明</w:t>
      </w:r>
    </w:p>
    <w:p>
      <w:pPr>
        <w:pStyle w:val="5"/>
        <w:spacing w:before="0" w:beforeAutospacing="0" w:after="0" w:afterAutospacing="0"/>
        <w:ind w:firstLine="320" w:firstLineChars="1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w:t>
      </w:r>
      <w:r>
        <w:rPr>
          <w:rFonts w:hint="eastAsia" w:ascii="Arial" w:hAnsi="Arial" w:eastAsia="方正小标宋简体" w:cs="Arial"/>
          <w:sz w:val="36"/>
          <w:szCs w:val="36"/>
        </w:rPr>
        <w:t>371.82</w:t>
      </w:r>
      <w:r>
        <w:rPr>
          <w:rFonts w:hint="eastAsia" w:ascii="仿宋_GB2312" w:hAnsi="ˎ̥" w:eastAsia="仿宋_GB2312" w:cs="Arial"/>
          <w:color w:val="000000"/>
          <w:sz w:val="32"/>
          <w:szCs w:val="32"/>
        </w:rPr>
        <w:t>万元，其中财政拨款</w:t>
      </w:r>
      <w:r>
        <w:rPr>
          <w:rFonts w:hint="eastAsia" w:ascii="Arial" w:hAnsi="Arial" w:eastAsia="方正小标宋简体" w:cs="Arial"/>
          <w:sz w:val="36"/>
          <w:szCs w:val="36"/>
        </w:rPr>
        <w:t>371.82</w:t>
      </w:r>
      <w:r>
        <w:rPr>
          <w:rFonts w:hint="eastAsia" w:ascii="仿宋_GB2312" w:hAnsi="ˎ̥" w:eastAsia="仿宋_GB2312" w:cs="Arial"/>
          <w:color w:val="000000"/>
          <w:sz w:val="32"/>
          <w:szCs w:val="32"/>
        </w:rPr>
        <w:t>万元，；纳入预算管理的行政事业性收费收入</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万元，比上年增加</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0</w:t>
      </w:r>
      <w:r>
        <w:rPr>
          <w:rFonts w:hint="eastAsia" w:ascii="仿宋_GB2312" w:hAnsi="ˎ̥" w:eastAsia="仿宋_GB2312" w:cs="Arial"/>
          <w:color w:val="000000"/>
          <w:sz w:val="32"/>
          <w:szCs w:val="32"/>
        </w:rPr>
        <w:t>%。</w:t>
      </w:r>
    </w:p>
    <w:p>
      <w:pPr>
        <w:pStyle w:val="5"/>
        <w:spacing w:before="0" w:beforeAutospacing="0" w:after="0" w:afterAutospacing="0"/>
        <w:ind w:firstLine="643" w:firstLineChars="200"/>
        <w:rPr>
          <w:rFonts w:ascii="仿宋_GB2312" w:hAnsi="ˎ̥" w:eastAsia="仿宋_GB2312" w:cs="Arial"/>
          <w:color w:val="000000"/>
          <w:sz w:val="32"/>
          <w:szCs w:val="32"/>
        </w:rPr>
      </w:pPr>
      <w:r>
        <w:rPr>
          <w:rStyle w:val="7"/>
          <w:rFonts w:hint="eastAsia" w:ascii="仿宋_GB2312" w:hAnsi="ˎ̥" w:eastAsia="仿宋_GB2312" w:cs="Arial"/>
          <w:color w:val="000000"/>
          <w:sz w:val="32"/>
          <w:szCs w:val="32"/>
        </w:rPr>
        <w:t>（四）财政拨款支出预算情况说明</w:t>
      </w:r>
    </w:p>
    <w:p>
      <w:pPr>
        <w:pStyle w:val="5"/>
        <w:spacing w:before="0" w:beforeAutospacing="0" w:after="0" w:afterAutospacing="0"/>
        <w:ind w:firstLine="320" w:firstLineChars="1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预算371.82万元，其中财政拨款支出371.82万元，比上年增加25.32万元，增长7.3%，按支出按用途划分为：工资福利支出186.33万元，比上年增加49.03万元，增长26%；商品服务支出25.62万元，比上年增加15.42万元，增长60%；项目支出103.18万元，比上年增加8万元，增长7.7%；对个人和家庭补助56.69万元，比上年减少47.11万元，下降57%，主要变化原因：一是由于我单位完成养老保险改革，原退休费转由劳动局发放，对个人和家庭补助支出减少；同时我局开始执行新工资标准以及住房公积金由对个人和家庭补助支出转入工资福利支出，工资福利支出增加；公车改革完成，因此商品服务支出增加。</w:t>
      </w:r>
    </w:p>
    <w:p>
      <w:pPr>
        <w:pStyle w:val="5"/>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5"/>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黑体" w:hAnsi="黑体" w:eastAsia="黑体"/>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2018年“三公”经费支出预算</w:t>
      </w:r>
      <w:r>
        <w:rPr>
          <w:rFonts w:hint="eastAsia" w:ascii="Arial" w:hAnsi="Arial" w:eastAsia="方正小标宋简体" w:cs="Arial"/>
          <w:sz w:val="36"/>
          <w:szCs w:val="36"/>
        </w:rPr>
        <w:t>0</w:t>
      </w:r>
      <w:r>
        <w:rPr>
          <w:rFonts w:hint="eastAsia" w:ascii="仿宋_GB2312" w:eastAsia="仿宋_GB2312"/>
          <w:sz w:val="32"/>
          <w:szCs w:val="32"/>
        </w:rPr>
        <w:t>万元，与上年持平。其中：因公出国(境)费用</w:t>
      </w:r>
      <w:r>
        <w:rPr>
          <w:rFonts w:hint="eastAsia" w:ascii="Arial" w:hAnsi="Arial" w:eastAsia="方正小标宋简体" w:cs="Arial"/>
          <w:sz w:val="36"/>
          <w:szCs w:val="36"/>
        </w:rPr>
        <w:t>0</w:t>
      </w:r>
      <w:r>
        <w:rPr>
          <w:rFonts w:hint="eastAsia" w:ascii="仿宋_GB2312" w:eastAsia="仿宋_GB2312"/>
          <w:sz w:val="32"/>
          <w:szCs w:val="32"/>
        </w:rPr>
        <w:t>万元，与上年持平；公务接待费</w:t>
      </w:r>
      <w:r>
        <w:rPr>
          <w:rFonts w:hint="eastAsia" w:ascii="Arial" w:hAnsi="Arial" w:eastAsia="方正小标宋简体" w:cs="Arial"/>
          <w:sz w:val="36"/>
          <w:szCs w:val="36"/>
        </w:rPr>
        <w:t>0</w:t>
      </w:r>
      <w:r>
        <w:rPr>
          <w:rFonts w:hint="eastAsia" w:ascii="仿宋_GB2312" w:eastAsia="仿宋_GB2312"/>
          <w:sz w:val="32"/>
          <w:szCs w:val="32"/>
        </w:rPr>
        <w:t>万元与上年持平；公务用车运行维护费</w:t>
      </w:r>
      <w:r>
        <w:rPr>
          <w:rFonts w:hint="eastAsia" w:ascii="Arial" w:hAnsi="Arial" w:eastAsia="方正小标宋简体" w:cs="Arial"/>
          <w:sz w:val="36"/>
          <w:szCs w:val="36"/>
        </w:rPr>
        <w:t>0</w:t>
      </w:r>
      <w:r>
        <w:rPr>
          <w:rFonts w:hint="eastAsia" w:ascii="仿宋_GB2312" w:eastAsia="仿宋_GB2312"/>
          <w:sz w:val="32"/>
          <w:szCs w:val="32"/>
        </w:rPr>
        <w:t>万元，与上年持平；公务用车购置</w:t>
      </w:r>
      <w:r>
        <w:rPr>
          <w:rFonts w:hint="eastAsia" w:ascii="Arial" w:hAnsi="Arial" w:eastAsia="方正小标宋简体" w:cs="Arial"/>
          <w:sz w:val="36"/>
          <w:szCs w:val="36"/>
        </w:rPr>
        <w:t>0</w:t>
      </w:r>
      <w:r>
        <w:rPr>
          <w:rFonts w:hint="eastAsia" w:ascii="仿宋_GB2312" w:eastAsia="仿宋_GB2312"/>
          <w:sz w:val="32"/>
          <w:szCs w:val="32"/>
        </w:rPr>
        <w:t>万元，与上年持平。</w:t>
      </w:r>
      <w:r>
        <w:rPr>
          <w:rFonts w:hint="eastAsia" w:ascii="仿宋_GB2312" w:eastAsia="仿宋_GB2312"/>
          <w:b/>
          <w:sz w:val="32"/>
          <w:szCs w:val="32"/>
        </w:rPr>
        <w:t>主要变化原因：</w:t>
      </w:r>
      <w:r>
        <w:rPr>
          <w:rFonts w:ascii="仿宋_GB2312" w:eastAsia="仿宋_GB2312"/>
          <w:sz w:val="32"/>
          <w:szCs w:val="32"/>
        </w:rPr>
        <w:t>严格执行《党政机关国内公务接待管理规定》等办法，</w:t>
      </w:r>
      <w:r>
        <w:rPr>
          <w:rFonts w:hint="eastAsia" w:ascii="仿宋_GB2312" w:eastAsia="仿宋_GB2312"/>
          <w:sz w:val="32"/>
          <w:szCs w:val="32"/>
        </w:rPr>
        <w:t>坚持</w:t>
      </w:r>
      <w:r>
        <w:rPr>
          <w:rFonts w:ascii="仿宋_GB2312" w:eastAsia="仿宋_GB2312"/>
          <w:sz w:val="32"/>
          <w:szCs w:val="32"/>
        </w:rPr>
        <w:t>厉行勤俭节约，不断压缩公务接待费支出</w:t>
      </w:r>
      <w:r>
        <w:rPr>
          <w:rFonts w:hint="eastAsia" w:ascii="仿宋_GB2312" w:eastAsia="仿宋_GB2312"/>
          <w:sz w:val="32"/>
          <w:szCs w:val="32"/>
        </w:rPr>
        <w:t>;</w:t>
      </w:r>
      <w:r>
        <w:rPr>
          <w:rFonts w:ascii="仿宋_GB2312" w:eastAsia="仿宋_GB2312"/>
          <w:sz w:val="32"/>
          <w:szCs w:val="32"/>
        </w:rPr>
        <w:t xml:space="preserve"> 公车改革实施后，公务用车保有量下降，</w:t>
      </w:r>
      <w:r>
        <w:rPr>
          <w:rFonts w:hint="eastAsia" w:ascii="仿宋_GB2312" w:eastAsia="仿宋_GB2312"/>
          <w:sz w:val="32"/>
          <w:szCs w:val="32"/>
        </w:rPr>
        <w:t>严格公务车辆出行管理，</w:t>
      </w:r>
      <w:r>
        <w:rPr>
          <w:rFonts w:ascii="仿宋_GB2312" w:eastAsia="仿宋_GB2312"/>
          <w:sz w:val="32"/>
          <w:szCs w:val="32"/>
        </w:rPr>
        <w:t>公务用车运行维护费降低</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480" w:firstLineChars="150"/>
        <w:rPr>
          <w:rFonts w:ascii="仿宋_GB2312" w:eastAsia="仿宋_GB2312"/>
          <w:sz w:val="32"/>
          <w:szCs w:val="32"/>
        </w:rPr>
      </w:pPr>
      <w:r>
        <w:rPr>
          <w:rFonts w:hint="eastAsia" w:ascii="仿宋_GB2312" w:eastAsia="仿宋_GB2312"/>
          <w:sz w:val="32"/>
          <w:szCs w:val="32"/>
        </w:rPr>
        <w:t>　(一)机关运行经费支出情况</w:t>
      </w:r>
    </w:p>
    <w:p>
      <w:pPr>
        <w:ind w:firstLine="320" w:firstLineChars="100"/>
        <w:rPr>
          <w:rFonts w:ascii="仿宋_GB2312" w:eastAsia="仿宋_GB2312"/>
          <w:sz w:val="32"/>
          <w:szCs w:val="32"/>
        </w:rPr>
      </w:pPr>
      <w:r>
        <w:rPr>
          <w:rFonts w:hint="eastAsia" w:ascii="仿宋_GB2312" w:eastAsia="仿宋_GB2312"/>
          <w:sz w:val="32"/>
          <w:szCs w:val="32"/>
        </w:rPr>
        <w:t>商品和服务支出25.62万元，其中：办公费6.6万元，取暖费0.13万元，工会经费0.59万元，福利费1.48万元，公务用车补贴14.76万元。</w:t>
      </w:r>
    </w:p>
    <w:p>
      <w:pPr>
        <w:ind w:firstLine="640" w:firstLineChars="200"/>
        <w:rPr>
          <w:rFonts w:ascii="仿宋_GB2312" w:eastAsia="仿宋_GB2312"/>
          <w:sz w:val="32"/>
          <w:szCs w:val="32"/>
        </w:rPr>
      </w:pPr>
      <w:r>
        <w:rPr>
          <w:rFonts w:hint="eastAsia" w:ascii="仿宋_GB2312" w:eastAsia="仿宋_GB2312"/>
          <w:sz w:val="32"/>
          <w:szCs w:val="32"/>
        </w:rPr>
        <w:t>(二)政府采购支出情况：</w:t>
      </w:r>
    </w:p>
    <w:p>
      <w:pPr>
        <w:pStyle w:val="5"/>
        <w:widowControl/>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货物类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服务类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,政府采购工程类0万元</w:t>
      </w:r>
      <w:r>
        <w:rPr>
          <w:rFonts w:hint="eastAsia" w:ascii="仿宋" w:hAnsi="仿宋" w:eastAsia="仿宋" w:cs="仿宋"/>
          <w:color w:val="000000"/>
          <w:sz w:val="32"/>
          <w:szCs w:val="32"/>
        </w:rPr>
        <w:t>。</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重点项目预算绩效目标</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rPr>
        <w:t>无</w:t>
      </w:r>
    </w:p>
    <w:p>
      <w:pPr>
        <w:numPr>
          <w:ilvl w:val="0"/>
          <w:numId w:val="4"/>
        </w:numPr>
        <w:ind w:left="640" w:leftChars="0"/>
        <w:rPr>
          <w:rFonts w:hint="eastAsia" w:ascii="仿宋_GB2312" w:eastAsia="仿宋_GB2312"/>
          <w:sz w:val="32"/>
          <w:szCs w:val="32"/>
          <w:lang w:eastAsia="zh-CN"/>
        </w:rPr>
      </w:pPr>
      <w:r>
        <w:rPr>
          <w:rFonts w:hint="eastAsia" w:ascii="仿宋_GB2312" w:eastAsia="仿宋_GB2312"/>
          <w:sz w:val="32"/>
          <w:szCs w:val="32"/>
          <w:lang w:eastAsia="zh-CN"/>
        </w:rPr>
        <w:t>国有资产占用情况</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无。</w:t>
      </w:r>
    </w:p>
    <w:p>
      <w:pPr>
        <w:spacing w:line="580" w:lineRule="exact"/>
        <w:rPr>
          <w:rFonts w:ascii="黑体" w:hAnsi="黑体" w:eastAsia="黑体"/>
          <w:b/>
          <w:bCs/>
          <w:sz w:val="32"/>
          <w:szCs w:val="32"/>
        </w:rPr>
      </w:pPr>
      <w:r>
        <w:rPr>
          <w:rFonts w:hint="eastAsia" w:ascii="黑体" w:hAnsi="黑体" w:eastAsia="黑体"/>
          <w:b/>
          <w:bCs/>
          <w:sz w:val="32"/>
          <w:szCs w:val="32"/>
          <w:lang w:eastAsia="zh-CN"/>
        </w:rPr>
        <w:t>第三部分</w:t>
      </w:r>
      <w:r>
        <w:rPr>
          <w:rFonts w:hint="eastAsia" w:ascii="黑体" w:hAnsi="黑体" w:eastAsia="黑体"/>
          <w:b/>
          <w:bCs/>
          <w:sz w:val="32"/>
          <w:szCs w:val="32"/>
          <w:lang w:val="en-US" w:eastAsia="zh-CN"/>
        </w:rPr>
        <w:t xml:space="preserve"> </w:t>
      </w:r>
      <w:r>
        <w:rPr>
          <w:rFonts w:hint="eastAsia" w:ascii="黑体" w:hAnsi="黑体" w:eastAsia="黑体"/>
          <w:b/>
          <w:bCs/>
          <w:sz w:val="32"/>
          <w:szCs w:val="32"/>
        </w:rPr>
        <w:t>专业性较强的名词解释</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w:t>
      </w:r>
      <w:r>
        <w:rPr>
          <w:rFonts w:ascii="仿宋_GB2312" w:eastAsia="仿宋_GB2312"/>
          <w:sz w:val="32"/>
          <w:szCs w:val="32"/>
        </w:rPr>
        <w:t xml:space="preserve"> </w:t>
      </w:r>
      <w:r>
        <w:rPr>
          <w:rFonts w:hint="eastAsia" w:ascii="仿宋_GB2312" w:eastAsia="仿宋_GB2312"/>
          <w:sz w:val="32"/>
          <w:szCs w:val="32"/>
        </w:rPr>
        <w:t>得的收入。</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r>
        <w:rPr>
          <w:rFonts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sz w:val="32"/>
          <w:szCs w:val="32"/>
        </w:rPr>
        <w:t xml:space="preserve"> </w:t>
      </w:r>
      <w:r>
        <w:rPr>
          <w:rFonts w:hint="eastAsia" w:ascii="仿宋_GB2312" w:eastAsia="仿宋_GB2312"/>
          <w:sz w:val="32"/>
          <w:szCs w:val="32"/>
        </w:rPr>
        <w:t>支差额的基金）弥补当年收支缺口的资金。</w:t>
      </w:r>
    </w:p>
    <w:p>
      <w:pPr>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spacing w:line="58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spacing w:line="58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spacing w:line="58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8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580" w:lineRule="exact"/>
        <w:ind w:firstLine="640" w:firstLineChars="200"/>
        <w:jc w:val="right"/>
        <w:rPr>
          <w:rFonts w:ascii="仿宋_GB2312" w:hAnsi="仿宋_GB2312" w:eastAsia="仿宋_GB2312" w:cs="仿宋_GB2312"/>
          <w:sz w:val="32"/>
          <w:szCs w:val="32"/>
        </w:rPr>
      </w:pPr>
    </w:p>
    <w:p>
      <w:pPr>
        <w:rPr>
          <w:rFonts w:ascii="仿宋_GB2312" w:eastAsia="仿宋_GB2312"/>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89F"/>
    <w:rsid w:val="00044505"/>
    <w:rsid w:val="00082F9B"/>
    <w:rsid w:val="0008416D"/>
    <w:rsid w:val="000B0EF3"/>
    <w:rsid w:val="000C0E15"/>
    <w:rsid w:val="000F1CC9"/>
    <w:rsid w:val="00175B88"/>
    <w:rsid w:val="001C2347"/>
    <w:rsid w:val="001F6D86"/>
    <w:rsid w:val="002506F3"/>
    <w:rsid w:val="0026744B"/>
    <w:rsid w:val="00272625"/>
    <w:rsid w:val="002943F0"/>
    <w:rsid w:val="002E1ACF"/>
    <w:rsid w:val="00347039"/>
    <w:rsid w:val="0036071B"/>
    <w:rsid w:val="00362E8B"/>
    <w:rsid w:val="003F77E4"/>
    <w:rsid w:val="00454678"/>
    <w:rsid w:val="0046060B"/>
    <w:rsid w:val="0047417A"/>
    <w:rsid w:val="004B6FF2"/>
    <w:rsid w:val="0050354A"/>
    <w:rsid w:val="005038C1"/>
    <w:rsid w:val="00506973"/>
    <w:rsid w:val="00524773"/>
    <w:rsid w:val="00537650"/>
    <w:rsid w:val="005D49E1"/>
    <w:rsid w:val="006549ED"/>
    <w:rsid w:val="00654C1F"/>
    <w:rsid w:val="006F355A"/>
    <w:rsid w:val="007558FA"/>
    <w:rsid w:val="00755988"/>
    <w:rsid w:val="0079257A"/>
    <w:rsid w:val="0083385F"/>
    <w:rsid w:val="008343CE"/>
    <w:rsid w:val="00845265"/>
    <w:rsid w:val="008817C4"/>
    <w:rsid w:val="008B2107"/>
    <w:rsid w:val="009073B0"/>
    <w:rsid w:val="00931012"/>
    <w:rsid w:val="009477D6"/>
    <w:rsid w:val="00976FD5"/>
    <w:rsid w:val="009A2AD5"/>
    <w:rsid w:val="00A30960"/>
    <w:rsid w:val="00A9327F"/>
    <w:rsid w:val="00AB7A4F"/>
    <w:rsid w:val="00AC77F1"/>
    <w:rsid w:val="00AD7C1C"/>
    <w:rsid w:val="00AE454B"/>
    <w:rsid w:val="00AF1D2D"/>
    <w:rsid w:val="00B40B6D"/>
    <w:rsid w:val="00B6076F"/>
    <w:rsid w:val="00B60910"/>
    <w:rsid w:val="00B76482"/>
    <w:rsid w:val="00B8316D"/>
    <w:rsid w:val="00B95161"/>
    <w:rsid w:val="00BA7ECD"/>
    <w:rsid w:val="00BC2B24"/>
    <w:rsid w:val="00BC7A38"/>
    <w:rsid w:val="00C1789F"/>
    <w:rsid w:val="00C80F5C"/>
    <w:rsid w:val="00C84166"/>
    <w:rsid w:val="00C96031"/>
    <w:rsid w:val="00CB7E60"/>
    <w:rsid w:val="00CC2C0F"/>
    <w:rsid w:val="00CF5203"/>
    <w:rsid w:val="00D06639"/>
    <w:rsid w:val="00D3030E"/>
    <w:rsid w:val="00D373B0"/>
    <w:rsid w:val="00D47A5C"/>
    <w:rsid w:val="00D9635A"/>
    <w:rsid w:val="00DD22EF"/>
    <w:rsid w:val="00DF757F"/>
    <w:rsid w:val="00E05054"/>
    <w:rsid w:val="00E37A4D"/>
    <w:rsid w:val="00E440C0"/>
    <w:rsid w:val="00EA51FA"/>
    <w:rsid w:val="00ED64EC"/>
    <w:rsid w:val="00F360F7"/>
    <w:rsid w:val="00FC5C74"/>
    <w:rsid w:val="1D525329"/>
    <w:rsid w:val="3E9D53E6"/>
    <w:rsid w:val="42556D2D"/>
    <w:rsid w:val="555B318D"/>
    <w:rsid w:val="5F6F3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widowControl/>
      <w:jc w:val="left"/>
    </w:pPr>
    <w:rPr>
      <w:rFonts w:ascii="宋体" w:hAnsi="宋体" w:cs="宋体"/>
      <w:kern w:val="0"/>
      <w:sz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正文文本缩进 Char"/>
    <w:basedOn w:val="6"/>
    <w:link w:val="2"/>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372</Words>
  <Characters>2127</Characters>
  <Lines>17</Lines>
  <Paragraphs>4</Paragraphs>
  <TotalTime>0</TotalTime>
  <ScaleCrop>false</ScaleCrop>
  <LinksUpToDate>false</LinksUpToDate>
  <CharactersWithSpaces>2495</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cp:lastPrinted>2018-04-12T02:36:00Z</cp:lastPrinted>
  <dcterms:modified xsi:type="dcterms:W3CDTF">2019-03-01T09:21:16Z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