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ajorEastAsia"/>
          <w:b/>
          <w:bCs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 w:cstheme="majorEastAsia"/>
          <w:b/>
          <w:bCs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 w:cstheme="majorEastAsia"/>
          <w:b/>
          <w:bCs/>
          <w:sz w:val="52"/>
          <w:szCs w:val="52"/>
        </w:rPr>
        <w:t>永城市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残疾人联合会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残疾人联合会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/>
          <w:b/>
          <w:sz w:val="32"/>
          <w:szCs w:val="32"/>
        </w:rPr>
        <w:t>残疾人联合会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/>
          <w:b/>
          <w:sz w:val="32"/>
          <w:szCs w:val="32"/>
        </w:rPr>
        <w:t>残疾人联合会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永城市残疾人联合会2018年预算基本情况说明</w:t>
      </w:r>
    </w:p>
    <w:p>
      <w:pPr>
        <w:numPr>
          <w:numId w:val="0"/>
        </w:numPr>
        <w:spacing w:line="72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残疾人联合会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</w:t>
      </w:r>
    </w:p>
    <w:p>
      <w:pPr>
        <w:tabs>
          <w:tab w:val="left" w:pos="225"/>
        </w:tabs>
        <w:ind w:left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永城市残联是中国残疾人联合会的地方组织，是将残疾人自身代表组织，社会福利团体和事业管理机构融为一体的残疾人事业团体，具有“代表﹑服务﹑管理”职责：代表残疾人共同利益，维护残疾人合法权益；开展各项业务和活动，直接为残疾人服务；承担政府委托的部分行政职能，发展和管理残疾人事业。</w:t>
      </w:r>
    </w:p>
    <w:p>
      <w:pPr>
        <w:numPr>
          <w:ilvl w:val="1"/>
          <w:numId w:val="3"/>
        </w:numPr>
        <w:tabs>
          <w:tab w:val="left" w:pos="22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听取残疾人意见，反映残疾人需求，维护残疾人权益，为残疾人服务。</w:t>
      </w:r>
    </w:p>
    <w:p>
      <w:pPr>
        <w:numPr>
          <w:ilvl w:val="1"/>
          <w:numId w:val="3"/>
        </w:numPr>
        <w:tabs>
          <w:tab w:val="left" w:pos="22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团结﹑教育残疾人遵守法律，履行应尽的义务，发挥乐观进取精神，自尊﹑自信﹑自强﹑自立，为社会主义建设贡献力量。</w:t>
      </w:r>
    </w:p>
    <w:p>
      <w:pPr>
        <w:numPr>
          <w:ilvl w:val="1"/>
          <w:numId w:val="3"/>
        </w:numPr>
        <w:tabs>
          <w:tab w:val="left" w:pos="22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弘扬人道主义，宣传残疾人事业，沟通政府﹑社会与残疾人之间的联系，动员社会理解﹑尊重﹑关心﹑帮助残疾人。</w:t>
      </w:r>
    </w:p>
    <w:p>
      <w:pPr>
        <w:numPr>
          <w:ilvl w:val="1"/>
          <w:numId w:val="3"/>
        </w:numPr>
        <w:tabs>
          <w:tab w:val="left" w:pos="22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开展残疾人康复﹑教育﹑劳动就业﹑扶贫﹑文化﹑体育﹑科研﹑用品供应﹑福利﹑社会服务﹑无障碍设施和残疾人预防等工作，创造良好的环境和条件，扶助残疾人平等参与社会生活。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4"/>
        </w:numPr>
        <w:spacing w:before="0" w:beforeAutospacing="0" w:after="0" w:afterAutospacing="0"/>
        <w:ind w:firstLine="1120" w:firstLineChars="35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机构设置情况（包含二级机构的请写明二级机构的基本情况）</w:t>
      </w:r>
    </w:p>
    <w:p>
      <w:pPr>
        <w:tabs>
          <w:tab w:val="left" w:pos="225"/>
        </w:tabs>
        <w:ind w:left="945" w:leftChars="45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根据永编[2002]73号﹑永编[2012]36号文件规定：永城市残联机关事业编制为7名。其中：理事长1名，副理事长1名，工勤人员编制1名，机关实有7人。市残联的经费实行全额预算管理。隶属事业单位：</w:t>
      </w:r>
    </w:p>
    <w:p>
      <w:pPr>
        <w:numPr>
          <w:ilvl w:val="1"/>
          <w:numId w:val="3"/>
        </w:numPr>
        <w:tabs>
          <w:tab w:val="left" w:pos="22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永城市残疾人就业服务中心，规格相当于正股级，事业编制6名，实有6人，经费实行财政全额拔款。</w:t>
      </w:r>
    </w:p>
    <w:p>
      <w:pPr>
        <w:numPr>
          <w:ilvl w:val="1"/>
          <w:numId w:val="3"/>
        </w:numPr>
        <w:tabs>
          <w:tab w:val="left" w:pos="22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永城市残疾人康复服务中心，规格相当于正股级，事业编制8名，实有8人，经费实行财政全额拔款。</w:t>
      </w:r>
    </w:p>
    <w:p>
      <w:pPr>
        <w:numPr>
          <w:ilvl w:val="1"/>
          <w:numId w:val="3"/>
        </w:numPr>
        <w:tabs>
          <w:tab w:val="left" w:pos="22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永城市残疾人用品用具服务中心，规格相当于股级，编制3名，实有8人，经费实行财政差额补贴。</w:t>
      </w:r>
    </w:p>
    <w:p>
      <w:pPr>
        <w:pStyle w:val="4"/>
        <w:spacing w:before="0" w:beforeAutospacing="0" w:after="0" w:afterAutospacing="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5"/>
        </w:numPr>
        <w:spacing w:before="0" w:beforeAutospacing="0" w:after="0" w:afterAutospacing="0"/>
        <w:ind w:firstLine="1280" w:firstLineChars="4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预算年度的主要工作任务</w:t>
      </w:r>
    </w:p>
    <w:p>
      <w:pPr>
        <w:pStyle w:val="4"/>
        <w:spacing w:before="0" w:beforeAutospacing="0" w:after="0" w:afterAutospacing="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       残疾人证件的审批，下发；重度残疾人的帮扶；精神、智力残疾儿童的康复；重度、贫困残疾人家族的危房改造。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（四）部门预算单位构成</w:t>
      </w:r>
    </w:p>
    <w:p>
      <w:pPr>
        <w:pStyle w:val="4"/>
        <w:spacing w:before="0" w:beforeAutospacing="0" w:after="0" w:afterAutospacing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sz w:val="32"/>
          <w:szCs w:val="32"/>
        </w:rPr>
        <w:t>永城市残疾人联合会部门预算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sz w:val="32"/>
          <w:szCs w:val="32"/>
        </w:rPr>
        <w:t>永城市残疾人联合会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/>
          <w:b/>
          <w:sz w:val="32"/>
          <w:szCs w:val="32"/>
        </w:rPr>
        <w:t>残疾人联合会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2018年收入合计</w:t>
      </w:r>
      <w:r>
        <w:rPr>
          <w:rFonts w:hint="eastAsia" w:ascii="仿宋" w:hAnsi="仿宋" w:eastAsia="仿宋" w:cs="仿宋"/>
          <w:sz w:val="32"/>
          <w:szCs w:val="32"/>
        </w:rPr>
        <w:t>191.67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万元，其中，一般公共预算</w:t>
      </w:r>
      <w:r>
        <w:rPr>
          <w:rFonts w:hint="eastAsia" w:ascii="仿宋" w:hAnsi="仿宋" w:eastAsia="仿宋" w:cs="仿宋"/>
          <w:sz w:val="32"/>
          <w:szCs w:val="32"/>
        </w:rPr>
        <w:t>191.67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万元，部门财政性资金结转0万元。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2018年支出合计</w:t>
      </w:r>
      <w:r>
        <w:rPr>
          <w:rFonts w:hint="eastAsia" w:ascii="仿宋" w:hAnsi="仿宋" w:eastAsia="仿宋" w:cs="仿宋"/>
          <w:sz w:val="32"/>
          <w:szCs w:val="32"/>
        </w:rPr>
        <w:t>191.67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</w:rPr>
        <w:t>179.17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万元，占93.47%；项目支出</w:t>
      </w:r>
      <w:r>
        <w:rPr>
          <w:rFonts w:hint="eastAsia" w:ascii="仿宋" w:hAnsi="仿宋" w:eastAsia="仿宋" w:cs="仿宋"/>
          <w:sz w:val="32"/>
          <w:szCs w:val="32"/>
        </w:rPr>
        <w:t>12.5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</w:rPr>
        <w:t>6.53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2018年收入预算</w:t>
      </w:r>
      <w:r>
        <w:rPr>
          <w:rFonts w:hint="eastAsia" w:ascii="仿宋" w:hAnsi="仿宋" w:eastAsia="仿宋" w:cs="仿宋"/>
          <w:sz w:val="32"/>
          <w:szCs w:val="32"/>
        </w:rPr>
        <w:t>191.67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万元，其中财政拨款</w:t>
      </w:r>
      <w:r>
        <w:rPr>
          <w:rFonts w:hint="eastAsia" w:ascii="仿宋" w:hAnsi="仿宋" w:eastAsia="仿宋" w:cs="仿宋"/>
          <w:sz w:val="32"/>
          <w:szCs w:val="32"/>
        </w:rPr>
        <w:t>191.67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</w:rPr>
        <w:t>36.37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</w:rPr>
        <w:t>18.97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%；纳入预算管理的行政事业性收费收入0万元，比上年增加0万元，增长0%。主要变化原因：政策性人员工资的增加。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2018年支出预算</w:t>
      </w:r>
      <w:r>
        <w:rPr>
          <w:rFonts w:hint="eastAsia" w:ascii="仿宋" w:hAnsi="仿宋" w:eastAsia="仿宋" w:cs="仿宋"/>
          <w:sz w:val="32"/>
          <w:szCs w:val="32"/>
        </w:rPr>
        <w:t>191.67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万元，其中财政拨款支出</w:t>
      </w:r>
      <w:r>
        <w:rPr>
          <w:rFonts w:hint="eastAsia" w:ascii="仿宋" w:hAnsi="仿宋" w:eastAsia="仿宋" w:cs="仿宋"/>
          <w:sz w:val="32"/>
          <w:szCs w:val="32"/>
        </w:rPr>
        <w:t>191.67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</w:rPr>
        <w:t>36.37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</w:rPr>
        <w:t>18.97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%。支出按用途划分为：工资福利支出</w:t>
      </w:r>
      <w:r>
        <w:rPr>
          <w:rFonts w:hint="eastAsia" w:ascii="仿宋" w:hAnsi="仿宋" w:eastAsia="仿宋" w:cs="仿宋"/>
          <w:sz w:val="32"/>
          <w:szCs w:val="32"/>
        </w:rPr>
        <w:t>162.47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</w:rPr>
        <w:t>84.77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%，比上年增加</w:t>
      </w:r>
      <w:r>
        <w:rPr>
          <w:rFonts w:hint="eastAsia" w:ascii="仿宋" w:hAnsi="仿宋" w:eastAsia="仿宋" w:cs="仿宋"/>
          <w:sz w:val="32"/>
          <w:szCs w:val="32"/>
        </w:rPr>
        <w:t>52.87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万元，增长48.24%；对个人和家庭的补助</w:t>
      </w:r>
      <w:r>
        <w:rPr>
          <w:rFonts w:hint="eastAsia" w:ascii="仿宋" w:hAnsi="仿宋" w:eastAsia="仿宋" w:cs="仿宋"/>
          <w:sz w:val="32"/>
          <w:szCs w:val="32"/>
        </w:rPr>
        <w:t>0.09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</w:rPr>
        <w:t>0.04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%，比上年减少20.01万元，减少99.55%；商品服务支出</w:t>
      </w:r>
      <w:r>
        <w:rPr>
          <w:rFonts w:hint="eastAsia" w:ascii="仿宋" w:hAnsi="仿宋" w:eastAsia="仿宋" w:cs="仿宋"/>
          <w:sz w:val="32"/>
          <w:szCs w:val="32"/>
        </w:rPr>
        <w:t>16.61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万元，占总支出的8.67%，比上年增加</w:t>
      </w:r>
      <w:r>
        <w:rPr>
          <w:rFonts w:hint="eastAsia" w:ascii="仿宋" w:hAnsi="仿宋" w:eastAsia="仿宋" w:cs="仿宋"/>
          <w:sz w:val="32"/>
          <w:szCs w:val="32"/>
        </w:rPr>
        <w:t>6.41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万元，增长62.84%；项目支出</w:t>
      </w:r>
      <w:r>
        <w:rPr>
          <w:rFonts w:hint="eastAsia" w:ascii="仿宋" w:hAnsi="仿宋" w:eastAsia="仿宋" w:cs="仿宋"/>
          <w:sz w:val="32"/>
          <w:szCs w:val="32"/>
        </w:rPr>
        <w:t>12.5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</w:rPr>
        <w:t>6.52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%，比上年减少3.0万元，减少19.35%。主要变化原因：工作人员有增加，人员工资情况有增长，导致工资福利支出的数据增加。其他资金支出情况与上年度基本无变化。</w:t>
      </w:r>
    </w:p>
    <w:p>
      <w:pPr>
        <w:pStyle w:val="4"/>
        <w:numPr>
          <w:numId w:val="0"/>
        </w:numPr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政府性基金预算收支预算情况说明</w:t>
      </w:r>
    </w:p>
    <w:p>
      <w:pPr>
        <w:pStyle w:val="4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i/>
          <w:i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“三公”经费支出预算3.8万元，较上年下降5%。其中：因公出国(境)费用0万元，较上年下降或增长0%；公务接待1.0万元，较上年下降16.67%；公务用车运行维护费2.8万元，较上年下降0%；公务用车购置0万元，较上年下降(或增长)0%。</w:t>
      </w:r>
      <w:r>
        <w:rPr>
          <w:rFonts w:hint="eastAsia" w:ascii="仿宋" w:hAnsi="仿宋" w:eastAsia="仿宋" w:cs="仿宋"/>
          <w:b/>
          <w:sz w:val="32"/>
          <w:szCs w:val="32"/>
        </w:rPr>
        <w:t>主要变化原因：</w:t>
      </w:r>
      <w:r>
        <w:rPr>
          <w:rFonts w:hint="eastAsia" w:ascii="仿宋" w:hAnsi="仿宋" w:eastAsia="仿宋" w:cs="仿宋"/>
          <w:bCs/>
          <w:sz w:val="32"/>
          <w:szCs w:val="32"/>
        </w:rPr>
        <w:t>减少公务接待，严控公务车运行，执行公务交通补贴。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(一)机关运行经费支出情况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在2018年的年度工作中，预算办公费支出2.12万元，印刷费支出1.56万元，邮电费支出0.80万元，差旅费支出0.64万元，公务接待费1.0万元，工会经费0.64万元，职工福利费支出1.59万元，公务用车运行维护费2.80万元，公务交通补贴5.46万元。</w:t>
      </w:r>
    </w:p>
    <w:p>
      <w:pPr>
        <w:numPr>
          <w:ilvl w:val="0"/>
          <w:numId w:val="6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7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66EF3C"/>
    <w:multiLevelType w:val="singleLevel"/>
    <w:tmpl w:val="D266EF3C"/>
    <w:lvl w:ilvl="0" w:tentative="0">
      <w:start w:val="2"/>
      <w:numFmt w:val="chineseCounting"/>
      <w:lvlText w:val="(%1)"/>
      <w:lvlJc w:val="left"/>
      <w:pPr>
        <w:tabs>
          <w:tab w:val="left" w:pos="312"/>
        </w:tabs>
        <w:ind w:left="1280" w:firstLine="0"/>
      </w:pPr>
      <w:rPr>
        <w:rFonts w:hint="eastAsia"/>
      </w:rPr>
    </w:lvl>
  </w:abstractNum>
  <w:abstractNum w:abstractNumId="2">
    <w:nsid w:val="F073C9B6"/>
    <w:multiLevelType w:val="singleLevel"/>
    <w:tmpl w:val="F073C9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A592498"/>
    <w:multiLevelType w:val="multilevel"/>
    <w:tmpl w:val="0A592498"/>
    <w:lvl w:ilvl="0" w:tentative="0">
      <w:start w:val="1"/>
      <w:numFmt w:val="japaneseCounting"/>
      <w:lvlText w:val="%1．"/>
      <w:lvlJc w:val="left"/>
      <w:pPr>
        <w:tabs>
          <w:tab w:val="left" w:pos="945"/>
        </w:tabs>
        <w:ind w:left="945" w:hanging="720"/>
      </w:pPr>
      <w:rPr>
        <w:rFonts w:hint="default"/>
        <w:b/>
      </w:rPr>
    </w:lvl>
    <w:lvl w:ilvl="1" w:tentative="0">
      <w:start w:val="1"/>
      <w:numFmt w:val="decimal"/>
      <w:lvlText w:val="%2."/>
      <w:lvlJc w:val="left"/>
      <w:pPr>
        <w:tabs>
          <w:tab w:val="left" w:pos="1530"/>
        </w:tabs>
        <w:ind w:left="1530" w:hanging="88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abstractNum w:abstractNumId="4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  <w:rPr>
        <w:rFonts w:hint="eastAsia"/>
      </w:rPr>
    </w:lvl>
  </w:abstractNum>
  <w:abstractNum w:abstractNumId="6">
    <w:nsid w:val="76D23C92"/>
    <w:multiLevelType w:val="singleLevel"/>
    <w:tmpl w:val="76D23C92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0B1A0C"/>
    <w:rsid w:val="0033700D"/>
    <w:rsid w:val="00537650"/>
    <w:rsid w:val="006549ED"/>
    <w:rsid w:val="006F2B94"/>
    <w:rsid w:val="006F355A"/>
    <w:rsid w:val="00722439"/>
    <w:rsid w:val="00755988"/>
    <w:rsid w:val="0083385F"/>
    <w:rsid w:val="00845265"/>
    <w:rsid w:val="00B60910"/>
    <w:rsid w:val="00B76482"/>
    <w:rsid w:val="00B94961"/>
    <w:rsid w:val="00BC7A38"/>
    <w:rsid w:val="00C1789F"/>
    <w:rsid w:val="00C96031"/>
    <w:rsid w:val="00CC2C0F"/>
    <w:rsid w:val="00E27BAD"/>
    <w:rsid w:val="074E5297"/>
    <w:rsid w:val="0D3544B1"/>
    <w:rsid w:val="19405B07"/>
    <w:rsid w:val="1D9143C6"/>
    <w:rsid w:val="3175097F"/>
    <w:rsid w:val="35C75B22"/>
    <w:rsid w:val="4E6D14F3"/>
    <w:rsid w:val="5182605C"/>
    <w:rsid w:val="557B7F5F"/>
    <w:rsid w:val="68692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452</Words>
  <Characters>2581</Characters>
  <Lines>21</Lines>
  <Paragraphs>6</Paragraphs>
  <TotalTime>0</TotalTime>
  <ScaleCrop>false</ScaleCrop>
  <LinksUpToDate>false</LinksUpToDate>
  <CharactersWithSpaces>3027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2019-03-05T00:04:37Z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