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="Arial" w:hAnsi="Arial" w:eastAsia="方正小标宋简体" w:cs="Arial"/>
          <w:sz w:val="36"/>
          <w:szCs w:val="36"/>
        </w:rPr>
      </w:pPr>
      <w:r>
        <w:rPr>
          <w:rFonts w:hint="eastAsia" w:asciiTheme="minorEastAsia" w:hAnsiTheme="minorEastAsia" w:eastAsiaTheme="minorEastAsia" w:cstheme="majorEastAsia"/>
          <w:b/>
          <w:bCs/>
          <w:sz w:val="52"/>
          <w:szCs w:val="52"/>
        </w:rPr>
        <w:t>永城市</w:t>
      </w:r>
      <w:r>
        <w:rPr>
          <w:rFonts w:hint="eastAsia" w:cs="Arial" w:asciiTheme="majorEastAsia" w:hAnsiTheme="majorEastAsia" w:eastAsiaTheme="majorEastAsia"/>
          <w:b/>
          <w:sz w:val="52"/>
          <w:szCs w:val="52"/>
        </w:rPr>
        <w:t>产业集聚区管理委员会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产业集聚区管理委员会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="Arial"/>
          <w:b/>
          <w:sz w:val="32"/>
          <w:szCs w:val="32"/>
        </w:rPr>
        <w:t>产业集聚区管理委员会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产业集聚区管理委员会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永城市产业集聚区管理委员会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产业集聚区管理委员会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　　(一)部门主要职责和机构设置情况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永城市产业集聚区管理委员会内设6个机构。主要职责是：贯彻执行国家、省有关发展产业集聚区方针政策；编制产业集聚区发展规划和计划，统一规划、组织实施和管理产业集聚区的各项基本设施和公共服务设施；按照国家的产业政策确定产业方向，按照规定权限审批、审核、申报产业集聚区的各类投资项目，组织项目引进、开发；负责产业集聚区内各项经济指标的统计及经济运行分析工作。</w:t>
      </w:r>
    </w:p>
    <w:p>
      <w:pPr>
        <w:widowControl/>
        <w:numPr>
          <w:ilvl w:val="0"/>
          <w:numId w:val="3"/>
        </w:numPr>
        <w:ind w:firstLine="1280" w:firstLineChars="4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预算年度的主要工作任务</w:t>
      </w:r>
    </w:p>
    <w:p>
      <w:pPr>
        <w:widowControl/>
        <w:ind w:firstLine="640"/>
        <w:jc w:val="lef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确保永城市产业集聚区管理委员会的正常运转，完成产业集聚职责范围内的各项工作任务。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（三）部门预算单位构成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永城市产业集聚区管理委员会部门预算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永城市产业集聚区管理委员会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="Arial"/>
          <w:b/>
          <w:sz w:val="32"/>
          <w:szCs w:val="32"/>
        </w:rPr>
        <w:t>产业集聚区管理委员会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widowControl/>
        <w:ind w:firstLine="640" w:firstLineChars="200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、一般公共预算收支预算情况说明</w:t>
      </w:r>
    </w:p>
    <w:p>
      <w:pPr>
        <w:widowControl/>
        <w:ind w:left="105" w:leftChars="50"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　（一）部门收入预算总体情况说明</w:t>
      </w:r>
    </w:p>
    <w:p>
      <w:pPr>
        <w:widowControl/>
        <w:ind w:left="105" w:leftChars="50" w:firstLine="358" w:firstLineChars="112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2018年收入合计278.22万元，其中，一般公共预算278.22万元。</w:t>
      </w:r>
    </w:p>
    <w:p>
      <w:pPr>
        <w:widowControl/>
        <w:ind w:left="105" w:leftChars="50"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（二）部门支出预算总体情况说明</w:t>
      </w:r>
    </w:p>
    <w:p>
      <w:pPr>
        <w:widowControl/>
        <w:ind w:left="105" w:leftChars="50"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2018年支出合计278.22万元，其中：基本支出278.22万元，占100%。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bCs/>
          <w:color w:val="000000"/>
          <w:kern w:val="0"/>
          <w:sz w:val="32"/>
          <w:szCs w:val="32"/>
        </w:rPr>
        <w:t>（三）财政拨款收入预算情况说明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471.92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471.92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193.7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%。主要变化原因：本单位新增非税收入200万元。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b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bCs/>
          <w:color w:val="000000"/>
          <w:kern w:val="0"/>
          <w:sz w:val="32"/>
          <w:szCs w:val="32"/>
        </w:rPr>
        <w:t>（四）财政拨款支出预算情况说明</w:t>
      </w:r>
    </w:p>
    <w:p>
      <w:pPr>
        <w:widowControl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471.92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471.92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193.7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%。支出按用途划分为：工资福利支出205.38万元，占总支出的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44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15.34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7.4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%；对个人和家庭的补助0.11万元，占总支出的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0.2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9.41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万元，下降98%；商品服务支出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66.43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万元，占总支出的14.1%，比上年下降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12.23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万元，下降</w:t>
      </w:r>
      <w:r>
        <w:rPr>
          <w:rFonts w:hint="eastAsia" w:ascii="Arial" w:hAnsi="Arial" w:eastAsia="方正小标宋简体" w:cs="Arial"/>
          <w:kern w:val="0"/>
          <w:sz w:val="36"/>
          <w:szCs w:val="36"/>
        </w:rPr>
        <w:t>9.52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%，项目支出200万元，比上年增长200万元，增长100%。主要变化原因：一是本单位完成养老保险改革，执行新工资标准，同时住房公积金由对个人和家庭补助支出调入到工资福利支出；二是本单位完成养老保险改革，退休人员工资转由社会保险机构发放，因此对个人和家庭补助支出减少人员工资福利支出增加；三是本单位新增非税收入200万元，项目支出随之增加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、政府性基金预算支出决算情况说明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7.5</w:t>
      </w:r>
      <w:r>
        <w:rPr>
          <w:rFonts w:hint="eastAsia" w:ascii="仿宋_GB2312" w:eastAsia="仿宋_GB2312"/>
          <w:sz w:val="32"/>
          <w:szCs w:val="32"/>
        </w:rPr>
        <w:t>万元，较上年保持一致。其中：公务接待费</w:t>
      </w:r>
      <w:r>
        <w:rPr>
          <w:rFonts w:hint="eastAsia" w:ascii="Arial" w:hAnsi="Arial" w:eastAsia="方正小标宋简体" w:cs="Arial"/>
          <w:sz w:val="36"/>
          <w:szCs w:val="36"/>
        </w:rPr>
        <w:t>5</w:t>
      </w:r>
      <w:r>
        <w:rPr>
          <w:rFonts w:hint="eastAsia" w:ascii="仿宋_GB2312" w:eastAsia="仿宋_GB2312"/>
          <w:sz w:val="32"/>
          <w:szCs w:val="32"/>
        </w:rPr>
        <w:t>万元，较上年保持一致；公务用车运行维护费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2.5</w:t>
      </w:r>
      <w:r>
        <w:rPr>
          <w:rFonts w:hint="eastAsia" w:ascii="仿宋_GB2312" w:eastAsia="仿宋_GB2312"/>
          <w:sz w:val="32"/>
          <w:szCs w:val="32"/>
        </w:rPr>
        <w:t>万元，较上年保持一致。“三公经费”主要变化原因: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tbl>
      <w:tblPr>
        <w:tblStyle w:val="7"/>
        <w:tblW w:w="7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办公费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32.00 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咨询费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手续费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水费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3.43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3.43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邮电费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取暖费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物业管理费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差旅费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维修(护)费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租赁费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会议费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培训费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公务接待费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专用材料费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被装购置费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专用燃料费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劳务费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委托业务费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工会经费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0.56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0.56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福利费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公务用车运行维护费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税金及附加费用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其他交通费用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其他商品和服务支出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10.55 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10.55 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2、事业收入：是指事业单位开展专业活动及辅助活动所取 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  <w:rPr>
        <w:rFonts w:hint="eastAsia"/>
      </w:rPr>
    </w:lvl>
  </w:abstractNum>
  <w:abstractNum w:abstractNumId="3">
    <w:nsid w:val="591CEC82"/>
    <w:multiLevelType w:val="singleLevel"/>
    <w:tmpl w:val="591CEC82"/>
    <w:lvl w:ilvl="0" w:tentative="0">
      <w:start w:val="2"/>
      <w:numFmt w:val="chineseCounting"/>
      <w:suff w:val="nothing"/>
      <w:lvlText w:val="(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273BFA"/>
    <w:rsid w:val="00281CF4"/>
    <w:rsid w:val="00477FAA"/>
    <w:rsid w:val="00491747"/>
    <w:rsid w:val="004E5BF0"/>
    <w:rsid w:val="00537650"/>
    <w:rsid w:val="005D3AB4"/>
    <w:rsid w:val="006549ED"/>
    <w:rsid w:val="006F355A"/>
    <w:rsid w:val="00755988"/>
    <w:rsid w:val="00762C76"/>
    <w:rsid w:val="008047F0"/>
    <w:rsid w:val="0083385F"/>
    <w:rsid w:val="00845265"/>
    <w:rsid w:val="00B60910"/>
    <w:rsid w:val="00B76482"/>
    <w:rsid w:val="00BC7A38"/>
    <w:rsid w:val="00C1789F"/>
    <w:rsid w:val="00C62D9F"/>
    <w:rsid w:val="00C8529E"/>
    <w:rsid w:val="00C96031"/>
    <w:rsid w:val="00CA02B8"/>
    <w:rsid w:val="00CA3B88"/>
    <w:rsid w:val="00CC2C0F"/>
    <w:rsid w:val="09A11A94"/>
    <w:rsid w:val="20211132"/>
    <w:rsid w:val="2EA66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431</Words>
  <Characters>2462</Characters>
  <Lines>20</Lines>
  <Paragraphs>5</Paragraphs>
  <TotalTime>0</TotalTime>
  <ScaleCrop>false</ScaleCrop>
  <LinksUpToDate>false</LinksUpToDate>
  <CharactersWithSpaces>2888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2019-03-05T00:02:31Z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