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52"/>
          <w:szCs w:val="52"/>
        </w:rPr>
      </w:pPr>
    </w:p>
    <w:p>
      <w:pPr>
        <w:jc w:val="center"/>
        <w:rPr>
          <w:rFonts w:hint="eastAsia" w:asciiTheme="minorEastAsia" w:hAnsiTheme="minorEastAsia" w:eastAsiaTheme="minorEastAsia"/>
          <w:b/>
          <w:sz w:val="52"/>
          <w:szCs w:val="52"/>
        </w:rPr>
      </w:pPr>
    </w:p>
    <w:p>
      <w:pPr>
        <w:jc w:val="center"/>
        <w:rPr>
          <w:rFonts w:hint="eastAsia" w:asciiTheme="minorEastAsia" w:hAnsiTheme="minorEastAsia" w:eastAsiaTheme="minorEastAsia"/>
          <w:b/>
          <w:sz w:val="52"/>
          <w:szCs w:val="52"/>
        </w:rPr>
      </w:pP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永城市交通运输局</w:t>
      </w:r>
    </w:p>
    <w:p>
      <w:pPr>
        <w:jc w:val="center"/>
        <w:rPr>
          <w:rStyle w:val="6"/>
          <w:rFonts w:hint="eastAsia" w:cs="Arial" w:asciiTheme="majorEastAsia" w:hAnsiTheme="majorEastAsia" w:eastAsiaTheme="majorEastAsia"/>
          <w:color w:val="000000"/>
          <w:kern w:val="0"/>
        </w:rPr>
      </w:pPr>
      <w:r>
        <w:rPr>
          <w:rStyle w:val="6"/>
          <w:rFonts w:hint="eastAsia" w:cs="Arial" w:asciiTheme="majorEastAsia" w:hAnsiTheme="majorEastAsia" w:eastAsiaTheme="majorEastAsia"/>
          <w:color w:val="000000"/>
          <w:kern w:val="0"/>
          <w:sz w:val="52"/>
          <w:szCs w:val="52"/>
        </w:rPr>
        <w:t>2018年预算基本情况说明</w:t>
      </w:r>
    </w:p>
    <w:p>
      <w:pPr>
        <w:jc w:val="center"/>
        <w:rPr>
          <w:rStyle w:val="6"/>
          <w:rFonts w:hint="eastAsia" w:cs="Arial" w:asciiTheme="majorEastAsia" w:hAnsiTheme="majorEastAsia" w:eastAsiaTheme="majorEastAsia"/>
          <w:color w:val="000000"/>
          <w:kern w:val="0"/>
          <w:sz w:val="52"/>
          <w:szCs w:val="52"/>
        </w:rPr>
      </w:pPr>
    </w:p>
    <w:p>
      <w:pPr>
        <w:jc w:val="center"/>
        <w:rPr>
          <w:rStyle w:val="6"/>
          <w:rFonts w:hint="eastAsia" w:cs="Arial" w:asciiTheme="majorEastAsia" w:hAnsiTheme="majorEastAsia" w:eastAsiaTheme="majorEastAsia"/>
          <w:color w:val="000000"/>
          <w:kern w:val="0"/>
          <w:sz w:val="52"/>
          <w:szCs w:val="52"/>
        </w:rPr>
      </w:pPr>
    </w:p>
    <w:p>
      <w:pPr>
        <w:jc w:val="center"/>
        <w:rPr>
          <w:rStyle w:val="6"/>
          <w:rFonts w:hint="eastAsia" w:cs="Arial" w:asciiTheme="majorEastAsia" w:hAnsiTheme="majorEastAsia" w:eastAsiaTheme="majorEastAsia"/>
          <w:color w:val="000000"/>
          <w:kern w:val="0"/>
          <w:sz w:val="52"/>
          <w:szCs w:val="52"/>
        </w:rPr>
      </w:pPr>
    </w:p>
    <w:p>
      <w:pPr>
        <w:jc w:val="center"/>
        <w:rPr>
          <w:rStyle w:val="6"/>
          <w:rFonts w:hint="eastAsia" w:cs="Arial" w:asciiTheme="majorEastAsia" w:hAnsiTheme="majorEastAsia" w:eastAsiaTheme="majorEastAsia"/>
          <w:color w:val="000000"/>
          <w:kern w:val="0"/>
          <w:sz w:val="52"/>
          <w:szCs w:val="52"/>
        </w:rPr>
      </w:pPr>
    </w:p>
    <w:p>
      <w:pPr>
        <w:jc w:val="center"/>
        <w:rPr>
          <w:rStyle w:val="6"/>
          <w:rFonts w:hint="eastAsia" w:cs="Arial" w:asciiTheme="majorEastAsia" w:hAnsiTheme="majorEastAsia" w:eastAsiaTheme="majorEastAsia"/>
          <w:color w:val="000000"/>
          <w:kern w:val="0"/>
          <w:sz w:val="52"/>
          <w:szCs w:val="52"/>
        </w:rPr>
      </w:pPr>
      <w:r>
        <w:rPr>
          <w:rStyle w:val="6"/>
          <w:rFonts w:hint="eastAsia" w:cs="Arial" w:asciiTheme="majorEastAsia" w:hAnsiTheme="majorEastAsia" w:eastAsiaTheme="majorEastAsia"/>
          <w:color w:val="000000"/>
          <w:kern w:val="0"/>
          <w:sz w:val="52"/>
          <w:szCs w:val="52"/>
        </w:rPr>
        <w:t>2018年1月20日</w:t>
      </w: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jc w:val="center"/>
        <w:rPr>
          <w:rStyle w:val="6"/>
          <w:rFonts w:hint="eastAsia" w:cs="Arial" w:asciiTheme="majorEastAsia" w:hAnsiTheme="majorEastAsia" w:eastAsiaTheme="majorEastAsia"/>
          <w:color w:val="000000"/>
          <w:kern w:val="0"/>
          <w:sz w:val="44"/>
          <w:szCs w:val="44"/>
        </w:rPr>
      </w:pPr>
    </w:p>
    <w:p>
      <w:pPr>
        <w:spacing w:line="720" w:lineRule="auto"/>
        <w:ind w:firstLine="3585" w:firstLineChars="744"/>
        <w:rPr>
          <w:rFonts w:hint="eastAsia" w:ascii="黑体" w:hAnsi="黑体" w:eastAsia="黑体" w:cs="黑体"/>
          <w:sz w:val="48"/>
          <w:szCs w:val="48"/>
        </w:rPr>
      </w:pPr>
      <w:r>
        <w:rPr>
          <w:rFonts w:hint="eastAsia" w:ascii="黑体" w:hAnsi="黑体" w:eastAsia="黑体" w:cs="黑体"/>
          <w:b/>
          <w:bCs/>
          <w:sz w:val="48"/>
          <w:szCs w:val="48"/>
        </w:rPr>
        <w:t>目录</w:t>
      </w:r>
    </w:p>
    <w:p>
      <w:pPr>
        <w:numPr>
          <w:ilvl w:val="0"/>
          <w:numId w:val="1"/>
        </w:numPr>
        <w:spacing w:line="720" w:lineRule="auto"/>
        <w:ind w:left="240"/>
        <w:jc w:val="left"/>
        <w:rPr>
          <w:rFonts w:hint="eastAsia" w:ascii="黑体" w:hAnsi="黑体" w:eastAsia="黑体" w:cs="黑体"/>
          <w:b/>
          <w:bCs/>
          <w:sz w:val="32"/>
          <w:szCs w:val="32"/>
        </w:rPr>
      </w:pPr>
      <w:r>
        <w:rPr>
          <w:rFonts w:hint="eastAsia" w:ascii="黑体" w:hAnsi="黑体" w:eastAsia="黑体" w:cs="黑体"/>
          <w:b/>
          <w:bCs/>
          <w:sz w:val="32"/>
          <w:szCs w:val="32"/>
        </w:rPr>
        <w:t>永城市</w:t>
      </w:r>
      <w:r>
        <w:rPr>
          <w:rFonts w:hint="eastAsia" w:ascii="黑体" w:hAnsi="黑体" w:eastAsia="黑体"/>
          <w:b/>
          <w:sz w:val="32"/>
          <w:szCs w:val="32"/>
        </w:rPr>
        <w:t>交通运输局</w:t>
      </w:r>
      <w:r>
        <w:rPr>
          <w:rFonts w:hint="eastAsia" w:ascii="黑体" w:hAnsi="黑体" w:eastAsia="黑体" w:cs="黑体"/>
          <w:b/>
          <w:bCs/>
          <w:sz w:val="32"/>
          <w:szCs w:val="32"/>
        </w:rPr>
        <w:t>单位概况</w:t>
      </w:r>
    </w:p>
    <w:p>
      <w:pPr>
        <w:spacing w:line="720" w:lineRule="auto"/>
        <w:ind w:left="420"/>
        <w:rPr>
          <w:rFonts w:hint="eastAsia" w:ascii="黑体" w:hAnsi="黑体" w:eastAsia="黑体" w:cs="黑体"/>
          <w:sz w:val="32"/>
          <w:szCs w:val="32"/>
        </w:rPr>
      </w:pPr>
      <w:r>
        <w:rPr>
          <w:rFonts w:hint="eastAsia" w:ascii="黑体" w:hAnsi="黑体" w:eastAsia="黑体" w:cs="黑体"/>
          <w:sz w:val="32"/>
          <w:szCs w:val="32"/>
        </w:rPr>
        <w:t>一、部门机构设置、职能、年度工作任务</w:t>
      </w:r>
    </w:p>
    <w:p>
      <w:pPr>
        <w:spacing w:line="720" w:lineRule="auto"/>
        <w:ind w:left="420"/>
        <w:rPr>
          <w:rFonts w:hint="eastAsia" w:ascii="黑体" w:hAnsi="黑体" w:eastAsia="黑体" w:cs="黑体"/>
          <w:sz w:val="32"/>
          <w:szCs w:val="32"/>
        </w:rPr>
      </w:pPr>
      <w:r>
        <w:rPr>
          <w:rFonts w:hint="eastAsia" w:ascii="黑体" w:hAnsi="黑体" w:eastAsia="黑体" w:cs="黑体"/>
          <w:sz w:val="32"/>
          <w:szCs w:val="32"/>
        </w:rPr>
        <w:t>二、部门预算单位构成</w:t>
      </w:r>
    </w:p>
    <w:p>
      <w:pPr>
        <w:spacing w:line="720" w:lineRule="auto"/>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永城市</w:t>
      </w:r>
      <w:r>
        <w:rPr>
          <w:rFonts w:hint="eastAsia" w:ascii="黑体" w:hAnsi="黑体" w:eastAsia="黑体"/>
          <w:b/>
          <w:sz w:val="32"/>
          <w:szCs w:val="32"/>
        </w:rPr>
        <w:t>交通运输局</w:t>
      </w:r>
      <w:r>
        <w:rPr>
          <w:rFonts w:hint="eastAsia" w:ascii="黑体" w:hAnsi="黑体" w:eastAsia="黑体" w:cs="黑体"/>
          <w:b/>
          <w:bCs/>
          <w:sz w:val="32"/>
          <w:szCs w:val="32"/>
        </w:rPr>
        <w:t>2018年度部门预算情况说明</w:t>
      </w:r>
    </w:p>
    <w:p>
      <w:pPr>
        <w:pStyle w:val="4"/>
        <w:keepNext w:val="0"/>
        <w:keepLines w:val="0"/>
        <w:pageBreakBefore w:val="0"/>
        <w:kinsoku/>
        <w:wordWrap/>
        <w:overflowPunct/>
        <w:topLinePunct w:val="0"/>
        <w:autoSpaceDE/>
        <w:autoSpaceDN/>
        <w:bidi w:val="0"/>
        <w:adjustRightInd/>
        <w:snapToGrid/>
        <w:spacing w:before="313" w:beforeLines="100" w:beforeAutospacing="0" w:after="313" w:afterLines="100" w:afterAutospacing="0"/>
        <w:ind w:firstLine="640" w:firstLineChars="200"/>
        <w:textAlignment w:val="auto"/>
        <w:rPr>
          <w:rFonts w:ascii="黑体" w:hAnsi="黑体" w:eastAsia="黑体" w:cs="Arial"/>
          <w:color w:val="000000"/>
          <w:sz w:val="32"/>
          <w:szCs w:val="32"/>
        </w:rPr>
      </w:pPr>
      <w:r>
        <w:rPr>
          <w:rFonts w:hint="eastAsia" w:ascii="黑体" w:hAnsi="黑体" w:eastAsia="黑体" w:cs="Arial"/>
          <w:color w:val="000000"/>
          <w:sz w:val="32"/>
          <w:szCs w:val="32"/>
          <w:lang w:eastAsia="zh-CN"/>
        </w:rPr>
        <w:t>一</w:t>
      </w:r>
      <w:r>
        <w:rPr>
          <w:rFonts w:hint="eastAsia" w:ascii="黑体" w:hAnsi="黑体" w:eastAsia="黑体" w:cs="Arial"/>
          <w:color w:val="000000"/>
          <w:sz w:val="32"/>
          <w:szCs w:val="32"/>
        </w:rPr>
        <w:t>、一般公共预算收支预算情况说明</w:t>
      </w:r>
    </w:p>
    <w:p>
      <w:pPr>
        <w:keepNext w:val="0"/>
        <w:keepLines w:val="0"/>
        <w:pageBreakBefore w:val="0"/>
        <w:kinsoku/>
        <w:wordWrap/>
        <w:overflowPunct/>
        <w:topLinePunct w:val="0"/>
        <w:autoSpaceDE/>
        <w:autoSpaceDN/>
        <w:bidi w:val="0"/>
        <w:adjustRightInd/>
        <w:snapToGrid/>
        <w:spacing w:before="313" w:beforeLines="100" w:after="313" w:afterLines="100"/>
        <w:ind w:firstLine="640" w:firstLineChars="200"/>
        <w:jc w:val="left"/>
        <w:textAlignment w:val="auto"/>
        <w:rPr>
          <w:rFonts w:ascii="黑体" w:hAnsi="黑体" w:eastAsia="黑体" w:cs="Arial"/>
          <w:color w:val="000000"/>
          <w:sz w:val="32"/>
          <w:szCs w:val="32"/>
        </w:rPr>
      </w:pPr>
      <w:r>
        <w:rPr>
          <w:rFonts w:hint="eastAsia" w:ascii="黑体" w:hAnsi="黑体" w:eastAsia="黑体" w:cs="Arial"/>
          <w:color w:val="000000"/>
          <w:sz w:val="32"/>
          <w:szCs w:val="32"/>
          <w:lang w:eastAsia="zh-CN"/>
        </w:rPr>
        <w:t>二</w:t>
      </w:r>
      <w:r>
        <w:rPr>
          <w:rFonts w:hint="eastAsia" w:ascii="黑体" w:hAnsi="黑体" w:eastAsia="黑体" w:cs="Arial"/>
          <w:color w:val="000000"/>
          <w:sz w:val="32"/>
          <w:szCs w:val="32"/>
        </w:rPr>
        <w:t>、政府性基金预算收支预算情况说明</w:t>
      </w:r>
    </w:p>
    <w:p>
      <w:pPr>
        <w:pStyle w:val="4"/>
        <w:keepNext w:val="0"/>
        <w:keepLines w:val="0"/>
        <w:pageBreakBefore w:val="0"/>
        <w:kinsoku/>
        <w:wordWrap/>
        <w:overflowPunct/>
        <w:topLinePunct w:val="0"/>
        <w:autoSpaceDE/>
        <w:autoSpaceDN/>
        <w:bidi w:val="0"/>
        <w:adjustRightInd/>
        <w:snapToGrid/>
        <w:spacing w:before="313" w:beforeLines="100" w:beforeAutospacing="0" w:after="313" w:afterLines="100" w:afterAutospacing="0"/>
        <w:ind w:firstLine="640" w:firstLineChars="200"/>
        <w:textAlignment w:val="auto"/>
        <w:rPr>
          <w:rFonts w:ascii="黑体" w:hAnsi="黑体" w:eastAsia="黑体" w:cs="Arial"/>
          <w:color w:val="000000"/>
          <w:sz w:val="32"/>
          <w:szCs w:val="32"/>
        </w:rPr>
      </w:pPr>
      <w:r>
        <w:rPr>
          <w:rFonts w:hint="eastAsia" w:ascii="黑体" w:hAnsi="黑体" w:eastAsia="黑体" w:cs="Arial"/>
          <w:color w:val="000000"/>
          <w:sz w:val="32"/>
          <w:szCs w:val="32"/>
          <w:lang w:eastAsia="zh-CN"/>
        </w:rPr>
        <w:t>三</w:t>
      </w:r>
      <w:r>
        <w:rPr>
          <w:rFonts w:hint="eastAsia" w:ascii="黑体" w:hAnsi="黑体" w:eastAsia="黑体" w:cs="Arial"/>
          <w:color w:val="000000"/>
          <w:sz w:val="32"/>
          <w:szCs w:val="32"/>
        </w:rPr>
        <w:t>、“三公”经费支出预算情况说明</w:t>
      </w:r>
    </w:p>
    <w:p>
      <w:pPr>
        <w:pStyle w:val="4"/>
        <w:keepNext w:val="0"/>
        <w:keepLines w:val="0"/>
        <w:pageBreakBefore w:val="0"/>
        <w:kinsoku/>
        <w:wordWrap/>
        <w:overflowPunct/>
        <w:topLinePunct w:val="0"/>
        <w:autoSpaceDE/>
        <w:autoSpaceDN/>
        <w:bidi w:val="0"/>
        <w:adjustRightInd/>
        <w:snapToGrid/>
        <w:spacing w:before="313" w:beforeLines="100" w:beforeAutospacing="0" w:after="313" w:afterLines="100" w:afterAutospacing="0"/>
        <w:ind w:firstLine="640" w:firstLineChars="200"/>
        <w:textAlignment w:val="auto"/>
        <w:rPr>
          <w:rFonts w:ascii="黑体" w:hAnsi="黑体" w:eastAsia="黑体" w:cs="Arial"/>
          <w:color w:val="000000"/>
          <w:sz w:val="32"/>
          <w:szCs w:val="32"/>
        </w:rPr>
      </w:pPr>
      <w:r>
        <w:rPr>
          <w:rFonts w:hint="eastAsia" w:ascii="黑体" w:hAnsi="黑体" w:eastAsia="黑体" w:cs="Arial"/>
          <w:color w:val="000000"/>
          <w:sz w:val="32"/>
          <w:szCs w:val="32"/>
          <w:lang w:eastAsia="zh-CN"/>
        </w:rPr>
        <w:t>四</w:t>
      </w:r>
      <w:r>
        <w:rPr>
          <w:rFonts w:hint="eastAsia" w:ascii="黑体" w:hAnsi="黑体" w:eastAsia="黑体" w:cs="Arial"/>
          <w:color w:val="000000"/>
          <w:sz w:val="32"/>
          <w:szCs w:val="32"/>
        </w:rPr>
        <w:t>、其他重要事项的情况说明</w:t>
      </w:r>
    </w:p>
    <w:p>
      <w:pPr>
        <w:spacing w:line="720" w:lineRule="auto"/>
        <w:rPr>
          <w:rFonts w:hint="eastAsia" w:ascii="黑体" w:hAnsi="黑体" w:eastAsia="黑体" w:cs="黑体"/>
          <w:b/>
          <w:bCs/>
          <w:sz w:val="32"/>
          <w:szCs w:val="32"/>
        </w:rPr>
      </w:pPr>
      <w:r>
        <w:rPr>
          <w:rFonts w:hint="eastAsia" w:ascii="黑体" w:hAnsi="黑体" w:eastAsia="黑体" w:cs="黑体"/>
          <w:b/>
          <w:bCs/>
          <w:sz w:val="32"/>
          <w:szCs w:val="32"/>
        </w:rPr>
        <w:t>第三部分 名词解释</w:t>
      </w:r>
    </w:p>
    <w:p>
      <w:pPr>
        <w:spacing w:line="720" w:lineRule="auto"/>
        <w:rPr>
          <w:rFonts w:hint="eastAsia" w:ascii="黑体" w:hAnsi="黑体" w:eastAsia="黑体" w:cs="黑体"/>
          <w:b/>
          <w:bCs/>
          <w:sz w:val="32"/>
          <w:szCs w:val="32"/>
        </w:rPr>
      </w:pPr>
    </w:p>
    <w:p>
      <w:pPr>
        <w:spacing w:line="720" w:lineRule="auto"/>
        <w:rPr>
          <w:rFonts w:hint="eastAsia" w:ascii="黑体" w:hAnsi="黑体" w:eastAsia="黑体" w:cs="黑体"/>
          <w:b/>
          <w:bCs/>
          <w:sz w:val="32"/>
          <w:szCs w:val="32"/>
        </w:rPr>
      </w:pPr>
    </w:p>
    <w:p>
      <w:pPr>
        <w:spacing w:line="720" w:lineRule="auto"/>
        <w:rPr>
          <w:rFonts w:hint="eastAsia" w:ascii="黑体" w:hAnsi="黑体" w:eastAsia="黑体" w:cs="黑体"/>
          <w:b/>
          <w:bCs/>
          <w:sz w:val="32"/>
          <w:szCs w:val="32"/>
        </w:rPr>
      </w:pPr>
      <w:r>
        <w:rPr>
          <w:rFonts w:hint="eastAsia" w:ascii="黑体" w:hAnsi="黑体" w:eastAsia="黑体" w:cs="黑体"/>
          <w:b/>
          <w:bCs/>
          <w:sz w:val="32"/>
          <w:szCs w:val="32"/>
        </w:rPr>
        <w:t>附件：永城市</w:t>
      </w:r>
      <w:r>
        <w:rPr>
          <w:rFonts w:hint="eastAsia" w:ascii="黑体" w:hAnsi="黑体" w:eastAsia="黑体"/>
          <w:b/>
          <w:sz w:val="32"/>
          <w:szCs w:val="32"/>
        </w:rPr>
        <w:t>交通运输局</w:t>
      </w:r>
      <w:r>
        <w:rPr>
          <w:rFonts w:hint="eastAsia" w:ascii="黑体" w:hAnsi="黑体" w:eastAsia="黑体" w:cs="黑体"/>
          <w:b/>
          <w:bCs/>
          <w:sz w:val="32"/>
          <w:szCs w:val="32"/>
        </w:rPr>
        <w:t>2018年度部门预算表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部门收支总体情况表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部门收入总体情况表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部门支出总体情况表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一般公共预算基本支出经济分类情况表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财政拨款收支总体情况表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财政拨款支出情况表</w:t>
      </w:r>
    </w:p>
    <w:p>
      <w:pPr>
        <w:numPr>
          <w:ilvl w:val="0"/>
          <w:numId w:val="2"/>
        </w:numPr>
        <w:spacing w:line="720" w:lineRule="auto"/>
        <w:rPr>
          <w:rFonts w:hint="eastAsia" w:ascii="黑体" w:hAnsi="黑体" w:eastAsia="黑体" w:cs="黑体"/>
          <w:sz w:val="32"/>
          <w:szCs w:val="32"/>
        </w:rPr>
      </w:pPr>
      <w:r>
        <w:rPr>
          <w:rFonts w:hint="eastAsia" w:ascii="黑体" w:hAnsi="黑体" w:eastAsia="黑体" w:cs="黑体"/>
          <w:sz w:val="32"/>
          <w:szCs w:val="32"/>
        </w:rPr>
        <w:t>政府性基金支出情况表</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永城市交通运输局2018年预算基本情况说明</w:t>
      </w:r>
    </w:p>
    <w:p>
      <w:pPr>
        <w:numPr>
          <w:numId w:val="0"/>
        </w:numPr>
        <w:spacing w:line="720" w:lineRule="auto"/>
        <w:ind w:left="240" w:leftChars="0"/>
        <w:jc w:val="left"/>
        <w:rPr>
          <w:rFonts w:hint="eastAsia" w:ascii="黑体" w:hAnsi="黑体" w:eastAsia="黑体" w:cs="黑体"/>
          <w:b/>
          <w:bCs/>
          <w:sz w:val="32"/>
          <w:szCs w:val="32"/>
        </w:rPr>
      </w:pPr>
      <w:r>
        <w:rPr>
          <w:rFonts w:hint="eastAsia" w:ascii="黑体" w:hAnsi="黑体" w:eastAsia="黑体" w:cs="黑体"/>
          <w:b/>
          <w:bCs/>
          <w:sz w:val="32"/>
          <w:szCs w:val="32"/>
          <w:lang w:eastAsia="zh-CN"/>
        </w:rPr>
        <w:t>第一部分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永城市</w:t>
      </w:r>
      <w:r>
        <w:rPr>
          <w:rFonts w:hint="eastAsia" w:ascii="黑体" w:hAnsi="黑体" w:eastAsia="黑体"/>
          <w:b/>
          <w:sz w:val="32"/>
          <w:szCs w:val="32"/>
        </w:rPr>
        <w:t>交通运输局</w:t>
      </w:r>
      <w:r>
        <w:rPr>
          <w:rFonts w:hint="eastAsia" w:ascii="黑体" w:hAnsi="黑体" w:eastAsia="黑体" w:cs="黑体"/>
          <w:b/>
          <w:bCs/>
          <w:sz w:val="32"/>
          <w:szCs w:val="32"/>
        </w:rPr>
        <w:t>单位概况</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(一)部门主要职责</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永城市交通运输局是市政府的重要职能部门，担负着全市交通运输行业发展规划，全市公路、水路运输管理，搬运装卸、车船检测、维修、城市交通运输等行业管理；负责全市交通基础设施建设和公路的养护管理，搞好运输安全、机动车驾驶员及行业从业人员培训工作，指导交通行业精神文明建设和职工队伍建设等工作。</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（二）机构设置情况</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1、永城市交通运输局系行政单位，内部设办公室、人事科、财务科、综合计划和科技科、运输管理科、政策法规科、建设管理科、安全监督科和城市公交管理科九个科室。</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下设二级机构永城市农村公路管理处、永城市道路运输管理局、永城市交通执法大队、永城市航务管理局、永城市高铁建设发展服务中心、永城市邮政管理局。</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2、永城市农村公路管理处主要职责</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贯彻执行国家和上级交通主管部门有关农村公路养护、路政管理方面的法律、法规、方针、政策；编制农村公路工程建设、日常养护、养护工程、水毁修复、绿化工程等计划，并有效地组织实施；负责实施公路巡查，依法维护公路路产、路权；完成市委、市政府和市交通局交办的其他工作。</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3、永城市道路运输管理局主要职责</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sz w:val="32"/>
          <w:szCs w:val="32"/>
        </w:rPr>
        <w:t>道路运输资质监督检查、道路旅客运输市场管理、道路货物运输市场管理、机动车辆维修管理、机动车驾驶员市场管理、道路运输行业行政执法与处罚。</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4、永城市交通执法大队主要职责</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永城市交通运输局执法大队主要工作职责是具体负责辖区内道路交通运输,航道（海事）运输监督检查和执法工作。目前，永城市交通运输局执法大队主要负责辖区内货运超限超载治理工作。</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5、永城市航务管理局主要职责</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永城市航务管理局为永城市交通运输局二级机构，单位性质为事业单位。1996年5月，经永城县编委批准成立永城县航务管理站。2005年5月，易名为永城市航务管理局（挂永城市地方海事局牌子），实行一个机构两个牌子。2012年，机构调整为副科级，经费财政全额拨款。其职责主要为航运市场管理；水上交通安全监管；船员、船舶管理。</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6、永城市高铁建设发展服务中心主要职责</w:t>
      </w:r>
    </w:p>
    <w:p>
      <w:pPr>
        <w:pStyle w:val="4"/>
        <w:spacing w:before="0" w:beforeAutospacing="0" w:after="0" w:afterAutospacing="0"/>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永城市高铁建设发展服务中心是负责高铁建设发展的协调服务、高铁广场的日常管理等工作。</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7、永城市邮政管理局主要职责</w:t>
      </w:r>
    </w:p>
    <w:p>
      <w:pPr>
        <w:ind w:firstLine="640" w:firstLineChars="200"/>
        <w:jc w:val="left"/>
        <w:rPr>
          <w:rFonts w:ascii="仿宋" w:hAnsi="仿宋" w:eastAsia="仿宋" w:cs="仿宋"/>
          <w:color w:val="000000"/>
          <w:sz w:val="32"/>
          <w:szCs w:val="32"/>
        </w:rPr>
      </w:pPr>
      <w:r>
        <w:rPr>
          <w:rFonts w:hint="eastAsia" w:ascii="仿宋" w:hAnsi="仿宋" w:eastAsia="仿宋" w:cs="仿宋"/>
          <w:sz w:val="32"/>
          <w:szCs w:val="32"/>
        </w:rPr>
        <w:t>永城市邮政管理局职责：贯彻执行国家关于邮政业管理的法律法规、方针政策和邮政服务标准，监督管理所在地区邮政（包括快递类）市场，组织协调所在地区邮政普遍服务以及机要通信、义务兵通信等特殊服务的实施。办理上级邮政监管部门交办的其他事项。</w:t>
      </w:r>
    </w:p>
    <w:p>
      <w:pPr>
        <w:pStyle w:val="4"/>
        <w:numPr>
          <w:ilvl w:val="0"/>
          <w:numId w:val="3"/>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预算年度的主要工作任务</w:t>
      </w:r>
    </w:p>
    <w:p>
      <w:pPr>
        <w:spacing w:line="600" w:lineRule="exact"/>
        <w:ind w:firstLine="960" w:firstLineChars="300"/>
        <w:rPr>
          <w:rFonts w:ascii="仿宋" w:hAnsi="仿宋" w:eastAsia="仿宋" w:cs="仿宋"/>
          <w:color w:val="000000"/>
          <w:sz w:val="32"/>
          <w:szCs w:val="32"/>
        </w:rPr>
      </w:pPr>
      <w:r>
        <w:rPr>
          <w:rFonts w:hint="eastAsia" w:ascii="仿宋" w:hAnsi="仿宋" w:eastAsia="仿宋" w:cs="仿宋"/>
          <w:color w:val="000000"/>
          <w:sz w:val="32"/>
          <w:szCs w:val="32"/>
        </w:rPr>
        <w:t>1、永城市交通运输局2018年主要工作任务</w:t>
      </w:r>
    </w:p>
    <w:p>
      <w:pPr>
        <w:spacing w:line="600" w:lineRule="exact"/>
        <w:ind w:firstLine="960" w:firstLineChars="300"/>
        <w:rPr>
          <w:rFonts w:ascii="仿宋" w:hAnsi="仿宋" w:eastAsia="仿宋" w:cs="仿宋"/>
          <w:sz w:val="32"/>
          <w:szCs w:val="32"/>
        </w:rPr>
      </w:pPr>
      <w:r>
        <w:rPr>
          <w:rFonts w:hint="eastAsia" w:ascii="仿宋" w:hAnsi="仿宋" w:eastAsia="仿宋" w:cs="仿宋"/>
          <w:kern w:val="0"/>
          <w:sz w:val="32"/>
          <w:szCs w:val="32"/>
        </w:rPr>
        <w:t>2018年是全面贯彻落实党的十九大精神的开局之年，是改革开放40周年，是决胜全面建成小康社会、实施“十三五”规划承上启下的关键一年，也是交通强国建设的起步之年，做好各项工作至关重要。永城市交通运输局</w:t>
      </w:r>
      <w:r>
        <w:rPr>
          <w:rFonts w:hint="eastAsia" w:ascii="仿宋" w:hAnsi="仿宋" w:eastAsia="仿宋" w:cs="仿宋"/>
          <w:sz w:val="32"/>
          <w:szCs w:val="32"/>
        </w:rPr>
        <w:t>要重点做好以下八个方面工作：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（1）加快推进交通基础设施建设</w:t>
      </w:r>
    </w:p>
    <w:p>
      <w:pPr>
        <w:spacing w:line="520" w:lineRule="exact"/>
        <w:ind w:firstLine="640" w:firstLineChars="200"/>
        <w:rPr>
          <w:rFonts w:ascii="仿宋" w:hAnsi="仿宋" w:eastAsia="仿宋" w:cs="仿宋"/>
          <w:b/>
          <w:bCs/>
          <w:sz w:val="32"/>
          <w:szCs w:val="32"/>
        </w:rPr>
      </w:pPr>
      <w:r>
        <w:rPr>
          <w:rFonts w:hint="eastAsia" w:ascii="仿宋" w:hAnsi="仿宋" w:eastAsia="仿宋" w:cs="仿宋"/>
          <w:sz w:val="32"/>
          <w:szCs w:val="32"/>
        </w:rPr>
        <w:t>（2）坚持打好交通精准脱贫攻坚战</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（3）大力推进运输服务提质增效</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（4）深入开展交通运输执法体制改革“提升年”活动</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（5）持续强化行业规范管理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（6）加快运输企业转型升级创新发展</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（7）坚持不懈抓好安全生产</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（8）大力加强党的建设和精神文明建设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2、永城市农村公路管理处2018年主要工作任务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编制农村公路工程建设、日常养护、养护工程、水毁修复、绿化工程等计划，并有效地组织实施；具体负责全市10条县道351公里、70条乡道843公里、及村道1800公里的养护管理工作，督促指导、检查考核乡镇开展村道养护管理工作；负责实施公路巡查，依法维护公路路产、路权。</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sz w:val="32"/>
          <w:szCs w:val="32"/>
        </w:rPr>
        <w:t>3、永城市道路运输管理局</w:t>
      </w:r>
      <w:r>
        <w:rPr>
          <w:rFonts w:hint="eastAsia" w:ascii="仿宋" w:hAnsi="仿宋" w:eastAsia="仿宋" w:cs="仿宋"/>
          <w:color w:val="000000"/>
          <w:sz w:val="32"/>
          <w:szCs w:val="32"/>
        </w:rPr>
        <w:t>主要工作任务</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道路运输资质监督检查、道路旅客运输市场管理、道路货物运输市场管理、机动车辆维修管理、机动车驾驶员市场管理、道路运输行业行政执法与处罚。</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4、永城市交通执法大队主要工作任务</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永城市交通运输局执法大队2018年工作重点：</w:t>
      </w:r>
    </w:p>
    <w:p>
      <w:pPr>
        <w:pStyle w:val="4"/>
        <w:numPr>
          <w:ilvl w:val="0"/>
          <w:numId w:val="4"/>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继续深化推进交通综合行政执法改革，打造全省交通行政执法标兵。  </w:t>
      </w:r>
    </w:p>
    <w:p>
      <w:pPr>
        <w:pStyle w:val="4"/>
        <w:numPr>
          <w:ilvl w:val="0"/>
          <w:numId w:val="4"/>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扎实开展交通执法宣传，营造良好执法环境。    </w:t>
      </w:r>
    </w:p>
    <w:p>
      <w:pPr>
        <w:pStyle w:val="4"/>
        <w:numPr>
          <w:ilvl w:val="0"/>
          <w:numId w:val="4"/>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针对综合执法建设需要，加强执法人员执法业务，执法技能，执法艺术能力建设，打造一只素质过硬，作风优良，清正廉洁，秉公执法，依法行政的交通行政执法队伍。</w:t>
      </w:r>
    </w:p>
    <w:p>
      <w:pPr>
        <w:pStyle w:val="4"/>
        <w:numPr>
          <w:ilvl w:val="0"/>
          <w:numId w:val="4"/>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坚持24小时常态化巡查执法，与公安交警部门密切协助，依法查处交通行政违法行为，保护公路安全和交通安全，保证公路畅通，维护交通运输行业秩序。</w:t>
      </w:r>
    </w:p>
    <w:p>
      <w:pPr>
        <w:pStyle w:val="4"/>
        <w:numPr>
          <w:ilvl w:val="0"/>
          <w:numId w:val="4"/>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创新超限超载源头管理机制，充份发挥砂石料场所在地政府和经营者的主动性，把好源头关，有效预防超限超载车辆上路。</w:t>
      </w:r>
    </w:p>
    <w:p>
      <w:pPr>
        <w:pStyle w:val="4"/>
        <w:numPr>
          <w:ilvl w:val="0"/>
          <w:numId w:val="4"/>
        </w:numPr>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积极推进科技治超，加大投入力度，由人治琢步向科技治超转变，提高治超效率。</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5、永城市航务管理局主要工作任务</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为航运市场管理；水上交通安全监管；船员、船舶管理。</w:t>
      </w:r>
    </w:p>
    <w:p>
      <w:pPr>
        <w:pStyle w:val="4"/>
        <w:spacing w:before="0" w:beforeAutospacing="0" w:after="0" w:afterAutospacing="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6、永城市高铁建设发展服务中心的主要工作任务</w:t>
      </w:r>
    </w:p>
    <w:p>
      <w:pPr>
        <w:pStyle w:val="4"/>
        <w:spacing w:before="0" w:beforeAutospacing="0" w:after="0" w:afterAutospacing="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永城市高铁建设发展服务中心的主要任务是负责高铁建设发展的协调服务、高铁广场的日常管理等工作。</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7、永城市邮政管理局主要工作任务</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对全市范围内邮政、快递企业网点进行法律法规政策的宣贯及安全生产监管，对邮政执法人员进行执法培训和快递从业人员进行行业操作规范及安全生产教育。</w:t>
      </w:r>
    </w:p>
    <w:p>
      <w:pPr>
        <w:widowControl/>
        <w:spacing w:line="360" w:lineRule="auto"/>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（四）、部门预算单位构成</w:t>
      </w:r>
    </w:p>
    <w:p>
      <w:pPr>
        <w:widowControl/>
        <w:spacing w:line="360" w:lineRule="auto"/>
        <w:ind w:firstLine="640" w:firstLineChars="200"/>
        <w:jc w:val="left"/>
        <w:rPr>
          <w:rFonts w:hint="eastAsia" w:ascii="仿宋" w:hAnsi="仿宋" w:eastAsia="仿宋" w:cs="仿宋_GB2312"/>
          <w:color w:val="090909"/>
          <w:kern w:val="0"/>
          <w:sz w:val="32"/>
          <w:szCs w:val="32"/>
        </w:rPr>
      </w:pPr>
      <w:r>
        <w:rPr>
          <w:rFonts w:hint="eastAsia" w:ascii="仿宋" w:hAnsi="仿宋" w:eastAsia="仿宋" w:cs="仿宋_GB2312"/>
          <w:color w:val="090909"/>
          <w:kern w:val="0"/>
          <w:sz w:val="32"/>
          <w:szCs w:val="32"/>
        </w:rPr>
        <w:t>永城市交通运输局部门预算包含：永城市交通运输局本部门以及农村公路管理处、道路运输管理局、交通执法大队、航务管理局、高铁建设服务中心、邮政管理局等二级机构。</w:t>
      </w:r>
    </w:p>
    <w:p>
      <w:pPr>
        <w:spacing w:line="720" w:lineRule="auto"/>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永城市</w:t>
      </w:r>
      <w:r>
        <w:rPr>
          <w:rFonts w:hint="eastAsia" w:ascii="黑体" w:hAnsi="黑体" w:eastAsia="黑体"/>
          <w:b/>
          <w:sz w:val="32"/>
          <w:szCs w:val="32"/>
        </w:rPr>
        <w:t>交通运输局</w:t>
      </w:r>
      <w:r>
        <w:rPr>
          <w:rFonts w:hint="eastAsia" w:ascii="黑体" w:hAnsi="黑体" w:eastAsia="黑体" w:cs="黑体"/>
          <w:b/>
          <w:bCs/>
          <w:sz w:val="32"/>
          <w:szCs w:val="32"/>
        </w:rPr>
        <w:t>2018年度部门预算情况说明</w:t>
      </w:r>
    </w:p>
    <w:p>
      <w:pPr>
        <w:pStyle w:val="4"/>
        <w:spacing w:before="0" w:beforeAutospacing="0" w:after="0" w:afterAutospacing="0"/>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、一般公共预算收支预算情况说明</w:t>
      </w:r>
    </w:p>
    <w:p>
      <w:pPr>
        <w:pStyle w:val="4"/>
        <w:spacing w:before="0" w:beforeAutospacing="0" w:after="0" w:afterAutospacing="0"/>
        <w:ind w:left="105" w:leftChars="5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（一）部门收入预算总体情况说明</w:t>
      </w:r>
    </w:p>
    <w:p>
      <w:pPr>
        <w:pStyle w:val="4"/>
        <w:spacing w:before="0" w:beforeAutospacing="0" w:after="0" w:afterAutospacing="0"/>
        <w:ind w:left="105" w:leftChars="50" w:firstLine="838" w:firstLineChars="262"/>
        <w:rPr>
          <w:rFonts w:ascii="仿宋" w:hAnsi="仿宋" w:eastAsia="仿宋" w:cs="仿宋"/>
          <w:color w:val="000000"/>
          <w:sz w:val="32"/>
          <w:szCs w:val="32"/>
        </w:rPr>
      </w:pPr>
      <w:r>
        <w:rPr>
          <w:rFonts w:hint="eastAsia" w:ascii="仿宋" w:hAnsi="仿宋" w:eastAsia="仿宋" w:cs="仿宋"/>
          <w:color w:val="000000"/>
          <w:sz w:val="32"/>
          <w:szCs w:val="32"/>
        </w:rPr>
        <w:t>2018年收入合计4523.6万元，其中，一般公共预算3431.6万元，上级转移支付1092万元。</w:t>
      </w:r>
    </w:p>
    <w:p>
      <w:pPr>
        <w:pStyle w:val="4"/>
        <w:spacing w:before="0" w:beforeAutospacing="0" w:after="0" w:afterAutospacing="0"/>
        <w:ind w:left="105" w:leftChars="5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（二）部门支出预算总体情况说明</w:t>
      </w:r>
    </w:p>
    <w:p>
      <w:pPr>
        <w:pStyle w:val="4"/>
        <w:spacing w:before="0" w:beforeAutospacing="0" w:after="0" w:afterAutospacing="0"/>
        <w:ind w:left="105" w:leftChars="5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2018年支出合计4523.6万元，其中：基本支出2648.6万元，占58.55%；项目支出1875万元，占41.45%。</w:t>
      </w:r>
    </w:p>
    <w:p>
      <w:pPr>
        <w:pStyle w:val="4"/>
        <w:spacing w:before="0" w:beforeAutospacing="0" w:after="0" w:afterAutospacing="0"/>
        <w:ind w:firstLine="640" w:firstLineChars="200"/>
        <w:rPr>
          <w:rFonts w:ascii="仿宋" w:hAnsi="仿宋" w:eastAsia="仿宋" w:cs="仿宋"/>
          <w:color w:val="000000"/>
          <w:sz w:val="32"/>
          <w:szCs w:val="32"/>
        </w:rPr>
      </w:pPr>
      <w:r>
        <w:rPr>
          <w:rStyle w:val="6"/>
          <w:rFonts w:hint="eastAsia" w:ascii="仿宋" w:hAnsi="仿宋" w:eastAsia="仿宋" w:cs="仿宋"/>
          <w:b w:val="0"/>
          <w:color w:val="000000"/>
          <w:sz w:val="32"/>
          <w:szCs w:val="32"/>
        </w:rPr>
        <w:t>（三）财政拨款收入预算情况说明</w:t>
      </w:r>
    </w:p>
    <w:p>
      <w:pPr>
        <w:pStyle w:val="4"/>
        <w:spacing w:before="0" w:beforeAutospacing="0" w:after="0" w:afterAutospacing="0"/>
        <w:ind w:firstLine="640" w:firstLineChars="200"/>
        <w:rPr>
          <w:rFonts w:ascii="仿宋_GB2312" w:hAnsi="ˎ̥" w:eastAsia="仿宋_GB2312" w:cs="Arial"/>
          <w:color w:val="000000"/>
          <w:sz w:val="32"/>
          <w:szCs w:val="32"/>
        </w:rPr>
      </w:pPr>
      <w:r>
        <w:rPr>
          <w:rFonts w:hint="eastAsia" w:ascii="仿宋" w:hAnsi="仿宋" w:eastAsia="仿宋" w:cs="仿宋"/>
          <w:color w:val="000000"/>
          <w:sz w:val="32"/>
          <w:szCs w:val="32"/>
        </w:rPr>
        <w:t>2018年收入预算4523.6万元，其中财政拨款2818.6万元，17年3942.12万元，其中财政拨款2850.12万元，比上年增加</w:t>
      </w:r>
      <w:r>
        <w:rPr>
          <w:rFonts w:hint="eastAsia" w:ascii="仿宋" w:hAnsi="仿宋" w:eastAsia="仿宋" w:cs="仿宋"/>
          <w:sz w:val="32"/>
          <w:szCs w:val="32"/>
        </w:rPr>
        <w:t>581.48</w:t>
      </w:r>
      <w:r>
        <w:rPr>
          <w:rFonts w:hint="eastAsia" w:ascii="仿宋" w:hAnsi="仿宋" w:eastAsia="仿宋" w:cs="仿宋"/>
          <w:color w:val="000000"/>
          <w:sz w:val="32"/>
          <w:szCs w:val="32"/>
        </w:rPr>
        <w:t>万元，增长</w:t>
      </w:r>
      <w:r>
        <w:rPr>
          <w:rFonts w:hint="eastAsia" w:ascii="仿宋" w:hAnsi="仿宋" w:eastAsia="仿宋" w:cs="仿宋"/>
          <w:sz w:val="32"/>
          <w:szCs w:val="32"/>
        </w:rPr>
        <w:t>14.7</w:t>
      </w:r>
      <w:r>
        <w:rPr>
          <w:rFonts w:hint="eastAsia" w:ascii="仿宋" w:hAnsi="仿宋" w:eastAsia="仿宋" w:cs="仿宋"/>
          <w:color w:val="000000"/>
          <w:sz w:val="32"/>
          <w:szCs w:val="32"/>
        </w:rPr>
        <w:t>%；纳入预算管理的行政事业性收费收入613万元，比上年减少239万元，下降28%。主要变化原因：</w:t>
      </w:r>
      <w:r>
        <w:rPr>
          <w:rFonts w:hint="eastAsia" w:ascii="仿宋_GB2312" w:hAnsi="ˎ̥" w:eastAsia="仿宋_GB2312" w:cs="Arial"/>
          <w:color w:val="000000"/>
          <w:sz w:val="32"/>
          <w:szCs w:val="32"/>
        </w:rPr>
        <w:t>航务局和高铁建设服务中心并入交通运输局，基本支出随之增加；行政事业性收费收入减少，返还数额减少，预算随之减少。</w:t>
      </w:r>
    </w:p>
    <w:p>
      <w:pPr>
        <w:pStyle w:val="4"/>
        <w:spacing w:before="0" w:beforeAutospacing="0" w:after="0" w:afterAutospacing="0"/>
        <w:ind w:firstLine="640" w:firstLineChars="200"/>
        <w:rPr>
          <w:rFonts w:ascii="仿宋" w:hAnsi="仿宋" w:eastAsia="仿宋" w:cs="仿宋"/>
          <w:b/>
          <w:color w:val="000000"/>
          <w:sz w:val="32"/>
          <w:szCs w:val="32"/>
        </w:rPr>
      </w:pPr>
      <w:r>
        <w:rPr>
          <w:rStyle w:val="6"/>
          <w:rFonts w:hint="eastAsia" w:ascii="仿宋" w:hAnsi="仿宋" w:eastAsia="仿宋" w:cs="仿宋"/>
          <w:b w:val="0"/>
          <w:color w:val="000000"/>
          <w:sz w:val="32"/>
          <w:szCs w:val="32"/>
        </w:rPr>
        <w:t>（四）财政拨款支出预算情况说明</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2018年支出预算4523.6万元，其中财政拨款支出3431.6万元，比上年增加</w:t>
      </w:r>
      <w:r>
        <w:rPr>
          <w:rFonts w:hint="eastAsia" w:ascii="仿宋" w:hAnsi="仿宋" w:eastAsia="仿宋" w:cs="仿宋"/>
          <w:sz w:val="32"/>
          <w:szCs w:val="32"/>
        </w:rPr>
        <w:t>581.48</w:t>
      </w:r>
      <w:r>
        <w:rPr>
          <w:rFonts w:hint="eastAsia" w:ascii="仿宋" w:hAnsi="仿宋" w:eastAsia="仿宋" w:cs="仿宋"/>
          <w:color w:val="000000"/>
          <w:sz w:val="32"/>
          <w:szCs w:val="32"/>
        </w:rPr>
        <w:t>万元，增长</w:t>
      </w:r>
      <w:r>
        <w:rPr>
          <w:rFonts w:hint="eastAsia" w:ascii="仿宋" w:hAnsi="仿宋" w:eastAsia="仿宋" w:cs="仿宋"/>
          <w:sz w:val="32"/>
          <w:szCs w:val="32"/>
        </w:rPr>
        <w:t>14.7</w:t>
      </w:r>
      <w:r>
        <w:rPr>
          <w:rFonts w:hint="eastAsia" w:ascii="仿宋" w:hAnsi="仿宋" w:eastAsia="仿宋" w:cs="仿宋"/>
          <w:color w:val="000000"/>
          <w:sz w:val="32"/>
          <w:szCs w:val="32"/>
        </w:rPr>
        <w:t>%。支出按用途划分为：工资福利支出2522.2万元，占总支出的55.77%，比上年增加</w:t>
      </w:r>
      <w:r>
        <w:rPr>
          <w:rFonts w:hint="eastAsia" w:ascii="仿宋" w:hAnsi="仿宋" w:eastAsia="仿宋" w:cs="仿宋"/>
          <w:sz w:val="32"/>
          <w:szCs w:val="32"/>
        </w:rPr>
        <w:t>825.3</w:t>
      </w:r>
      <w:r>
        <w:rPr>
          <w:rFonts w:hint="eastAsia" w:ascii="仿宋" w:hAnsi="仿宋" w:eastAsia="仿宋" w:cs="仿宋"/>
          <w:color w:val="000000"/>
          <w:sz w:val="32"/>
          <w:szCs w:val="32"/>
        </w:rPr>
        <w:t>万元，增长</w:t>
      </w:r>
      <w:r>
        <w:rPr>
          <w:rFonts w:hint="eastAsia" w:ascii="仿宋" w:hAnsi="仿宋" w:eastAsia="仿宋" w:cs="仿宋"/>
          <w:sz w:val="32"/>
          <w:szCs w:val="32"/>
        </w:rPr>
        <w:t>48</w:t>
      </w:r>
      <w:r>
        <w:rPr>
          <w:rFonts w:hint="eastAsia" w:ascii="仿宋" w:hAnsi="仿宋" w:eastAsia="仿宋" w:cs="仿宋"/>
          <w:color w:val="000000"/>
          <w:sz w:val="32"/>
          <w:szCs w:val="32"/>
        </w:rPr>
        <w:t>%；对个人和家庭的补助25.1万元，占总支出的0.55%，比上年减少141.08万元，下降84%；商品服务支出101.3万元，占总支出的2.24%，比上年增加28.26万元，增长38%；项目支出1875万元，占总支出的41.45%，比上年增加</w:t>
      </w:r>
      <w:r>
        <w:rPr>
          <w:rFonts w:hint="eastAsia" w:ascii="仿宋" w:hAnsi="仿宋" w:eastAsia="仿宋" w:cs="仿宋"/>
          <w:sz w:val="32"/>
          <w:szCs w:val="32"/>
        </w:rPr>
        <w:t>81</w:t>
      </w:r>
      <w:r>
        <w:rPr>
          <w:rFonts w:hint="eastAsia" w:ascii="仿宋" w:hAnsi="仿宋" w:eastAsia="仿宋" w:cs="仿宋"/>
          <w:color w:val="000000"/>
          <w:sz w:val="32"/>
          <w:szCs w:val="32"/>
        </w:rPr>
        <w:t>万元，增长</w:t>
      </w:r>
      <w:r>
        <w:rPr>
          <w:rFonts w:hint="eastAsia" w:ascii="仿宋" w:hAnsi="仿宋" w:eastAsia="仿宋" w:cs="仿宋"/>
          <w:sz w:val="32"/>
          <w:szCs w:val="32"/>
        </w:rPr>
        <w:t>4.5</w:t>
      </w:r>
      <w:r>
        <w:rPr>
          <w:rFonts w:hint="eastAsia" w:ascii="仿宋" w:hAnsi="仿宋" w:eastAsia="仿宋" w:cs="仿宋"/>
          <w:color w:val="000000"/>
          <w:sz w:val="32"/>
          <w:szCs w:val="32"/>
        </w:rPr>
        <w:t>%。主要变化原因：</w:t>
      </w:r>
      <w:r>
        <w:rPr>
          <w:rFonts w:hint="eastAsia" w:ascii="仿宋_GB2312" w:hAnsi="ˎ̥" w:eastAsia="仿宋_GB2312" w:cs="Arial"/>
          <w:color w:val="000000"/>
          <w:sz w:val="32"/>
          <w:szCs w:val="32"/>
        </w:rPr>
        <w:t>航务局和高铁建设服务中心并入交通运输局，基本支出随之增加；工资福利支出主要为新增职工养老保险金及职工工资涨资部分，对个人和家庭补助支出减少原因为退休人员工资改为社保机构发放，财政局不再拨付经费，以及住房公积金科目调整；商品和服务支出增加主要原因为新增公务员编制公务交通补助。</w:t>
      </w:r>
    </w:p>
    <w:p>
      <w:pPr>
        <w:pStyle w:val="4"/>
        <w:numPr>
          <w:numId w:val="0"/>
        </w:num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政府性基金预算收支预算情况说明</w:t>
      </w:r>
    </w:p>
    <w:p>
      <w:pPr>
        <w:pStyle w:val="4"/>
        <w:rPr>
          <w:rFonts w:ascii="黑体" w:hAnsi="黑体" w:eastAsia="黑体" w:cs="黑体"/>
          <w:color w:val="000000"/>
          <w:sz w:val="32"/>
          <w:szCs w:val="32"/>
        </w:rPr>
      </w:pPr>
      <w:r>
        <w:rPr>
          <w:rFonts w:hint="eastAsia" w:ascii="仿宋_GB2312" w:hAnsi="ˎ̥" w:eastAsia="仿宋_GB2312" w:cs="Arial"/>
          <w:color w:val="000000"/>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、“三公”经费支出预算情况说明</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2018年“三公”经费支出预算24.94万元，较上年下降3.52%。其中：因公出国(境)费用0万元，较上年(或增长)下降0%；公务接待费3.44万元，较上年下降17.10%；公务用车运行维护费21.5万元，较上年下降0.92%；公务用车购置0万元，较上年下降(或增长)0%。</w:t>
      </w:r>
      <w:r>
        <w:rPr>
          <w:rFonts w:hint="eastAsia" w:ascii="仿宋" w:hAnsi="仿宋" w:eastAsia="仿宋" w:cs="仿宋"/>
          <w:b/>
          <w:sz w:val="32"/>
          <w:szCs w:val="32"/>
        </w:rPr>
        <w:t>主要变化原因：</w:t>
      </w:r>
      <w:r>
        <w:rPr>
          <w:rFonts w:hint="eastAsia" w:ascii="仿宋" w:hAnsi="仿宋" w:eastAsia="仿宋" w:cs="仿宋"/>
          <w:sz w:val="32"/>
          <w:szCs w:val="32"/>
        </w:rPr>
        <w:t>我单位严格执行《党政机关国内公务接待管理规定》等办法，坚持厉行勤俭节约，不断压缩公务接待费支出; 公车改革实施后，公务用车保有量下降，严格公务车辆出行管理，公务用车运行维护费降低。</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、其他重要事项的情况说明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(一)机关运行经费支出情况</w:t>
      </w:r>
    </w:p>
    <w:p>
      <w:pPr>
        <w:ind w:firstLine="640" w:firstLineChars="200"/>
        <w:rPr>
          <w:rFonts w:ascii="仿宋" w:hAnsi="仿宋" w:eastAsia="仿宋" w:cs="仿宋"/>
          <w:sz w:val="32"/>
          <w:szCs w:val="32"/>
        </w:rPr>
      </w:pPr>
      <w:r>
        <w:rPr>
          <w:rFonts w:hint="eastAsia" w:ascii="仿宋" w:hAnsi="仿宋" w:eastAsia="仿宋" w:cs="仿宋"/>
          <w:sz w:val="32"/>
          <w:szCs w:val="32"/>
        </w:rPr>
        <w:t>商品和服务支出合计101.32万元，其中办公费32.8万元，印刷费4.9万元，水费1.7万元，电费3.9万元，邮电费2.8万元，取暖费0.5万元，物业管理费3.6万元，差旅费7万元，维修（护）费3.0万元，会议费3.0万元，培训费3.0万元，公务接待费3.1万元，劳务费0.3万元，工会经费6.42万元，福利费16.2万元，公务用车运行维护费3.9万元，其他商品和服务支出5.2万元。</w:t>
      </w:r>
    </w:p>
    <w:p>
      <w:pPr>
        <w:ind w:firstLine="640" w:firstLineChars="200"/>
        <w:rPr>
          <w:rFonts w:ascii="仿宋" w:hAnsi="仿宋" w:eastAsia="仿宋" w:cs="仿宋"/>
          <w:sz w:val="32"/>
          <w:szCs w:val="32"/>
        </w:rPr>
      </w:pPr>
      <w:r>
        <w:rPr>
          <w:rFonts w:hint="eastAsia" w:ascii="仿宋" w:hAnsi="仿宋" w:eastAsia="仿宋" w:cs="仿宋"/>
          <w:sz w:val="32"/>
          <w:szCs w:val="32"/>
        </w:rPr>
        <w:t>(二)政府采购支出情况</w:t>
      </w:r>
    </w:p>
    <w:p>
      <w:pPr>
        <w:pStyle w:val="4"/>
        <w:spacing w:before="0" w:beforeAutospacing="0" w:after="0" w:afterAutospacing="0" w:line="60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2018年政府采购预算安排0万元，其中：政府采购货物类0万元，政府采购服务类0万元,政府采购工程类0万元。</w:t>
      </w:r>
    </w:p>
    <w:p>
      <w:pPr>
        <w:ind w:left="640"/>
        <w:rPr>
          <w:rFonts w:ascii="仿宋_GB2312" w:eastAsia="仿宋_GB2312"/>
          <w:sz w:val="32"/>
          <w:szCs w:val="32"/>
        </w:rPr>
      </w:pPr>
      <w:r>
        <w:rPr>
          <w:rFonts w:hint="eastAsia" w:ascii="仿宋_GB2312" w:eastAsia="仿宋_GB2312"/>
          <w:sz w:val="32"/>
          <w:szCs w:val="32"/>
        </w:rPr>
        <w:t>（三）重点项目预算绩效目标</w:t>
      </w:r>
    </w:p>
    <w:p>
      <w:pPr>
        <w:ind w:left="640"/>
        <w:rPr>
          <w:rFonts w:ascii="仿宋_GB2312" w:eastAsia="仿宋_GB2312"/>
          <w:sz w:val="32"/>
          <w:szCs w:val="32"/>
        </w:rPr>
      </w:pPr>
      <w:r>
        <w:rPr>
          <w:rFonts w:hint="eastAsia" w:ascii="仿宋_GB2312" w:eastAsia="仿宋_GB2312"/>
          <w:sz w:val="32"/>
          <w:szCs w:val="32"/>
        </w:rPr>
        <w:t>无</w:t>
      </w:r>
    </w:p>
    <w:p>
      <w:pPr>
        <w:numPr>
          <w:ilvl w:val="0"/>
          <w:numId w:val="5"/>
        </w:numPr>
        <w:ind w:left="640"/>
        <w:rPr>
          <w:rFonts w:ascii="仿宋_GB2312" w:eastAsia="仿宋_GB2312"/>
          <w:sz w:val="32"/>
          <w:szCs w:val="32"/>
        </w:rPr>
      </w:pPr>
      <w:r>
        <w:rPr>
          <w:rFonts w:hint="eastAsia" w:ascii="仿宋_GB2312" w:eastAsia="仿宋_GB2312"/>
          <w:sz w:val="32"/>
          <w:szCs w:val="32"/>
        </w:rPr>
        <w:t>国有资产占用情况</w:t>
      </w:r>
    </w:p>
    <w:p>
      <w:pPr>
        <w:rPr>
          <w:rFonts w:ascii="仿宋_GB2312" w:eastAsia="仿宋_GB2312"/>
          <w:sz w:val="32"/>
          <w:szCs w:val="32"/>
        </w:rPr>
      </w:pPr>
      <w:r>
        <w:rPr>
          <w:rFonts w:hint="eastAsia" w:ascii="仿宋_GB2312" w:eastAsia="仿宋_GB2312"/>
          <w:sz w:val="32"/>
          <w:szCs w:val="32"/>
        </w:rPr>
        <w:t xml:space="preserve">    无。</w:t>
      </w:r>
    </w:p>
    <w:p>
      <w:pPr>
        <w:ind w:firstLine="643" w:firstLineChars="200"/>
        <w:rPr>
          <w:rFonts w:ascii="黑体" w:hAnsi="黑体" w:eastAsia="黑体" w:cs="黑体"/>
          <w:b/>
          <w:bCs/>
          <w:sz w:val="32"/>
          <w:szCs w:val="32"/>
        </w:rPr>
      </w:pPr>
      <w:bookmarkStart w:id="0" w:name="_GoBack"/>
      <w:r>
        <w:rPr>
          <w:rFonts w:hint="eastAsia" w:ascii="黑体" w:hAnsi="黑体" w:eastAsia="黑体" w:cs="黑体"/>
          <w:b/>
          <w:bCs/>
          <w:sz w:val="32"/>
          <w:szCs w:val="32"/>
          <w:lang w:eastAsia="zh-CN"/>
        </w:rPr>
        <w:t>第三部分</w:t>
      </w:r>
      <w:r>
        <w:rPr>
          <w:rFonts w:hint="eastAsia" w:ascii="黑体" w:hAnsi="黑体" w:eastAsia="黑体" w:cs="黑体"/>
          <w:b/>
          <w:bCs/>
          <w:sz w:val="32"/>
          <w:szCs w:val="32"/>
        </w:rPr>
        <w:t>、专业性较强的名词解释</w:t>
      </w:r>
    </w:p>
    <w:bookmarkEnd w:id="0"/>
    <w:p>
      <w:pPr>
        <w:ind w:firstLine="640" w:firstLineChars="200"/>
        <w:rPr>
          <w:rFonts w:ascii="仿宋" w:hAnsi="仿宋" w:eastAsia="仿宋" w:cs="仿宋"/>
          <w:sz w:val="32"/>
          <w:szCs w:val="32"/>
        </w:rPr>
      </w:pPr>
      <w:r>
        <w:rPr>
          <w:rFonts w:hint="eastAsia" w:ascii="仿宋" w:hAnsi="仿宋" w:eastAsia="仿宋" w:cs="仿宋"/>
          <w:sz w:val="32"/>
          <w:szCs w:val="32"/>
        </w:rPr>
        <w:t>1、财政拨款收入：是指市级财政当年拨付的资金。</w:t>
      </w:r>
    </w:p>
    <w:p>
      <w:pPr>
        <w:ind w:firstLine="640" w:firstLineChars="200"/>
        <w:rPr>
          <w:rFonts w:ascii="仿宋" w:hAnsi="仿宋" w:eastAsia="仿宋" w:cs="仿宋"/>
          <w:sz w:val="32"/>
          <w:szCs w:val="32"/>
        </w:rPr>
      </w:pPr>
      <w:r>
        <w:rPr>
          <w:rFonts w:hint="eastAsia" w:ascii="仿宋" w:hAnsi="仿宋" w:eastAsia="仿宋" w:cs="仿宋"/>
          <w:sz w:val="32"/>
          <w:szCs w:val="32"/>
        </w:rPr>
        <w:t>2、事业收入：是指事业单位开展专业活动及辅助活动所取 得的收入。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3、其他收入：是指部门取得的除“财政拨款”、“事业收入”、“事业单位经营收入”等以外的收入。 </w:t>
      </w:r>
    </w:p>
    <w:p>
      <w:pPr>
        <w:ind w:firstLine="640" w:firstLineChars="200"/>
        <w:rPr>
          <w:rFonts w:ascii="仿宋" w:hAnsi="仿宋" w:eastAsia="仿宋" w:cs="仿宋"/>
          <w:sz w:val="32"/>
          <w:szCs w:val="32"/>
        </w:rPr>
      </w:pPr>
      <w:r>
        <w:rPr>
          <w:rFonts w:hint="eastAsia" w:ascii="仿宋" w:hAnsi="仿宋" w:eastAsia="仿宋" w:cs="仿宋"/>
          <w:sz w:val="32"/>
          <w:szCs w:val="32"/>
        </w:rPr>
        <w:t>4、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ind w:firstLine="640" w:firstLineChars="200"/>
        <w:rPr>
          <w:rFonts w:ascii="仿宋" w:hAnsi="仿宋" w:eastAsia="仿宋" w:cs="仿宋"/>
          <w:sz w:val="32"/>
          <w:szCs w:val="32"/>
        </w:rPr>
      </w:pPr>
      <w:r>
        <w:rPr>
          <w:rFonts w:hint="eastAsia" w:ascii="仿宋" w:hAnsi="仿宋" w:eastAsia="仿宋" w:cs="仿宋"/>
          <w:sz w:val="32"/>
          <w:szCs w:val="32"/>
        </w:rPr>
        <w:t>5、上年结转和结余：是指以前年度支出预算因客观条件变化未执行完毕、结转到本年度按有关规定继续使用的资金，既包括财政拨款结转和结余，也包括事业收入、经营收入、其他收入的结转和结余。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仿宋" w:hAnsi="仿宋" w:eastAsia="仿宋" w:cs="仿宋"/>
          <w:sz w:val="32"/>
          <w:szCs w:val="32"/>
        </w:rPr>
      </w:pPr>
      <w:r>
        <w:rPr>
          <w:rFonts w:hint="eastAsia" w:ascii="仿宋" w:hAnsi="仿宋" w:eastAsia="仿宋" w:cs="仿宋"/>
          <w:sz w:val="32"/>
          <w:szCs w:val="32"/>
        </w:rPr>
        <w:t>6、基本支出：是指为保障机构正常运转、完成日常工作任务所必需的开支，其内容包括人员经费和日常公用经费两部分。</w:t>
      </w:r>
    </w:p>
    <w:p>
      <w:pPr>
        <w:ind w:firstLine="640" w:firstLineChars="200"/>
        <w:rPr>
          <w:rFonts w:ascii="仿宋" w:hAnsi="仿宋" w:eastAsia="仿宋" w:cs="仿宋"/>
          <w:sz w:val="32"/>
          <w:szCs w:val="32"/>
        </w:rPr>
      </w:pPr>
      <w:r>
        <w:rPr>
          <w:rFonts w:hint="eastAsia" w:ascii="仿宋" w:hAnsi="仿宋" w:eastAsia="仿宋" w:cs="仿宋"/>
          <w:sz w:val="32"/>
          <w:szCs w:val="32"/>
        </w:rPr>
        <w:t>7、项目支出：是指在基本支出之外，为完成特定的行政工作任务或事业发展目标所发生的支出。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8、一般公共服务（类）事务（款）：是指用于保障机构正常运行、开展业务等活动的支出。</w:t>
      </w:r>
    </w:p>
    <w:p>
      <w:pPr>
        <w:ind w:firstLine="640" w:firstLineChars="200"/>
        <w:rPr>
          <w:rFonts w:ascii="仿宋" w:hAnsi="仿宋" w:eastAsia="仿宋" w:cs="仿宋"/>
          <w:sz w:val="32"/>
          <w:szCs w:val="32"/>
        </w:rPr>
      </w:pPr>
      <w:r>
        <w:rPr>
          <w:rFonts w:hint="eastAsia" w:ascii="仿宋" w:hAnsi="仿宋" w:eastAsia="仿宋" w:cs="仿宋"/>
          <w:sz w:val="32"/>
          <w:szCs w:val="32"/>
        </w:rPr>
        <w:t>（1）行政运行（项）：是指为保障机构正常运转、完成日常工作任务安排的支出。</w:t>
      </w:r>
    </w:p>
    <w:p>
      <w:pPr>
        <w:ind w:firstLine="640" w:firstLineChars="200"/>
        <w:rPr>
          <w:rFonts w:ascii="仿宋" w:hAnsi="仿宋" w:eastAsia="仿宋" w:cs="仿宋"/>
          <w:sz w:val="32"/>
          <w:szCs w:val="32"/>
        </w:rPr>
      </w:pPr>
      <w:r>
        <w:rPr>
          <w:rFonts w:hint="eastAsia" w:ascii="仿宋" w:hAnsi="仿宋" w:eastAsia="仿宋" w:cs="仿宋"/>
          <w:sz w:val="32"/>
          <w:szCs w:val="32"/>
        </w:rPr>
        <w:t>（2）一般行政管理事务（项）：是指单位的项目支出。</w:t>
      </w:r>
    </w:p>
    <w:p>
      <w:pPr>
        <w:ind w:firstLine="640" w:firstLineChars="200"/>
        <w:rPr>
          <w:rFonts w:ascii="仿宋" w:hAnsi="仿宋" w:eastAsia="仿宋" w:cs="仿宋"/>
          <w:sz w:val="32"/>
          <w:szCs w:val="32"/>
        </w:rPr>
      </w:pPr>
      <w:r>
        <w:rPr>
          <w:rFonts w:hint="eastAsia" w:ascii="仿宋" w:hAnsi="仿宋" w:eastAsia="仿宋" w:cs="仿宋"/>
          <w:sz w:val="32"/>
          <w:szCs w:val="32"/>
        </w:rPr>
        <w:t>（3）机关服务（项）：是指为单位提供后勤保障服务的机关服务局的支出。</w:t>
      </w:r>
    </w:p>
    <w:p>
      <w:pPr>
        <w:ind w:firstLine="640" w:firstLineChars="200"/>
        <w:rPr>
          <w:rFonts w:ascii="仿宋" w:hAnsi="仿宋" w:eastAsia="仿宋" w:cs="仿宋"/>
          <w:sz w:val="32"/>
          <w:szCs w:val="32"/>
        </w:rPr>
      </w:pPr>
      <w:r>
        <w:rPr>
          <w:rFonts w:hint="eastAsia" w:ascii="仿宋" w:hAnsi="仿宋" w:eastAsia="仿宋" w:cs="仿宋"/>
          <w:sz w:val="32"/>
          <w:szCs w:val="32"/>
        </w:rPr>
        <w:t>（4）事业运行（项）：是指事业单位用于保障机构正常运转的基本支出。</w:t>
      </w:r>
    </w:p>
    <w:p>
      <w:pPr>
        <w:ind w:firstLine="640" w:firstLineChars="200"/>
        <w:rPr>
          <w:rFonts w:ascii="仿宋" w:hAnsi="仿宋" w:eastAsia="仿宋" w:cs="仿宋"/>
          <w:sz w:val="32"/>
          <w:szCs w:val="32"/>
        </w:rPr>
      </w:pPr>
      <w:r>
        <w:rPr>
          <w:rFonts w:hint="eastAsia" w:ascii="仿宋" w:hAnsi="仿宋" w:eastAsia="仿宋" w:cs="仿宋"/>
          <w:sz w:val="32"/>
          <w:szCs w:val="32"/>
        </w:rPr>
        <w:t>9、“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r>
        <w:rPr>
          <w:rFonts w:hint="eastAsia" w:ascii="仿宋" w:hAnsi="仿宋" w:eastAsia="仿宋" w:cs="仿宋"/>
          <w:sz w:val="32"/>
          <w:szCs w:val="32"/>
        </w:rPr>
        <w:t>10、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85AC7A"/>
    <w:multiLevelType w:val="singleLevel"/>
    <w:tmpl w:val="B585AC7A"/>
    <w:lvl w:ilvl="0" w:tentative="0">
      <w:start w:val="4"/>
      <w:numFmt w:val="chineseCounting"/>
      <w:suff w:val="nothing"/>
      <w:lvlText w:val="（%1）"/>
      <w:lvlJc w:val="left"/>
      <w:rPr>
        <w:rFonts w:hint="eastAsia"/>
      </w:rPr>
    </w:lvl>
  </w:abstractNum>
  <w:abstractNum w:abstractNumId="1">
    <w:nsid w:val="D1B13975"/>
    <w:multiLevelType w:val="singleLevel"/>
    <w:tmpl w:val="D1B13975"/>
    <w:lvl w:ilvl="0" w:tentative="0">
      <w:start w:val="1"/>
      <w:numFmt w:val="decimal"/>
      <w:suff w:val="nothing"/>
      <w:lvlText w:val="（%1）"/>
      <w:lvlJc w:val="left"/>
    </w:lvl>
  </w:abstractNum>
  <w:abstractNum w:abstractNumId="2">
    <w:nsid w:val="02B02389"/>
    <w:multiLevelType w:val="singleLevel"/>
    <w:tmpl w:val="02B02389"/>
    <w:lvl w:ilvl="0" w:tentative="0">
      <w:start w:val="3"/>
      <w:numFmt w:val="chineseCounting"/>
      <w:lvlText w:val="(%1)"/>
      <w:lvlJc w:val="left"/>
      <w:pPr>
        <w:tabs>
          <w:tab w:val="left" w:pos="312"/>
        </w:tabs>
      </w:pPr>
      <w:rPr>
        <w:rFonts w:hint="eastAsia"/>
      </w:rPr>
    </w:lvl>
  </w:abstractNum>
  <w:abstractNum w:abstractNumId="3">
    <w:nsid w:val="4662AA8F"/>
    <w:multiLevelType w:val="singleLevel"/>
    <w:tmpl w:val="4662AA8F"/>
    <w:lvl w:ilvl="0" w:tentative="0">
      <w:start w:val="1"/>
      <w:numFmt w:val="chineseCounting"/>
      <w:suff w:val="space"/>
      <w:lvlText w:val="第%1部分"/>
      <w:lvlJc w:val="left"/>
      <w:pPr>
        <w:ind w:left="0" w:firstLine="0"/>
      </w:pPr>
    </w:lvl>
  </w:abstractNum>
  <w:abstractNum w:abstractNumId="4">
    <w:nsid w:val="58366DE8"/>
    <w:multiLevelType w:val="singleLevel"/>
    <w:tmpl w:val="58366DE8"/>
    <w:lvl w:ilvl="0" w:tentative="0">
      <w:start w:val="1"/>
      <w:numFmt w:val="chineseCounting"/>
      <w:suff w:val="nothing"/>
      <w:lvlText w:val="%1、"/>
      <w:lvlJc w:val="left"/>
      <w:pPr>
        <w:ind w:left="555" w:firstLine="0"/>
      </w:pPr>
    </w:lvl>
  </w:abstractNum>
  <w:num w:numId="1">
    <w:abstractNumId w:val="3"/>
    <w:lvlOverride w:ilvl="0">
      <w:startOverride w:val="1"/>
    </w:lvlOverride>
  </w:num>
  <w:num w:numId="2">
    <w:abstractNumId w:val="4"/>
    <w:lvlOverride w:ilvl="0">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1789F"/>
    <w:rsid w:val="0008416D"/>
    <w:rsid w:val="00222224"/>
    <w:rsid w:val="002738C1"/>
    <w:rsid w:val="00293262"/>
    <w:rsid w:val="00451CA8"/>
    <w:rsid w:val="00537650"/>
    <w:rsid w:val="006549ED"/>
    <w:rsid w:val="006F355A"/>
    <w:rsid w:val="00713EEF"/>
    <w:rsid w:val="00755988"/>
    <w:rsid w:val="0083385F"/>
    <w:rsid w:val="00845265"/>
    <w:rsid w:val="00B60910"/>
    <w:rsid w:val="00B76482"/>
    <w:rsid w:val="00BC7A38"/>
    <w:rsid w:val="00C1789F"/>
    <w:rsid w:val="00C96031"/>
    <w:rsid w:val="00CC2C0F"/>
    <w:rsid w:val="00DE1975"/>
    <w:rsid w:val="00F43955"/>
    <w:rsid w:val="01355750"/>
    <w:rsid w:val="05042470"/>
    <w:rsid w:val="0A1759A9"/>
    <w:rsid w:val="0C3A7107"/>
    <w:rsid w:val="0F7B7385"/>
    <w:rsid w:val="0FD92A41"/>
    <w:rsid w:val="11523CBA"/>
    <w:rsid w:val="139C615B"/>
    <w:rsid w:val="13CD6AA0"/>
    <w:rsid w:val="19C66D67"/>
    <w:rsid w:val="1F6E5315"/>
    <w:rsid w:val="212C5C55"/>
    <w:rsid w:val="243564C8"/>
    <w:rsid w:val="2494436E"/>
    <w:rsid w:val="26E44EBF"/>
    <w:rsid w:val="26EE27C9"/>
    <w:rsid w:val="280C734D"/>
    <w:rsid w:val="2A1020D4"/>
    <w:rsid w:val="2B167D8F"/>
    <w:rsid w:val="2BE90163"/>
    <w:rsid w:val="2DAD4F63"/>
    <w:rsid w:val="2E89002C"/>
    <w:rsid w:val="319F7537"/>
    <w:rsid w:val="3B2A0796"/>
    <w:rsid w:val="3CEB4BE1"/>
    <w:rsid w:val="43706342"/>
    <w:rsid w:val="46CB4472"/>
    <w:rsid w:val="46EF7910"/>
    <w:rsid w:val="49BF1A7C"/>
    <w:rsid w:val="4E575432"/>
    <w:rsid w:val="4E691FC5"/>
    <w:rsid w:val="509B011A"/>
    <w:rsid w:val="55CC0762"/>
    <w:rsid w:val="58ED6DB8"/>
    <w:rsid w:val="5A663864"/>
    <w:rsid w:val="5C631B6C"/>
    <w:rsid w:val="61B35A39"/>
    <w:rsid w:val="639562B7"/>
    <w:rsid w:val="67612160"/>
    <w:rsid w:val="69A40F16"/>
    <w:rsid w:val="6F251572"/>
    <w:rsid w:val="7319540C"/>
    <w:rsid w:val="7A5E66E6"/>
    <w:rsid w:val="7B0162F4"/>
    <w:rsid w:val="7EC84F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707</Words>
  <Characters>4030</Characters>
  <Lines>33</Lines>
  <Paragraphs>9</Paragraphs>
  <TotalTime>1</TotalTime>
  <ScaleCrop>false</ScaleCrop>
  <LinksUpToDate>false</LinksUpToDate>
  <CharactersWithSpaces>4728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2018-03-28T00:35:00Z</dcterms:created>
  <dc:creator>china</dc:creator>
  <cp:lastModifiedBy>Administrator</cp:lastModifiedBy>
  <dcterms:modified xsi:type="dcterms:W3CDTF">2019-03-04T02:20:46Z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