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方正小标宋简体"/>
          <w:bCs/>
          <w:sz w:val="36"/>
          <w:szCs w:val="36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</w:pPr>
      <w:r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  <w:t>永城市</w:t>
      </w:r>
      <w:r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  <w:t>住房公积金管理办公室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bookmarkStart w:id="0" w:name="_GoBack"/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bookmarkEnd w:id="0"/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永城市住房公积金管理办公室单位概况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永城市住房公积金管理办公室2018年度部门预算情况说明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附件：永城市住房公积金管理办公室2018年度部门预算表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Arial" w:hAnsi="Arial" w:eastAsia="方正小标宋简体"/>
          <w:bCs/>
          <w:sz w:val="36"/>
          <w:szCs w:val="36"/>
          <w:lang w:eastAsia="zh-CN"/>
        </w:rPr>
        <w:t>永城市住房公积金管理办公室</w:t>
      </w:r>
      <w:r>
        <w:rPr>
          <w:rFonts w:hint="eastAsia" w:ascii="方正小标宋简体" w:eastAsia="方正小标宋简体"/>
          <w:sz w:val="36"/>
          <w:szCs w:val="36"/>
        </w:rPr>
        <w:t>2018年预算基本情况说明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Arial"/>
          <w:b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永城市住房公积金管理办公室单位概况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(一)部门主要职责和机构设置情况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永城市住房公积金管理中心于2012年4月17日经永城市编办行文正式成立，为政府直属事业单位，负责全市行政区域内的住房公积金的登记、缴存、转移、支取、执法、核算、贷款及贷款回收等工作，内设办公室、归集股、财务股、信贷股、审计稽核股等科室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(二)预算年度的主要工作任务</w:t>
      </w:r>
    </w:p>
    <w:p>
      <w:pPr>
        <w:pStyle w:val="4"/>
        <w:spacing w:before="0" w:beforeAutospacing="0" w:after="0" w:afterAutospacing="0"/>
        <w:ind w:firstLine="640"/>
        <w:rPr>
          <w:rFonts w:hint="eastAsia"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贯彻执行国家和省有关住房公积金管理的方针政策和法律规范，依照《住房公积金管理条例》规定履行职责；拟定住房公积金管理办法并组织实施，编制全市住房公积金归集和使用计划；负责全市住房公积金的缴存、支取以及个人住房公积金委托贷款的审批、发放和回收工作；承办全市住房公积金的核算，按规定向市住房公积金管理委员会报告住房公积金归集、使用计划执行情况，经审议通过后向社会公布；负责记载职工住房公积金的缴存、支取、使用等情况；拟定住房公积金增值收益分配方案；按照财务制度规定承办住房公积金呆账坏账的核销工作；承办市政府和市住房公积金管理委员会交办的其他事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  <w:t>（三）部门预算单位构成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永城市住房公积金管理中心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部门预算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永城市住房公积金管理中心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永城市住房公积金管理办公室2018年度部门预算情况说明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2018年收入合计192.22万元，其中，一般公共预算192.22万元。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（二）部门支出预算总体情况说明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2018年支出合计192.22万元，其中：基本支出88.2 万元，占45.9%；项目支出104 万元，占54.1%。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2018年收入预算192.22万元，其中财政拨款192.22万元，比上年增加129.46万元，增长206.28%。主要变化原因：去年项目收入(提取的管理费用)没有列入一般公共预算，当时列入政府性基金 ，今年项目支出（提取的管理费用）纳入一般公共预算。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仿宋_GB2312" w:hAnsi="ˎ̥" w:eastAsia="仿宋_GB2312" w:cs="Arial"/>
          <w:color w:val="00000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sz w:val="32"/>
          <w:szCs w:val="32"/>
        </w:rPr>
        <w:t>2018年支出预算192.22万元，其中财政拨款支出192.22万元，比上年增加129.46万元，增长206.28%。支出按用途划分为：工资福利支出83.23万元，占总支出的43.3%，比上年增加38.73万元，增长87.03%；对个人和家庭的补助0.04万元，占总支出的0.02%，比上年减少2.13万元，减少98.16%；商品服务支4.95万元，占总支出的2.58%，比上年增加0.86万元，增长21.03%；项目支出104万元，占总支出的54.1%，比上年增加92万元，增长766.672%</w:t>
      </w:r>
      <w:r>
        <w:rPr>
          <w:rFonts w:ascii="仿宋_GB2312" w:hAnsi="ˎ̥" w:eastAsia="仿宋_GB2312" w:cs="Arial"/>
          <w:color w:val="000000"/>
          <w:sz w:val="32"/>
          <w:szCs w:val="32"/>
        </w:rPr>
        <w:t>。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主要变化原因：工资福利支出增加原因为人员增加，实行新工资，增加养老保险金，住房公积金调到工资福利；个人和家庭的补助减少原因为住房公积金调到工资福利支出；商品服务支出增加原因为人员增加，公用经费增加；项目支出增加原因为去年项目支出(提取的管理费用)没有列入一般公共预算，当时列入政府性基金 ，今年项目支出（提取的管理费用）纳入一般公共预算。</w:t>
      </w:r>
    </w:p>
    <w:p>
      <w:pPr>
        <w:ind w:firstLine="640" w:firstLineChars="200"/>
        <w:jc w:val="left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无。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ind w:firstLine="640" w:firstLineChars="200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2018年“三公”经费支出预算1.98万元，较上年下降1%。其中：公务接待费0.3万元，较上年下降3.3%；公务用车运行维护费1.7万元，较上年下降0.59%。</w:t>
      </w:r>
      <w:r>
        <w:rPr>
          <w:rFonts w:hint="eastAsia" w:ascii="仿宋_GB2312" w:eastAsia="仿宋_GB2312"/>
          <w:b/>
          <w:sz w:val="32"/>
          <w:szCs w:val="32"/>
        </w:rPr>
        <w:t>主要变化原因：</w:t>
      </w:r>
      <w:r>
        <w:rPr>
          <w:rFonts w:ascii="仿宋_GB2312" w:eastAsia="仿宋_GB2312"/>
          <w:sz w:val="32"/>
          <w:szCs w:val="32"/>
        </w:rPr>
        <w:t>严格执行《党政机关国内公务接待管理规定》等办法，</w:t>
      </w:r>
      <w:r>
        <w:rPr>
          <w:rFonts w:hint="eastAsia" w:ascii="仿宋_GB2312" w:eastAsia="仿宋_GB2312"/>
          <w:sz w:val="32"/>
          <w:szCs w:val="32"/>
        </w:rPr>
        <w:t>坚持</w:t>
      </w:r>
      <w:r>
        <w:rPr>
          <w:rFonts w:ascii="仿宋_GB2312" w:eastAsia="仿宋_GB2312"/>
          <w:sz w:val="32"/>
          <w:szCs w:val="32"/>
        </w:rPr>
        <w:t>厉行勤俭节约，不断压缩公务接待费支出</w:t>
      </w:r>
      <w:r>
        <w:rPr>
          <w:rFonts w:hint="eastAsia" w:ascii="仿宋_GB2312" w:eastAsia="仿宋_GB2312"/>
          <w:sz w:val="32"/>
          <w:szCs w:val="32"/>
        </w:rPr>
        <w:t>;</w:t>
      </w:r>
      <w:r>
        <w:rPr>
          <w:rFonts w:ascii="仿宋_GB2312" w:eastAsia="仿宋_GB2312"/>
          <w:sz w:val="32"/>
          <w:szCs w:val="32"/>
        </w:rPr>
        <w:t xml:space="preserve"> 公车改革实施后，公务用车保有量下降，</w:t>
      </w:r>
      <w:r>
        <w:rPr>
          <w:rFonts w:hint="eastAsia" w:ascii="仿宋_GB2312" w:eastAsia="仿宋_GB2312"/>
          <w:sz w:val="32"/>
          <w:szCs w:val="32"/>
        </w:rPr>
        <w:t>严格公务车辆出行管理，</w:t>
      </w:r>
      <w:r>
        <w:rPr>
          <w:rFonts w:ascii="仿宋_GB2312" w:eastAsia="仿宋_GB2312"/>
          <w:sz w:val="32"/>
          <w:szCs w:val="32"/>
        </w:rPr>
        <w:t>公务用车运行维护费降低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 xml:space="preserve"> (一)机关运行经费支出情况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2018年商品服务支出</w:t>
      </w:r>
      <w:r>
        <w:rPr>
          <w:rFonts w:ascii="仿宋_GB2312" w:eastAsia="仿宋_GB2312"/>
          <w:sz w:val="32"/>
          <w:szCs w:val="32"/>
        </w:rPr>
        <w:t>4.95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办公费</w:t>
      </w:r>
      <w:r>
        <w:rPr>
          <w:rFonts w:ascii="仿宋_GB2312" w:eastAsia="仿宋_GB2312"/>
          <w:sz w:val="32"/>
          <w:szCs w:val="32"/>
        </w:rPr>
        <w:t>3.9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工会费用</w:t>
      </w:r>
      <w:r>
        <w:rPr>
          <w:rFonts w:ascii="仿宋_GB2312" w:eastAsia="仿宋_GB2312"/>
          <w:sz w:val="32"/>
          <w:szCs w:val="32"/>
        </w:rPr>
        <w:t>0.3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hAnsi="ˎ̥" w:eastAsia="仿宋_GB2312" w:cs="Arial"/>
          <w:color w:val="000000"/>
          <w:sz w:val="32"/>
          <w:szCs w:val="32"/>
        </w:rPr>
        <w:t>福利费</w:t>
      </w:r>
      <w:r>
        <w:rPr>
          <w:rFonts w:ascii="仿宋_GB2312" w:hAnsi="ˎ̥" w:eastAsia="仿宋_GB2312" w:cs="Arial"/>
          <w:color w:val="000000"/>
          <w:sz w:val="32"/>
          <w:szCs w:val="32"/>
        </w:rPr>
        <w:t>0.75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(二)政府采购支出情况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numPr>
          <w:ilvl w:val="0"/>
          <w:numId w:val="0"/>
        </w:numPr>
        <w:ind w:left="640"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3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第三部分、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专业性较强的名词解释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、事业收入：是指事业单位开展专业活动及辅助活动所取</w:t>
      </w: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得的收入。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、其他收入：是指部门取得的除“财政拨款”、“事业收入”、“事业单位经营收入”等以外的收入。</w:t>
      </w: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支差额的基金）弥补当年收支缺口的资金。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5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6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7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8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</w:t>
      </w: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</w:t>
      </w: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</w:t>
      </w: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（</w:t>
      </w: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ascii="仿宋_GB2312" w:hAnsi="ˎ̥" w:eastAsia="仿宋_GB2312" w:cs="Arial"/>
          <w:color w:val="000000"/>
          <w:kern w:val="0"/>
          <w:sz w:val="32"/>
          <w:szCs w:val="32"/>
        </w:rPr>
        <w:t>10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p>
      <w:pPr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89F"/>
    <w:rsid w:val="0008416D"/>
    <w:rsid w:val="000C2CD8"/>
    <w:rsid w:val="001A3708"/>
    <w:rsid w:val="002B6035"/>
    <w:rsid w:val="00325CA1"/>
    <w:rsid w:val="004416CD"/>
    <w:rsid w:val="004461BC"/>
    <w:rsid w:val="004673D4"/>
    <w:rsid w:val="00537650"/>
    <w:rsid w:val="00596611"/>
    <w:rsid w:val="005C7545"/>
    <w:rsid w:val="0062545D"/>
    <w:rsid w:val="006549ED"/>
    <w:rsid w:val="006B2394"/>
    <w:rsid w:val="006C704F"/>
    <w:rsid w:val="006F355A"/>
    <w:rsid w:val="0074299A"/>
    <w:rsid w:val="00755988"/>
    <w:rsid w:val="007F1190"/>
    <w:rsid w:val="0083385F"/>
    <w:rsid w:val="00845265"/>
    <w:rsid w:val="008519BC"/>
    <w:rsid w:val="008F2B22"/>
    <w:rsid w:val="009054C0"/>
    <w:rsid w:val="00A41193"/>
    <w:rsid w:val="00B60910"/>
    <w:rsid w:val="00B76482"/>
    <w:rsid w:val="00BC7A38"/>
    <w:rsid w:val="00C1789F"/>
    <w:rsid w:val="00C45861"/>
    <w:rsid w:val="00C96031"/>
    <w:rsid w:val="00CC2C0F"/>
    <w:rsid w:val="00CE29DE"/>
    <w:rsid w:val="00D909D7"/>
    <w:rsid w:val="00DD0EDB"/>
    <w:rsid w:val="00F344A0"/>
    <w:rsid w:val="44B176D1"/>
    <w:rsid w:val="45614EFC"/>
    <w:rsid w:val="65804977"/>
    <w:rsid w:val="6C7E02C5"/>
    <w:rsid w:val="6DA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363</Words>
  <Characters>2070</Characters>
  <Lines>17</Lines>
  <Paragraphs>4</Paragraphs>
  <TotalTime>78</TotalTime>
  <ScaleCrop>false</ScaleCrop>
  <LinksUpToDate>false</LinksUpToDate>
  <CharactersWithSpaces>2429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2019-03-04T00:14:09Z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