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方正小标宋简体"/>
          <w:bCs/>
          <w:sz w:val="36"/>
          <w:szCs w:val="36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  <w:t>中共永城市委政策研究室</w:t>
      </w: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中共永城市委政策研究室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中共永城市委政策研究室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附件：中共永城市委政策研究室2018年度部门预算表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cs="Arial" w:asciiTheme="majorEastAsia" w:hAnsiTheme="majorEastAsia" w:eastAsiaTheme="majorEastAsia"/>
          <w:sz w:val="44"/>
          <w:szCs w:val="44"/>
          <w:lang w:eastAsia="zh-CN"/>
        </w:rPr>
      </w:pPr>
    </w:p>
    <w:p>
      <w:pPr>
        <w:jc w:val="center"/>
        <w:rPr>
          <w:rFonts w:hint="eastAsia" w:cs="Arial" w:asciiTheme="majorEastAsia" w:hAnsiTheme="majorEastAsia" w:eastAsiaTheme="majorEastAsia"/>
          <w:b/>
          <w:bCs/>
          <w:sz w:val="44"/>
          <w:szCs w:val="44"/>
          <w:lang w:eastAsia="zh-CN"/>
        </w:rPr>
      </w:pPr>
      <w:r>
        <w:rPr>
          <w:rFonts w:hint="eastAsia" w:cs="Arial" w:asciiTheme="majorEastAsia" w:hAnsiTheme="majorEastAsia" w:eastAsiaTheme="majorEastAsia"/>
          <w:b/>
          <w:bCs/>
          <w:sz w:val="44"/>
          <w:szCs w:val="44"/>
          <w:lang w:eastAsia="zh-CN"/>
        </w:rPr>
        <w:t>中共永城市委政策研究室</w:t>
      </w: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2018年预算基本情况说明</w:t>
      </w:r>
    </w:p>
    <w:p>
      <w:pPr>
        <w:pStyle w:val="4"/>
        <w:spacing w:before="0" w:beforeAutospacing="0" w:after="0" w:afterAutospacing="0"/>
        <w:ind w:firstLine="640" w:firstLineChars="200"/>
        <w:rPr>
          <w:rStyle w:val="6"/>
          <w:rFonts w:ascii="黑体" w:hAnsi="黑体" w:eastAsia="黑体" w:cs="Arial"/>
          <w:b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中共永城市委政策研究室单位概况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(一)部门主要职责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围绕市委的中心工作，对全市政治、经济及社会各方面的重要方针、政策和重大问题进行调查研究，提出意见和建议，供市委决策参考等各项工作。</w:t>
      </w:r>
    </w:p>
    <w:p>
      <w:pPr>
        <w:pStyle w:val="4"/>
        <w:spacing w:before="0" w:beforeAutospacing="0" w:after="0" w:afterAutospacing="0"/>
        <w:ind w:firstLine="1120" w:firstLineChars="35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（二）机构设置情况</w:t>
      </w:r>
    </w:p>
    <w:p>
      <w:pPr>
        <w:pStyle w:val="4"/>
        <w:spacing w:before="0" w:beforeAutospacing="0" w:after="0" w:afterAutospacing="0"/>
        <w:ind w:firstLine="1120" w:firstLineChars="35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政研室财政全供，内部设有办公室、调研科、综合科3个科室。</w:t>
      </w:r>
    </w:p>
    <w:p>
      <w:pPr>
        <w:pStyle w:val="4"/>
        <w:spacing w:before="0" w:beforeAutospacing="0" w:after="0" w:afterAutospacing="0"/>
        <w:ind w:firstLine="1280" w:firstLineChars="4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(三)预算年度的主要工作任务</w:t>
      </w:r>
    </w:p>
    <w:p>
      <w:pPr>
        <w:pStyle w:val="4"/>
        <w:spacing w:before="0" w:beforeAutospacing="0" w:after="0" w:afterAutospacing="0"/>
        <w:ind w:firstLine="1280" w:firstLineChars="40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确保调查研究、决策参考、永城工作、改革办完成市委文件起草工作及市委、上级政研室交办的其它任务等各项工作圆满完成。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中共永城市委政策研究室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中共永城市委政策研究室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中共永城市委政策研究室2018年度部门预算情况说明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 126.59 万元，其中，一般公共预算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126.59万元，部门财政性资金结转0万元。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2018年支出合计126.59万元，其中：基本支出92.69</w:t>
      </w:r>
    </w:p>
    <w:p>
      <w:pPr>
        <w:pStyle w:val="4"/>
        <w:spacing w:before="0" w:beforeAutospacing="0" w:after="0" w:afterAutospacing="0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万元，占73%；项目支出33.9万元，占27%。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Arial" w:hAnsi="Arial" w:eastAsia="方正小标宋简体" w:cs="Arial"/>
          <w:sz w:val="36"/>
          <w:szCs w:val="36"/>
        </w:rPr>
        <w:t>126.59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万元，其中财政拨款126.59</w:t>
      </w:r>
    </w:p>
    <w:p>
      <w:pPr>
        <w:pStyle w:val="4"/>
        <w:spacing w:before="0" w:beforeAutospacing="0" w:after="0" w:afterAutospacing="0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万元，比上年增加18.26万元，增长17%；纳入预算管理的行政事业性收费收入0万元，比上年增加0万元，增长0</w:t>
      </w:r>
    </w:p>
    <w:p>
      <w:pPr>
        <w:pStyle w:val="4"/>
        <w:spacing w:before="0" w:beforeAutospacing="0" w:after="0" w:afterAutospacing="0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%。主要变化原因：按照新工资执行标准执行新工资，公务交通补贴。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2018年支出预算126.59万元，其中财政拨款支出126.59万元，比上年增加18.26万元，增长17%。支出按用途划分为：工资福利支出73.08万元，占总支出的58%，比上年增加27.15万元，增长58%；对个人和家庭的补助1.2</w:t>
      </w:r>
    </w:p>
    <w:p>
      <w:pPr>
        <w:pStyle w:val="4"/>
        <w:spacing w:before="0" w:beforeAutospacing="0" w:after="0" w:afterAutospacing="0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万元，增长0%；商品服务支出18.41万元，占总支出的15%，比上年增加6.05</w:t>
      </w:r>
    </w:p>
    <w:p>
      <w:pPr>
        <w:pStyle w:val="4"/>
        <w:spacing w:before="0" w:beforeAutospacing="0" w:after="0" w:afterAutospacing="0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万元，增长49%；项目支出33.9万元，占总支出的27%，比上年增加5万元，增长17%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主要变化原因：工作量大，经费不足。</w:t>
      </w:r>
    </w:p>
    <w:p>
      <w:pPr>
        <w:pStyle w:val="4"/>
        <w:ind w:firstLine="640" w:firstLineChars="200"/>
        <w:rPr>
          <w:rFonts w:hint="eastAsia"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Arial" w:hAnsi="Arial" w:eastAsia="方正小标宋简体" w:cs="Arial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0万元，较上年下降(或增长)0%。其中：因公出国(境)费用0万元，较上年下降(或增长)0%；公务接待费0万元，较上年下降(或增长)0%；公务用车运行维护费0万元，较上年下降(或增长)0%；公务用车购置</w:t>
      </w:r>
      <w:r>
        <w:rPr>
          <w:rFonts w:hint="eastAsia"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/>
          <w:sz w:val="32"/>
          <w:szCs w:val="32"/>
        </w:rPr>
        <w:t>，较上年下降(或增长)0%。</w:t>
      </w:r>
      <w:r>
        <w:rPr>
          <w:rFonts w:hint="eastAsia" w:ascii="仿宋_GB2312" w:eastAsia="仿宋_GB2312"/>
          <w:b/>
          <w:sz w:val="32"/>
          <w:szCs w:val="32"/>
        </w:rPr>
        <w:t>主要变化原因：无。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办公费7万元；印刷费7万元；邮电费1万元；差旅费2.49万元；工会费0.26万元；福利费0.66万元；</w:t>
      </w:r>
    </w:p>
    <w:p>
      <w:pPr>
        <w:numPr>
          <w:ilvl w:val="0"/>
          <w:numId w:val="3"/>
        </w:numPr>
        <w:ind w:left="320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第三部分、专业性较强的名词解释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4AEAFCF6"/>
    <w:multiLevelType w:val="singleLevel"/>
    <w:tmpl w:val="4AEAFCF6"/>
    <w:lvl w:ilvl="0" w:tentative="0">
      <w:start w:val="2"/>
      <w:numFmt w:val="chineseCounting"/>
      <w:lvlText w:val="(%1)"/>
      <w:lvlJc w:val="left"/>
      <w:pPr>
        <w:tabs>
          <w:tab w:val="left" w:pos="312"/>
        </w:tabs>
        <w:ind w:left="320" w:leftChars="0" w:firstLine="0" w:firstLineChars="0"/>
      </w:pPr>
      <w:rPr>
        <w:rFonts w:hint="eastAsia"/>
      </w:rPr>
    </w:lvl>
  </w:abstractNum>
  <w:abstractNum w:abstractNumId="3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789F"/>
    <w:rsid w:val="0008416D"/>
    <w:rsid w:val="00537650"/>
    <w:rsid w:val="00556AF3"/>
    <w:rsid w:val="006549ED"/>
    <w:rsid w:val="006E78C6"/>
    <w:rsid w:val="006F355A"/>
    <w:rsid w:val="00755988"/>
    <w:rsid w:val="007F7E18"/>
    <w:rsid w:val="0083385F"/>
    <w:rsid w:val="00845265"/>
    <w:rsid w:val="008F0CC7"/>
    <w:rsid w:val="00B60910"/>
    <w:rsid w:val="00B76482"/>
    <w:rsid w:val="00BC7A38"/>
    <w:rsid w:val="00BD654E"/>
    <w:rsid w:val="00C0033F"/>
    <w:rsid w:val="00C1789F"/>
    <w:rsid w:val="00C3277C"/>
    <w:rsid w:val="00C96031"/>
    <w:rsid w:val="00CC2C0F"/>
    <w:rsid w:val="00F37A33"/>
    <w:rsid w:val="20FF62CB"/>
    <w:rsid w:val="24DB49E9"/>
    <w:rsid w:val="2C9A11B1"/>
    <w:rsid w:val="370A4834"/>
    <w:rsid w:val="4122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296</Words>
  <Characters>1689</Characters>
  <Lines>14</Lines>
  <Paragraphs>3</Paragraphs>
  <TotalTime>1</TotalTime>
  <ScaleCrop>false</ScaleCrop>
  <LinksUpToDate>false</LinksUpToDate>
  <CharactersWithSpaces>1982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2019-03-01T03:30:51Z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