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永城市</w:t>
      </w:r>
      <w:r>
        <w:rPr>
          <w:rFonts w:hint="eastAsia" w:cs="方正大标宋_GBK" w:asciiTheme="minorEastAsia" w:hAnsiTheme="minorEastAsia" w:eastAsiaTheme="minorEastAsia"/>
          <w:b/>
          <w:spacing w:val="-20"/>
          <w:sz w:val="52"/>
          <w:szCs w:val="52"/>
        </w:rPr>
        <w:t>人大常委会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firstLine="3585" w:firstLineChars="744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方正大标宋_GBK"/>
          <w:b/>
          <w:spacing w:val="-20"/>
          <w:sz w:val="32"/>
          <w:szCs w:val="32"/>
        </w:rPr>
        <w:t>人大常委会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方正大标宋_GBK"/>
          <w:b/>
          <w:spacing w:val="-20"/>
          <w:sz w:val="32"/>
          <w:szCs w:val="32"/>
        </w:rPr>
        <w:t>人大常委会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numPr>
          <w:numId w:val="0"/>
        </w:numPr>
        <w:spacing w:line="720" w:lineRule="auto"/>
        <w:ind w:left="240" w:left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名词解释</w:t>
      </w:r>
    </w:p>
    <w:p>
      <w:pPr>
        <w:numPr>
          <w:numId w:val="0"/>
        </w:numPr>
        <w:spacing w:line="720" w:lineRule="auto"/>
        <w:ind w:left="240" w:leftChars="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numPr>
          <w:numId w:val="0"/>
        </w:numPr>
        <w:spacing w:line="720" w:lineRule="auto"/>
        <w:ind w:left="240" w:leftChars="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numPr>
          <w:numId w:val="0"/>
        </w:numPr>
        <w:spacing w:line="720" w:lineRule="auto"/>
        <w:ind w:left="240" w:leftChars="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numPr>
          <w:numId w:val="0"/>
        </w:numPr>
        <w:spacing w:line="720" w:lineRule="auto"/>
        <w:ind w:left="240" w:leftChars="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="方正大标宋_GBK"/>
          <w:b/>
          <w:spacing w:val="-20"/>
          <w:sz w:val="32"/>
          <w:szCs w:val="32"/>
        </w:rPr>
        <w:t>人大常委会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大标宋_GBK" w:hAnsi="方正大标宋_GBK" w:eastAsia="方正大标宋_GBK" w:cs="方正大标宋_GBK"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ascii="方正大标宋_GBK" w:hAnsi="方正大标宋_GBK" w:eastAsia="方正大标宋_GBK" w:cs="方正大标宋_GBK"/>
          <w:spacing w:val="-2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pacing w:val="-20"/>
          <w:sz w:val="44"/>
          <w:szCs w:val="44"/>
        </w:rPr>
        <w:t>永城市人大常委会2018年预算基本情况说明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numId w:val="0"/>
        </w:numPr>
        <w:spacing w:line="720" w:lineRule="auto"/>
        <w:ind w:left="240" w:leftChars="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方正大标宋_GBK"/>
          <w:b/>
          <w:spacing w:val="-20"/>
          <w:sz w:val="32"/>
          <w:szCs w:val="32"/>
        </w:rPr>
        <w:t>人大常委会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(一)部门主要职责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职责是：讨论、决定本行政区域内的政治、经济、社会建设、教育、科学、文化、卫生、环境和资源保护、民政、民族工作的重大事项；监督本级人民政府、监察委员会、人民法院和人民检察院的工作；依法任免本级国家机关工作人员等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（二）机构设置情况</w:t>
      </w:r>
    </w:p>
    <w:p>
      <w:pPr>
        <w:pStyle w:val="4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永城市人大常委会的性质属于县级国家权力机关，内设9个职能委室：办公室、教科文卫工作委员会、预算审查工作委员会、选举任免代表联络工作委员会、城建环保工作委员会、内务司法工作委员会、财政经济工作委员会、农村工作委员会、信访室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(三)预算年度的主要工作任务</w:t>
      </w:r>
    </w:p>
    <w:p>
      <w:pPr>
        <w:pStyle w:val="4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为确保2018年各项工作的顺利实施，市人大常委会将严格按照预算的各项支出安排，厉行节约，切实做好人大的各项工作，确保人大常委会机关2018年预算工作顺利完成。</w:t>
      </w:r>
    </w:p>
    <w:p>
      <w:pPr>
        <w:widowControl/>
        <w:spacing w:line="360" w:lineRule="auto"/>
        <w:ind w:firstLine="640" w:firstLineChars="200"/>
        <w:jc w:val="left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永城市人民代表大会常务委员会部门预算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永城市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人民代表大会常务委员会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方正大标宋_GBK"/>
          <w:b/>
          <w:spacing w:val="-20"/>
          <w:sz w:val="32"/>
          <w:szCs w:val="32"/>
        </w:rPr>
        <w:t>人大常委会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 w:line="560" w:lineRule="exact"/>
        <w:ind w:firstLine="838" w:firstLineChars="26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2018年收入合计</w:t>
      </w:r>
      <w:r>
        <w:rPr>
          <w:rFonts w:hint="eastAsia" w:ascii="仿宋_GB2312" w:hAnsi="仿宋_GB2312" w:eastAsia="仿宋_GB2312" w:cs="仿宋_GB2312"/>
          <w:sz w:val="32"/>
          <w:szCs w:val="32"/>
        </w:rPr>
        <w:t>806.61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万元，其中，一般公共预算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806.61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万元，部门财政性资金结转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2018年支出合计</w:t>
      </w:r>
      <w:r>
        <w:rPr>
          <w:rFonts w:hint="eastAsia" w:ascii="仿宋_GB2312" w:hAnsi="仿宋_GB2312" w:eastAsia="仿宋_GB2312" w:cs="仿宋_GB2312"/>
          <w:sz w:val="32"/>
          <w:szCs w:val="32"/>
        </w:rPr>
        <w:t>806.61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563.9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242.7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2018年收入预算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806.61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806.61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40.7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%；纳入预算管理的行政事业性收费收入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%。主要变化原因：工资及养老保险等刚性支出增加。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2018年支出预算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806.61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万元，其中财政拨款支出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806.61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40.7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%。支出按用途划分为：工资福利支出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403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万元，占总支出的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169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%；对个人和家庭的补助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万元，占总支出的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%，比上年减少194.1万元，减少72%；商品服务支出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87.1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万元，占总支出的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242.1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万元，占总支出的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40.45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%。主要变化原因：工资及养老保险等刚性支出增加，退休人员工资移交人力资源和社会保障局。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、政府性基金预算收支预算情况说明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2018年“三公”经费支出预算10万元，较上年下降14%。其中：因公出国(境)费用为0，较上年无增减；公务接待费6万元，较上年下降9%；公务用车运行维护费4.8万元，较上年下降4%；公务用车购置为0，较上年无增减。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主要变化原因：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支出减少。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、其他重要事项的情况说明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(一)机关运行经费支出情况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商品和服务支出：共计87.1万元，其中办公费15万元，印刷费18.4万元，邮电费20.4万元，差旅费21.4万元，会议费7万元，工会经费1.4万元，福利费3.48万元。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3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第三部分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、专业性较强的名词解释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1、财政拨款收入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：是指市级财政当年拨付的资金。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2、事业收入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：是指事业单位开展专业活动及辅助活动所取 得的收入。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3、其他收入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：是指部门取得的除“财政拨款”、“事业收入”、“事业单位经营收入”等以外的收入。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4、用事业基金弥补收支差额</w:t>
      </w:r>
      <w:r>
        <w:rPr>
          <w:rFonts w:hint="eastAsia" w:ascii="仿宋_GB2312" w:hAnsi="仿宋_GB2312" w:eastAsia="仿宋_GB2312" w:cs="仿宋_GB2312"/>
          <w:sz w:val="32"/>
          <w:szCs w:val="32"/>
        </w:rPr>
        <w:t>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5、上年结转和结余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6、基本支出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：是指为保障机构正常运转、完成日常工作任务所必需的开支，其内容包括人员经费和日常公用经费两部分。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7、项目支出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：是指在基本支出之外，为完成特定的行政工作任务或事业发展目标所发生的支出。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8、一般公共服务（类）事务（款）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：是指用于保障机构正常运行、开展业务等活动的支出。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（1）行政运行（项）：是指为保障机构正常运转、完成日常工作任务安排的支出。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（2）一般行政管理事务（项）：是指单位的项目支出。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（3）机关服务（项）：是指为单位提供后勤保障服务的机关服务局的支出。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（4）事业运行（项）：是指事业单位用于保障机构正常运转的基本支出。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9、“三公”经费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10、机关运行经费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2676"/>
    <w:rsid w:val="00034B98"/>
    <w:rsid w:val="002E1135"/>
    <w:rsid w:val="004A1ED4"/>
    <w:rsid w:val="00655CF6"/>
    <w:rsid w:val="008942A4"/>
    <w:rsid w:val="008D2676"/>
    <w:rsid w:val="00D251B8"/>
    <w:rsid w:val="00FC57C4"/>
    <w:rsid w:val="0B1348D2"/>
    <w:rsid w:val="1CE02BB3"/>
    <w:rsid w:val="324E5A8B"/>
    <w:rsid w:val="6C05051A"/>
    <w:rsid w:val="70EF2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rFonts w:cs="Times New Roman"/>
      <w:b/>
    </w:rPr>
  </w:style>
  <w:style w:type="character" w:customStyle="1" w:styleId="8">
    <w:name w:val="页眉 Char"/>
    <w:link w:val="3"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379</Words>
  <Characters>2162</Characters>
  <Lines>18</Lines>
  <Paragraphs>5</Paragraphs>
  <TotalTime>0</TotalTime>
  <ScaleCrop>false</ScaleCrop>
  <LinksUpToDate>false</LinksUpToDate>
  <CharactersWithSpaces>2536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cp:lastPrinted>2018-04-18T01:08:00Z</cp:lastPrinted>
  <dcterms:modified xsi:type="dcterms:W3CDTF">2019-03-04T01:09:14Z</dcterms:modified>
  <dc:title>永城市人大2018年预算基本情况说明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