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cs="Arial" w:asciiTheme="minorEastAsia" w:hAnsiTheme="minorEastAsia" w:eastAsiaTheme="minorEastAsia"/>
          <w:b/>
          <w:sz w:val="52"/>
          <w:szCs w:val="52"/>
        </w:rPr>
      </w:pPr>
      <w:r>
        <w:rPr>
          <w:rFonts w:hint="eastAsia" w:asciiTheme="minorEastAsia" w:hAnsiTheme="minorEastAsia"/>
          <w:b/>
          <w:sz w:val="52"/>
          <w:szCs w:val="52"/>
        </w:rPr>
        <w:t>永城市</w:t>
      </w:r>
      <w:r>
        <w:rPr>
          <w:rFonts w:hint="eastAsia" w:asciiTheme="majorEastAsia" w:hAnsiTheme="majorEastAsia" w:eastAsiaTheme="majorEastAsia"/>
          <w:b/>
          <w:sz w:val="52"/>
          <w:szCs w:val="52"/>
        </w:rPr>
        <w:t>人民政府征迁办公室</w:t>
      </w:r>
    </w:p>
    <w:p>
      <w:pPr>
        <w:jc w:val="center"/>
        <w:rPr>
          <w:rStyle w:val="6"/>
          <w:rFonts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spacing w:line="720" w:lineRule="auto"/>
        <w:ind w:firstLine="3585" w:firstLineChars="744"/>
        <w:rPr>
          <w:rFonts w:hint="eastAsia" w:ascii="黑体" w:hAnsi="黑体" w:eastAsia="黑体" w:cs="黑体"/>
          <w:b/>
          <w:bCs/>
          <w:sz w:val="48"/>
          <w:szCs w:val="48"/>
        </w:rPr>
      </w:pPr>
    </w:p>
    <w:p>
      <w:pPr>
        <w:spacing w:line="720" w:lineRule="auto"/>
        <w:ind w:firstLine="3585" w:firstLineChars="744"/>
        <w:rPr>
          <w:rFonts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b/>
          <w:sz w:val="32"/>
          <w:szCs w:val="32"/>
        </w:rPr>
        <w:t>人民政府征迁办公室</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第二部分永城市</w:t>
      </w:r>
      <w:r>
        <w:rPr>
          <w:rFonts w:hint="eastAsia" w:ascii="黑体" w:hAnsi="黑体" w:eastAsia="黑体"/>
          <w:b/>
          <w:sz w:val="32"/>
          <w:szCs w:val="32"/>
        </w:rPr>
        <w:t>人民政府征迁办公室</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b/>
          <w:sz w:val="32"/>
          <w:szCs w:val="32"/>
        </w:rPr>
        <w:t>人民政府征迁办公室</w:t>
      </w:r>
      <w:r>
        <w:rPr>
          <w:rFonts w:hint="eastAsia" w:ascii="黑体" w:hAnsi="黑体" w:eastAsia="黑体" w:cs="黑体"/>
          <w:b/>
          <w:bCs/>
          <w:sz w:val="32"/>
          <w:szCs w:val="32"/>
        </w:rPr>
        <w:t>2018年度部门预算表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永城市人民政府征迁办公室</w:t>
      </w:r>
    </w:p>
    <w:p>
      <w:pPr>
        <w:jc w:val="center"/>
        <w:rPr>
          <w:rFonts w:ascii="方正小标宋简体" w:eastAsia="方正小标宋简体"/>
          <w:sz w:val="36"/>
          <w:szCs w:val="36"/>
        </w:rPr>
      </w:pPr>
      <w:r>
        <w:rPr>
          <w:rFonts w:hint="eastAsia" w:ascii="方正小标宋简体" w:eastAsia="方正小标宋简体"/>
          <w:sz w:val="36"/>
          <w:szCs w:val="36"/>
        </w:rPr>
        <w:t>2018年预算基本情况说明</w:t>
      </w:r>
    </w:p>
    <w:p>
      <w:pPr>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b/>
          <w:sz w:val="32"/>
          <w:szCs w:val="32"/>
        </w:rPr>
        <w:t>人民政府征迁办公室</w:t>
      </w:r>
      <w:r>
        <w:rPr>
          <w:rFonts w:hint="eastAsia" w:ascii="黑体" w:hAnsi="黑体" w:eastAsia="黑体" w:cs="黑体"/>
          <w:b/>
          <w:bCs/>
          <w:sz w:val="32"/>
          <w:szCs w:val="32"/>
        </w:rPr>
        <w:t>单位概况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　　(一)部门主要职责</w:t>
      </w:r>
    </w:p>
    <w:p>
      <w:pPr>
        <w:pStyle w:val="4"/>
        <w:spacing w:before="0" w:beforeAutospacing="0" w:after="0" w:afterAutospacing="0"/>
        <w:ind w:firstLine="1280" w:firstLineChars="400"/>
        <w:rPr>
          <w:rFonts w:ascii="仿宋_GB2312" w:hAnsi="ˎ̥" w:eastAsia="仿宋_GB2312" w:cs="Arial"/>
          <w:color w:val="000000"/>
          <w:sz w:val="32"/>
          <w:szCs w:val="32"/>
        </w:rPr>
      </w:pPr>
      <w:r>
        <w:rPr>
          <w:rFonts w:hint="eastAsia" w:ascii="仿宋_GB2312" w:hAnsi="ˎ̥" w:eastAsia="仿宋_GB2312" w:cs="Arial"/>
          <w:color w:val="000000"/>
          <w:sz w:val="32"/>
          <w:szCs w:val="32"/>
        </w:rPr>
        <w:t>永城市人民政府征迁办公室主要负责采煤沉陷区村庄搬迁安置工作的组织实施和各项服务、土地监管工作、协调推进采煤安置小区的各项工作等。</w:t>
      </w:r>
    </w:p>
    <w:p>
      <w:pPr>
        <w:pStyle w:val="4"/>
        <w:numPr>
          <w:ilvl w:val="0"/>
          <w:numId w:val="3"/>
        </w:numPr>
        <w:spacing w:before="0" w:beforeAutospacing="0" w:after="0" w:afterAutospacing="0"/>
        <w:ind w:firstLine="1120" w:firstLineChars="350"/>
        <w:rPr>
          <w:rFonts w:ascii="仿宋_GB2312" w:hAnsi="ˎ̥" w:eastAsia="仿宋_GB2312" w:cs="Arial"/>
          <w:color w:val="000000"/>
          <w:sz w:val="32"/>
          <w:szCs w:val="32"/>
        </w:rPr>
      </w:pPr>
      <w:r>
        <w:rPr>
          <w:rFonts w:hint="eastAsia" w:ascii="仿宋_GB2312" w:hAnsi="ˎ̥" w:eastAsia="仿宋_GB2312" w:cs="Arial"/>
          <w:color w:val="000000"/>
          <w:sz w:val="32"/>
          <w:szCs w:val="32"/>
        </w:rPr>
        <w:t>机构设置情况（包含二级机构的请写明二级机构的基本情况）</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单位内设科室有办公室、财务科、征迁一科、征迁二科、征迁三科、信访科、复垦科、中转办。</w:t>
      </w:r>
    </w:p>
    <w:p>
      <w:pPr>
        <w:pStyle w:val="4"/>
        <w:numPr>
          <w:ilvl w:val="0"/>
          <w:numId w:val="4"/>
        </w:numPr>
        <w:spacing w:before="0" w:beforeAutospacing="0" w:after="0" w:afterAutospacing="0"/>
        <w:ind w:firstLine="1280" w:firstLineChars="400"/>
        <w:rPr>
          <w:rFonts w:ascii="仿宋_GB2312" w:hAnsi="ˎ̥" w:eastAsia="仿宋_GB2312" w:cs="Arial"/>
          <w:color w:val="000000"/>
          <w:sz w:val="32"/>
          <w:szCs w:val="32"/>
        </w:rPr>
      </w:pPr>
      <w:r>
        <w:rPr>
          <w:rFonts w:hint="eastAsia" w:ascii="仿宋_GB2312" w:hAnsi="ˎ̥" w:eastAsia="仿宋_GB2312" w:cs="Arial"/>
          <w:color w:val="000000"/>
          <w:sz w:val="32"/>
          <w:szCs w:val="32"/>
        </w:rPr>
        <w:t>预算年度的主要工作任务</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2018年度要严格按照财政部门下达的收支预算执行，深化部门预算管理，逐步建立公开、透明、规范的预算管理制度，坚持先有预算后有支出的原则，努力提高财政资金的使用效益，确保征迁工作的顺利开展。</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永城市人民政府征迁办公室部门预算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w:t>
      </w:r>
      <w:r>
        <w:rPr>
          <w:rFonts w:hint="eastAsia" w:ascii="仿宋" w:hAnsi="仿宋" w:eastAsia="仿宋" w:cs="仿宋_GB2312"/>
          <w:color w:val="090909"/>
          <w:kern w:val="0"/>
          <w:sz w:val="32"/>
          <w:szCs w:val="32"/>
        </w:rPr>
        <w:t>人民政府征迁办公室</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b/>
          <w:sz w:val="32"/>
          <w:szCs w:val="32"/>
        </w:rPr>
        <w:t>人民政府征迁办公室</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100</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19.77</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37.35</w:t>
      </w:r>
      <w:r>
        <w:rPr>
          <w:rFonts w:hint="eastAsia" w:ascii="仿宋_GB2312" w:hAnsi="ˎ̥" w:eastAsia="仿宋_GB2312" w:cs="Arial"/>
          <w:color w:val="000000"/>
          <w:sz w:val="32"/>
          <w:szCs w:val="32"/>
        </w:rPr>
        <w:t>%；纳入预算管理的行政事业性收费收入</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万元，与上年一致。主要变化原因：2018年开始新增加养老保险缴费、工资。</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rPr>
        <w:t>52.93</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19.77</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37.35</w:t>
      </w:r>
      <w:r>
        <w:rPr>
          <w:rFonts w:hint="eastAsia" w:ascii="仿宋_GB2312" w:hAnsi="ˎ̥" w:eastAsia="仿宋_GB2312" w:cs="Arial"/>
          <w:color w:val="000000"/>
          <w:sz w:val="32"/>
          <w:szCs w:val="32"/>
        </w:rPr>
        <w:t>%。支出按用途划分为：工资福利支出</w:t>
      </w:r>
      <w:r>
        <w:rPr>
          <w:rFonts w:hint="eastAsia" w:ascii="Arial" w:hAnsi="Arial" w:eastAsia="方正小标宋简体" w:cs="Arial"/>
          <w:sz w:val="36"/>
          <w:szCs w:val="36"/>
        </w:rPr>
        <w:t>51.91</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98.07</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20.86</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40.18</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rPr>
        <w:t>0.29</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0.53</w:t>
      </w:r>
      <w:r>
        <w:rPr>
          <w:rFonts w:hint="eastAsia" w:ascii="仿宋_GB2312" w:hAnsi="ˎ̥" w:eastAsia="仿宋_GB2312" w:cs="Arial"/>
          <w:color w:val="000000"/>
          <w:sz w:val="32"/>
          <w:szCs w:val="32"/>
        </w:rPr>
        <w:t>%，比上年减少1.43万元，减少</w:t>
      </w:r>
      <w:r>
        <w:rPr>
          <w:rFonts w:hint="eastAsia" w:ascii="Arial" w:hAnsi="Arial" w:eastAsia="方正小标宋简体" w:cs="Arial"/>
          <w:sz w:val="36"/>
          <w:szCs w:val="36"/>
        </w:rPr>
        <w:t>493.1</w:t>
      </w:r>
      <w:r>
        <w:rPr>
          <w:rFonts w:hint="eastAsia" w:ascii="仿宋_GB2312" w:hAnsi="ˎ̥" w:eastAsia="仿宋_GB2312" w:cs="Arial"/>
          <w:color w:val="000000"/>
          <w:sz w:val="32"/>
          <w:szCs w:val="32"/>
        </w:rPr>
        <w:t>%；商品服务支出</w:t>
      </w:r>
      <w:r>
        <w:rPr>
          <w:rFonts w:hint="eastAsia" w:ascii="Arial" w:hAnsi="Arial" w:eastAsia="方正小标宋简体" w:cs="Arial"/>
          <w:sz w:val="36"/>
          <w:szCs w:val="36"/>
        </w:rPr>
        <w:t>0.73</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1.38</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0.34</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46.58</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%，与上年一致</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主要变化原因：2018年开始新增加养老保险缴费、工资。</w:t>
      </w:r>
    </w:p>
    <w:p>
      <w:pPr>
        <w:pStyle w:val="4"/>
        <w:numPr>
          <w:numId w:val="0"/>
        </w:numPr>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rPr>
          <w:rFonts w:ascii="黑体" w:hAnsi="黑体" w:eastAsia="黑体" w:cs="Arial"/>
          <w:color w:val="000000"/>
          <w:sz w:val="32"/>
          <w:szCs w:val="32"/>
        </w:rPr>
      </w:pPr>
      <w:r>
        <w:rPr>
          <w:rFonts w:hint="eastAsia" w:ascii="黑体" w:hAnsi="黑体" w:eastAsia="黑体" w:cs="Arial"/>
          <w:color w:val="000000"/>
          <w:sz w:val="32"/>
          <w:szCs w:val="32"/>
        </w:rPr>
        <w:t xml:space="preserve">        无</w:t>
      </w:r>
    </w:p>
    <w:p>
      <w:pPr>
        <w:spacing w:line="560" w:lineRule="exac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rPr>
        <w:t>0</w:t>
      </w:r>
      <w:r>
        <w:rPr>
          <w:rFonts w:hint="eastAsia" w:ascii="仿宋_GB2312" w:eastAsia="仿宋_GB2312"/>
          <w:sz w:val="32"/>
          <w:szCs w:val="32"/>
        </w:rPr>
        <w:t>万元，与上年一致。</w:t>
      </w:r>
    </w:p>
    <w:p>
      <w:pPr>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w:t>
      </w:r>
    </w:p>
    <w:p>
      <w:pPr>
        <w:ind w:firstLine="640" w:firstLineChars="200"/>
        <w:rPr>
          <w:rFonts w:ascii="仿宋_GB2312" w:eastAsia="仿宋_GB2312"/>
          <w:sz w:val="32"/>
          <w:szCs w:val="32"/>
        </w:rPr>
      </w:pPr>
      <w:r>
        <w:rPr>
          <w:rFonts w:hint="eastAsia" w:ascii="仿宋_GB2312" w:eastAsia="仿宋_GB2312"/>
          <w:sz w:val="32"/>
          <w:szCs w:val="32"/>
        </w:rPr>
        <w:t xml:space="preserve">     2018年商品服务支出共计0.73万元，其中办公费0.1万元，工会经费0.21万元，职工福利费0.42万元。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5"/>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0" w:firstLineChars="20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abstractNum w:abstractNumId="3">
    <w:nsid w:val="5AD407D8"/>
    <w:multiLevelType w:val="singleLevel"/>
    <w:tmpl w:val="5AD407D8"/>
    <w:lvl w:ilvl="0" w:tentative="0">
      <w:start w:val="2"/>
      <w:numFmt w:val="chineseCounting"/>
      <w:suff w:val="nothing"/>
      <w:lvlText w:val="（%1）"/>
      <w:lvlJc w:val="left"/>
    </w:lvl>
  </w:abstractNum>
  <w:abstractNum w:abstractNumId="4">
    <w:nsid w:val="5AD40845"/>
    <w:multiLevelType w:val="singleLevel"/>
    <w:tmpl w:val="5AD40845"/>
    <w:lvl w:ilvl="0" w:tentative="0">
      <w:start w:val="3"/>
      <w:numFmt w:val="chineseCounting"/>
      <w:lvlText w:val="(%1)"/>
      <w:lvlJc w:val="left"/>
      <w:pPr>
        <w:tabs>
          <w:tab w:val="left" w:pos="312"/>
        </w:tabs>
      </w:pPr>
    </w:lvl>
  </w:abstractNum>
  <w:num w:numId="1">
    <w:abstractNumId w:val="1"/>
    <w:lvlOverride w:ilvl="0">
      <w:startOverride w:val="1"/>
    </w:lvlOverride>
  </w:num>
  <w:num w:numId="2">
    <w:abstractNumId w:val="2"/>
    <w:lvlOverride w:ilvl="0">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71F4E"/>
    <w:rsid w:val="0008416D"/>
    <w:rsid w:val="00280A44"/>
    <w:rsid w:val="00537650"/>
    <w:rsid w:val="0061565C"/>
    <w:rsid w:val="006549ED"/>
    <w:rsid w:val="006F355A"/>
    <w:rsid w:val="00755988"/>
    <w:rsid w:val="0083385F"/>
    <w:rsid w:val="00845265"/>
    <w:rsid w:val="00AE5DDB"/>
    <w:rsid w:val="00B60910"/>
    <w:rsid w:val="00B76482"/>
    <w:rsid w:val="00BC7A38"/>
    <w:rsid w:val="00C1789F"/>
    <w:rsid w:val="00C96031"/>
    <w:rsid w:val="00CC2C0F"/>
    <w:rsid w:val="00EF6D72"/>
    <w:rsid w:val="05DC7A25"/>
    <w:rsid w:val="08DF008F"/>
    <w:rsid w:val="10091929"/>
    <w:rsid w:val="1E1907FE"/>
    <w:rsid w:val="43936F63"/>
    <w:rsid w:val="46BF0CC1"/>
    <w:rsid w:val="492219C1"/>
    <w:rsid w:val="4E4E5CAB"/>
    <w:rsid w:val="56F92A2D"/>
    <w:rsid w:val="6AD149BD"/>
    <w:rsid w:val="7BF03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351</Words>
  <Characters>2004</Characters>
  <Lines>16</Lines>
  <Paragraphs>4</Paragraphs>
  <TotalTime>1</TotalTime>
  <ScaleCrop>false</ScaleCrop>
  <LinksUpToDate>false</LinksUpToDate>
  <CharactersWithSpaces>2351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2019-03-04T00:41:52Z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