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6"/>
          <w:szCs w:val="36"/>
        </w:rPr>
      </w:pPr>
    </w:p>
    <w:p>
      <w:pPr>
        <w:jc w:val="center"/>
        <w:rPr>
          <w:rFonts w:hint="eastAsia" w:ascii="Arial" w:hAnsi="Arial" w:eastAsia="方正小标宋简体"/>
          <w:bCs/>
          <w:sz w:val="36"/>
          <w:szCs w:val="36"/>
        </w:rPr>
      </w:pPr>
    </w:p>
    <w:p>
      <w:pPr>
        <w:jc w:val="center"/>
        <w:rPr>
          <w:rStyle w:val="6"/>
          <w:rFonts w:hint="eastAsia" w:asciiTheme="majorEastAsia" w:hAnsiTheme="majorEastAsia" w:eastAsiaTheme="majorEastAsia"/>
          <w:color w:val="000000"/>
          <w:kern w:val="0"/>
          <w:sz w:val="52"/>
          <w:szCs w:val="52"/>
        </w:rPr>
      </w:pPr>
    </w:p>
    <w:p>
      <w:pPr>
        <w:jc w:val="center"/>
        <w:rPr>
          <w:rStyle w:val="6"/>
          <w:rFonts w:hint="eastAsia" w:asciiTheme="majorEastAsia" w:hAnsiTheme="majorEastAsia" w:eastAsiaTheme="majorEastAsia"/>
          <w:color w:val="000000"/>
          <w:kern w:val="0"/>
          <w:sz w:val="52"/>
          <w:szCs w:val="52"/>
        </w:rPr>
      </w:pPr>
    </w:p>
    <w:p>
      <w:pPr>
        <w:jc w:val="center"/>
        <w:rPr>
          <w:rStyle w:val="6"/>
          <w:rFonts w:hint="eastAsia" w:asciiTheme="majorEastAsia" w:hAnsiTheme="majorEastAsia" w:eastAsiaTheme="majorEastAsia"/>
          <w:color w:val="000000"/>
          <w:kern w:val="0"/>
          <w:sz w:val="52"/>
          <w:szCs w:val="52"/>
        </w:rPr>
      </w:pPr>
    </w:p>
    <w:p>
      <w:pPr>
        <w:jc w:val="center"/>
        <w:rPr>
          <w:rStyle w:val="6"/>
          <w:rFonts w:hint="eastAsia" w:asciiTheme="majorEastAsia" w:hAnsiTheme="majorEastAsia" w:eastAsiaTheme="majorEastAsia"/>
          <w:color w:val="000000"/>
          <w:kern w:val="0"/>
          <w:sz w:val="52"/>
          <w:szCs w:val="52"/>
          <w:lang w:eastAsia="zh-CN"/>
        </w:rPr>
      </w:pPr>
      <w:r>
        <w:rPr>
          <w:rStyle w:val="6"/>
          <w:rFonts w:hint="eastAsia" w:asciiTheme="majorEastAsia" w:hAnsiTheme="majorEastAsia" w:eastAsiaTheme="majorEastAsia"/>
          <w:color w:val="000000"/>
          <w:kern w:val="0"/>
          <w:sz w:val="52"/>
          <w:szCs w:val="52"/>
        </w:rPr>
        <w:t>永城市</w:t>
      </w:r>
      <w:r>
        <w:rPr>
          <w:rStyle w:val="6"/>
          <w:rFonts w:hint="eastAsia" w:asciiTheme="majorEastAsia" w:hAnsiTheme="majorEastAsia" w:eastAsiaTheme="majorEastAsia"/>
          <w:color w:val="000000"/>
          <w:kern w:val="0"/>
          <w:sz w:val="52"/>
          <w:szCs w:val="52"/>
          <w:lang w:eastAsia="zh-CN"/>
        </w:rPr>
        <w:t>审计局</w:t>
      </w:r>
    </w:p>
    <w:p>
      <w:pPr>
        <w:jc w:val="center"/>
        <w:rPr>
          <w:rStyle w:val="6"/>
          <w:rFonts w:hint="eastAsia" w:cs="Arial" w:asciiTheme="majorEastAsia" w:hAnsiTheme="majorEastAsia" w:eastAsiaTheme="majorEastAsia"/>
          <w:color w:val="000000"/>
          <w:kern w:val="0"/>
          <w:sz w:val="52"/>
          <w:szCs w:val="52"/>
        </w:rPr>
      </w:pPr>
      <w:r>
        <w:rPr>
          <w:rStyle w:val="6"/>
          <w:rFonts w:hint="eastAsia" w:cs="Arial" w:asciiTheme="majorEastAsia" w:hAnsiTheme="majorEastAsia" w:eastAsiaTheme="majorEastAsia"/>
          <w:color w:val="000000"/>
          <w:kern w:val="0"/>
          <w:sz w:val="52"/>
          <w:szCs w:val="52"/>
        </w:rPr>
        <w:t>2018年预算基本情况说明</w:t>
      </w: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lang w:val="en-US" w:eastAsia="zh-CN"/>
        </w:rPr>
      </w:pPr>
      <w:r>
        <w:rPr>
          <w:rStyle w:val="6"/>
          <w:rFonts w:hint="eastAsia" w:cs="Arial" w:asciiTheme="majorEastAsia" w:hAnsiTheme="majorEastAsia" w:eastAsiaTheme="majorEastAsia"/>
          <w:color w:val="000000"/>
          <w:kern w:val="0"/>
          <w:sz w:val="52"/>
          <w:szCs w:val="52"/>
          <w:lang w:val="en-US" w:eastAsia="zh-CN"/>
        </w:rPr>
        <w:t>2018年1月20日</w:t>
      </w: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both"/>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240" w:leftChars="0"/>
        <w:jc w:val="center"/>
        <w:textAlignment w:val="auto"/>
        <w:rPr>
          <w:rFonts w:hint="eastAsia" w:ascii="黑体" w:hAnsi="黑体" w:eastAsia="黑体" w:cs="黑体"/>
          <w:b/>
          <w:bCs/>
          <w:sz w:val="48"/>
          <w:szCs w:val="48"/>
          <w:lang w:eastAsia="zh-CN"/>
        </w:rPr>
      </w:pPr>
      <w:r>
        <w:rPr>
          <w:rFonts w:hint="eastAsia" w:ascii="黑体" w:hAnsi="黑体" w:eastAsia="黑体" w:cs="黑体"/>
          <w:b/>
          <w:bCs/>
          <w:sz w:val="48"/>
          <w:szCs w:val="48"/>
          <w:lang w:eastAsia="zh-CN"/>
        </w:rPr>
        <w:t>目录</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240" w:leftChars="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永城市审计局单位概况</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42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一、部门机构设置、职能、年度工作任务</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42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永城市审计局2018年度部门预算情况说明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第三部分 名词解释</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附件：永城市审计局2018年度部门预算表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部门收支总体情况表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部门收入总体情况表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部门支出总体情况表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一般公共预算基本支出经济分类情况表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财政拨款收支总体情况表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财政拨款支出情况表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政府性基金支出情况表</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sz w:val="32"/>
          <w:szCs w:val="32"/>
          <w:lang w:val="en-US" w:eastAsia="zh-CN"/>
        </w:rPr>
      </w:pPr>
    </w:p>
    <w:p>
      <w:pPr>
        <w:jc w:val="center"/>
        <w:rPr>
          <w:rFonts w:ascii="方正小标宋简体" w:eastAsia="方正小标宋简体"/>
          <w:sz w:val="36"/>
          <w:szCs w:val="36"/>
        </w:rPr>
      </w:pPr>
      <w:r>
        <w:rPr>
          <w:rFonts w:hint="eastAsia" w:ascii="Arial" w:hAnsi="Arial" w:eastAsia="方正小标宋简体" w:cs="Arial"/>
          <w:sz w:val="36"/>
          <w:szCs w:val="36"/>
        </w:rPr>
        <w:t>永城市审计局</w:t>
      </w:r>
      <w:r>
        <w:rPr>
          <w:rFonts w:hint="eastAsia" w:ascii="方正小标宋简体" w:eastAsia="方正小标宋简体"/>
          <w:sz w:val="36"/>
          <w:szCs w:val="36"/>
        </w:rPr>
        <w:t>2018年部门预算基本情况说明</w:t>
      </w:r>
    </w:p>
    <w:p>
      <w:pPr>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line="720" w:lineRule="auto"/>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第一部分 永城市审计局单位概况</w:t>
      </w:r>
    </w:p>
    <w:p>
      <w:pPr>
        <w:pStyle w:val="4"/>
        <w:spacing w:beforeAutospacing="0" w:afterAutospacing="0" w:line="560" w:lineRule="atLeast"/>
        <w:ind w:firstLine="640"/>
        <w:rPr>
          <w:rFonts w:ascii="仿宋_GB2312" w:hAnsi="ˎ̥" w:eastAsia="仿宋_GB2312" w:cs="Arial"/>
          <w:color w:val="000000"/>
          <w:sz w:val="32"/>
          <w:szCs w:val="32"/>
        </w:rPr>
      </w:pPr>
      <w:r>
        <w:rPr>
          <w:rFonts w:hint="eastAsia" w:ascii="仿宋_GB2312" w:hAnsi="ˎ̥" w:eastAsia="仿宋_GB2312" w:cs="Arial"/>
          <w:color w:val="000000"/>
          <w:sz w:val="32"/>
          <w:szCs w:val="32"/>
        </w:rPr>
        <w:t>(一)部门主要职责</w:t>
      </w:r>
    </w:p>
    <w:p>
      <w:pPr>
        <w:pStyle w:val="4"/>
        <w:spacing w:beforeAutospacing="0" w:afterAutospacing="0" w:line="560" w:lineRule="atLeast"/>
        <w:ind w:firstLine="640"/>
        <w:rPr>
          <w:rFonts w:eastAsia="仿宋_GB2312"/>
          <w:sz w:val="32"/>
          <w:szCs w:val="32"/>
        </w:rPr>
      </w:pPr>
      <w:r>
        <w:rPr>
          <w:rFonts w:eastAsia="仿宋_GB2312"/>
          <w:sz w:val="32"/>
          <w:szCs w:val="32"/>
        </w:rPr>
        <w:t>（</w:t>
      </w:r>
      <w:r>
        <w:rPr>
          <w:rFonts w:hint="eastAsia" w:eastAsia="仿宋_GB2312"/>
          <w:sz w:val="32"/>
          <w:szCs w:val="32"/>
        </w:rPr>
        <w:t>1</w:t>
      </w:r>
      <w:r>
        <w:rPr>
          <w:rFonts w:eastAsia="仿宋_GB2312"/>
          <w:sz w:val="32"/>
          <w:szCs w:val="32"/>
        </w:rPr>
        <w:t>）主管全市审计工作。负责对全市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负有督促被审计单位整改的责任。</w:t>
      </w:r>
    </w:p>
    <w:p>
      <w:pPr>
        <w:pStyle w:val="4"/>
        <w:spacing w:beforeAutospacing="0" w:afterAutospacing="0" w:line="560" w:lineRule="atLeast"/>
        <w:ind w:firstLine="640"/>
        <w:rPr>
          <w:rFonts w:eastAsia="仿宋_GB2312"/>
          <w:sz w:val="32"/>
          <w:szCs w:val="32"/>
        </w:rPr>
      </w:pPr>
      <w:r>
        <w:rPr>
          <w:rFonts w:eastAsia="仿宋_GB2312"/>
          <w:sz w:val="32"/>
          <w:szCs w:val="32"/>
        </w:rPr>
        <w:t>（</w:t>
      </w:r>
      <w:r>
        <w:rPr>
          <w:rFonts w:hint="eastAsia" w:eastAsia="仿宋_GB2312"/>
          <w:sz w:val="32"/>
          <w:szCs w:val="32"/>
        </w:rPr>
        <w:t>2</w:t>
      </w:r>
      <w:r>
        <w:rPr>
          <w:rFonts w:eastAsia="仿宋_GB2312"/>
          <w:sz w:val="32"/>
          <w:szCs w:val="32"/>
        </w:rPr>
        <w:t>）制定审计制度并监督执行，制定并组织实施审计工作发展规划和专业领域审计工作规划，制定并组织实施年度审计计划，对直接审计、调查和核查的事项依法进行审计评价，作出审计决定或提出审计建议。</w:t>
      </w:r>
    </w:p>
    <w:p>
      <w:pPr>
        <w:adjustRightInd w:val="0"/>
        <w:spacing w:line="560" w:lineRule="atLeast"/>
        <w:ind w:firstLine="640" w:firstLineChars="200"/>
        <w:rPr>
          <w:rFonts w:eastAsia="仿宋_GB2312"/>
          <w:sz w:val="32"/>
          <w:szCs w:val="32"/>
        </w:rPr>
      </w:pPr>
      <w:r>
        <w:rPr>
          <w:rFonts w:eastAsia="仿宋_GB2312"/>
          <w:sz w:val="32"/>
          <w:szCs w:val="32"/>
        </w:rPr>
        <w:t>（</w:t>
      </w:r>
      <w:r>
        <w:rPr>
          <w:rFonts w:hint="eastAsia" w:eastAsia="仿宋_GB2312"/>
          <w:sz w:val="32"/>
          <w:szCs w:val="32"/>
        </w:rPr>
        <w:t>3</w:t>
      </w:r>
      <w:r>
        <w:rPr>
          <w:rFonts w:eastAsia="仿宋_GB2312"/>
          <w:sz w:val="32"/>
          <w:szCs w:val="32"/>
        </w:rPr>
        <w:t>）向市政府提交年度市级预算执行和其他财政收支的审计结果报告；受市政府委托向市人大常委会提交市级预算执行和其他财政收支情况的审计工作报告、审计发现问题的纠正和处理结果报告；向市政府报告其他事项专项审计调查情况及结果；依法向社会公布审计结果；向市政府有关部门和县（区）政府通报审计情况和审计结果。</w:t>
      </w:r>
    </w:p>
    <w:p>
      <w:pPr>
        <w:adjustRightInd w:val="0"/>
        <w:spacing w:line="560" w:lineRule="atLeast"/>
        <w:ind w:firstLine="640" w:firstLineChars="200"/>
        <w:rPr>
          <w:rFonts w:eastAsia="仿宋_GB2312"/>
          <w:sz w:val="32"/>
          <w:szCs w:val="32"/>
        </w:rPr>
      </w:pPr>
      <w:r>
        <w:rPr>
          <w:rFonts w:eastAsia="仿宋_GB2312"/>
          <w:sz w:val="32"/>
          <w:szCs w:val="32"/>
        </w:rPr>
        <w:t>（</w:t>
      </w:r>
      <w:r>
        <w:rPr>
          <w:rFonts w:hint="eastAsia" w:eastAsia="仿宋_GB2312"/>
          <w:sz w:val="32"/>
          <w:szCs w:val="32"/>
        </w:rPr>
        <w:t>4</w:t>
      </w:r>
      <w:r>
        <w:rPr>
          <w:rFonts w:eastAsia="仿宋_GB2312"/>
          <w:sz w:val="32"/>
          <w:szCs w:val="32"/>
        </w:rPr>
        <w:t>）直接审计下列事项，出具审计报告，在法定职权范围内作出审计决定或向有关主管机关提出处理处罚建议：</w:t>
      </w:r>
    </w:p>
    <w:p>
      <w:pPr>
        <w:adjustRightInd w:val="0"/>
        <w:spacing w:line="560" w:lineRule="atLeast"/>
        <w:ind w:firstLine="640" w:firstLineChars="200"/>
        <w:rPr>
          <w:rFonts w:eastAsia="仿宋_GB2312"/>
          <w:sz w:val="32"/>
          <w:szCs w:val="32"/>
        </w:rPr>
      </w:pPr>
      <w:r>
        <w:rPr>
          <w:rFonts w:eastAsia="仿宋_GB2312"/>
          <w:sz w:val="32"/>
          <w:szCs w:val="32"/>
        </w:rPr>
        <w:t>（</w:t>
      </w:r>
      <w:r>
        <w:rPr>
          <w:rFonts w:hint="eastAsia" w:eastAsia="仿宋_GB2312"/>
          <w:sz w:val="32"/>
          <w:szCs w:val="32"/>
        </w:rPr>
        <w:t>5</w:t>
      </w:r>
      <w:r>
        <w:rPr>
          <w:rFonts w:eastAsia="仿宋_GB2312"/>
          <w:sz w:val="32"/>
          <w:szCs w:val="32"/>
        </w:rPr>
        <w:t>）按规定对市管领导干部及依法属于审计监督对象的其他单位主要负责人实施经济责任审计。</w:t>
      </w:r>
    </w:p>
    <w:p>
      <w:pPr>
        <w:adjustRightInd w:val="0"/>
        <w:spacing w:line="560" w:lineRule="atLeast"/>
        <w:ind w:firstLine="640" w:firstLineChars="200"/>
        <w:rPr>
          <w:rFonts w:eastAsia="仿宋_GB2312"/>
          <w:sz w:val="32"/>
          <w:szCs w:val="32"/>
        </w:rPr>
      </w:pPr>
      <w:r>
        <w:rPr>
          <w:rFonts w:eastAsia="仿宋_GB2312"/>
          <w:sz w:val="32"/>
          <w:szCs w:val="32"/>
        </w:rPr>
        <w:t>（</w:t>
      </w:r>
      <w:r>
        <w:rPr>
          <w:rFonts w:hint="eastAsia" w:eastAsia="仿宋_GB2312"/>
          <w:sz w:val="32"/>
          <w:szCs w:val="32"/>
        </w:rPr>
        <w:t>6</w:t>
      </w:r>
      <w:r>
        <w:rPr>
          <w:rFonts w:eastAsia="仿宋_GB2312"/>
          <w:sz w:val="32"/>
          <w:szCs w:val="32"/>
        </w:rPr>
        <w:t>）负责对财经法律、法规、规章、政策和宏观调控措施执行情况、财政预算管理或国有资产管理使用等与市级财政收支有关的特定事项进行专项审计调查。</w:t>
      </w:r>
    </w:p>
    <w:p>
      <w:pPr>
        <w:adjustRightInd w:val="0"/>
        <w:spacing w:line="560" w:lineRule="atLeast"/>
        <w:ind w:firstLine="640" w:firstLineChars="200"/>
        <w:rPr>
          <w:rFonts w:eastAsia="仿宋_GB2312"/>
          <w:sz w:val="32"/>
          <w:szCs w:val="32"/>
        </w:rPr>
      </w:pPr>
      <w:r>
        <w:rPr>
          <w:rFonts w:eastAsia="仿宋_GB2312"/>
          <w:sz w:val="32"/>
          <w:szCs w:val="32"/>
        </w:rPr>
        <w:t>（</w:t>
      </w:r>
      <w:r>
        <w:rPr>
          <w:rFonts w:hint="eastAsia" w:eastAsia="仿宋_GB2312"/>
          <w:sz w:val="32"/>
          <w:szCs w:val="32"/>
        </w:rPr>
        <w:t>7</w:t>
      </w:r>
      <w:r>
        <w:rPr>
          <w:rFonts w:eastAsia="仿宋_GB2312"/>
          <w:sz w:val="32"/>
          <w:szCs w:val="32"/>
        </w:rPr>
        <w:t>）依法检查审计决定执行情况，督促纠正和处理审计发现的问题，依法办理被审计单位对审计决定提请行政复议、行政诉讼或市政府裁决的有关事项；协助有关部门查处相关重大案件。</w:t>
      </w:r>
    </w:p>
    <w:p>
      <w:pPr>
        <w:adjustRightInd w:val="0"/>
        <w:spacing w:line="560" w:lineRule="atLeast"/>
        <w:ind w:firstLine="640" w:firstLineChars="200"/>
        <w:rPr>
          <w:rFonts w:eastAsia="仿宋_GB2312"/>
          <w:sz w:val="32"/>
          <w:szCs w:val="32"/>
        </w:rPr>
      </w:pPr>
      <w:r>
        <w:rPr>
          <w:rFonts w:eastAsia="仿宋_GB2312"/>
          <w:sz w:val="32"/>
          <w:szCs w:val="32"/>
        </w:rPr>
        <w:t>（</w:t>
      </w:r>
      <w:r>
        <w:rPr>
          <w:rFonts w:hint="eastAsia" w:eastAsia="仿宋_GB2312"/>
          <w:sz w:val="32"/>
          <w:szCs w:val="32"/>
        </w:rPr>
        <w:t>8</w:t>
      </w:r>
      <w:r>
        <w:rPr>
          <w:rFonts w:eastAsia="仿宋_GB2312"/>
          <w:sz w:val="32"/>
          <w:szCs w:val="32"/>
        </w:rPr>
        <w:t>）指导和监督依法属于审计监督对象的单位的内部审计工作，核查社会审计机构对依法属于审计监督对象的单位出具的相关审计报告。</w:t>
      </w:r>
    </w:p>
    <w:p>
      <w:pPr>
        <w:adjustRightInd w:val="0"/>
        <w:spacing w:line="560" w:lineRule="atLeast"/>
        <w:ind w:firstLine="640" w:firstLineChars="200"/>
        <w:rPr>
          <w:rFonts w:eastAsia="仿宋_GB2312"/>
          <w:sz w:val="32"/>
          <w:szCs w:val="32"/>
        </w:rPr>
      </w:pPr>
      <w:r>
        <w:rPr>
          <w:rFonts w:eastAsia="仿宋_GB2312"/>
          <w:sz w:val="32"/>
          <w:szCs w:val="32"/>
        </w:rPr>
        <w:t>（</w:t>
      </w:r>
      <w:r>
        <w:rPr>
          <w:rFonts w:hint="eastAsia" w:eastAsia="仿宋_GB2312"/>
          <w:sz w:val="32"/>
          <w:szCs w:val="32"/>
        </w:rPr>
        <w:t>9</w:t>
      </w:r>
      <w:r>
        <w:rPr>
          <w:rFonts w:eastAsia="仿宋_GB2312"/>
          <w:sz w:val="32"/>
          <w:szCs w:val="32"/>
        </w:rPr>
        <w:t>）参加上级审计机关组织实施的特定项目的专项审计或审计调查。</w:t>
      </w:r>
    </w:p>
    <w:p>
      <w:pPr>
        <w:adjustRightInd w:val="0"/>
        <w:spacing w:line="560" w:lineRule="atLeast"/>
        <w:ind w:firstLine="640" w:firstLineChars="200"/>
        <w:rPr>
          <w:rFonts w:eastAsia="仿宋_GB2312"/>
          <w:sz w:val="32"/>
          <w:szCs w:val="32"/>
        </w:rPr>
      </w:pPr>
      <w:r>
        <w:rPr>
          <w:rFonts w:eastAsia="仿宋_GB2312"/>
          <w:sz w:val="32"/>
          <w:szCs w:val="32"/>
        </w:rPr>
        <w:t>（</w:t>
      </w:r>
      <w:r>
        <w:rPr>
          <w:rFonts w:hint="eastAsia" w:eastAsia="仿宋_GB2312"/>
          <w:sz w:val="32"/>
          <w:szCs w:val="32"/>
        </w:rPr>
        <w:t>10</w:t>
      </w:r>
      <w:r>
        <w:rPr>
          <w:rFonts w:eastAsia="仿宋_GB2312"/>
          <w:sz w:val="32"/>
          <w:szCs w:val="32"/>
        </w:rPr>
        <w:t>）组织审计市政府驻外非经营性机构的财务收支，依法通过适当方式组织审计市属国有企业和金融机构的境外资产、负债和损益。</w:t>
      </w:r>
    </w:p>
    <w:p>
      <w:pPr>
        <w:adjustRightInd w:val="0"/>
        <w:spacing w:line="560" w:lineRule="atLeast"/>
        <w:ind w:firstLine="640" w:firstLineChars="200"/>
        <w:rPr>
          <w:rFonts w:eastAsia="仿宋_GB2312"/>
          <w:sz w:val="32"/>
          <w:szCs w:val="32"/>
        </w:rPr>
      </w:pPr>
      <w:r>
        <w:rPr>
          <w:rFonts w:eastAsia="仿宋_GB2312"/>
          <w:sz w:val="32"/>
          <w:szCs w:val="32"/>
        </w:rPr>
        <w:t>（</w:t>
      </w:r>
      <w:r>
        <w:rPr>
          <w:rFonts w:hint="eastAsia" w:eastAsia="仿宋_GB2312"/>
          <w:sz w:val="32"/>
          <w:szCs w:val="32"/>
        </w:rPr>
        <w:t>11</w:t>
      </w:r>
      <w:r>
        <w:rPr>
          <w:rFonts w:eastAsia="仿宋_GB2312"/>
          <w:sz w:val="32"/>
          <w:szCs w:val="32"/>
        </w:rPr>
        <w:t>）在全市审计领域指导和推广信息技术应用，参与建设国家审计信息系统。负责利用计算机信息系统开展审计工作，对被审计单位运用计算机管理财政收支、财务收支的信息系统进行监督、检查，实施联网审计。</w:t>
      </w:r>
    </w:p>
    <w:p>
      <w:pPr>
        <w:adjustRightInd w:val="0"/>
        <w:spacing w:line="560" w:lineRule="atLeast"/>
        <w:ind w:firstLine="640" w:firstLineChars="200"/>
        <w:rPr>
          <w:rFonts w:eastAsia="仿宋_GB2312"/>
          <w:sz w:val="32"/>
          <w:szCs w:val="32"/>
        </w:rPr>
      </w:pPr>
      <w:r>
        <w:rPr>
          <w:rFonts w:eastAsia="仿宋_GB2312"/>
          <w:sz w:val="32"/>
          <w:szCs w:val="32"/>
        </w:rPr>
        <w:t>（</w:t>
      </w:r>
      <w:r>
        <w:rPr>
          <w:rFonts w:hint="eastAsia" w:eastAsia="仿宋_GB2312"/>
          <w:sz w:val="32"/>
          <w:szCs w:val="32"/>
        </w:rPr>
        <w:t>12</w:t>
      </w:r>
      <w:r>
        <w:rPr>
          <w:rFonts w:eastAsia="仿宋_GB2312"/>
          <w:sz w:val="32"/>
          <w:szCs w:val="32"/>
        </w:rPr>
        <w:t>）承办市政府交办的其他事项。</w:t>
      </w:r>
    </w:p>
    <w:p>
      <w:pPr>
        <w:pStyle w:val="4"/>
        <w:spacing w:before="0" w:beforeAutospacing="0" w:after="0" w:afterAutospacing="0" w:line="560" w:lineRule="atLeast"/>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（二）机构设置情况</w:t>
      </w:r>
    </w:p>
    <w:p>
      <w:pPr>
        <w:pStyle w:val="4"/>
        <w:spacing w:before="0" w:beforeAutospacing="0" w:after="0" w:afterAutospacing="0" w:line="560" w:lineRule="atLeast"/>
        <w:ind w:firstLine="1120" w:firstLineChars="350"/>
        <w:rPr>
          <w:rFonts w:ascii="仿宋" w:hAnsi="仿宋" w:eastAsia="仿宋"/>
          <w:sz w:val="32"/>
          <w:szCs w:val="32"/>
        </w:rPr>
      </w:pPr>
      <w:r>
        <w:rPr>
          <w:rFonts w:hint="eastAsia" w:ascii="仿宋" w:hAnsi="仿宋" w:eastAsia="仿宋"/>
          <w:sz w:val="32"/>
          <w:szCs w:val="32"/>
        </w:rPr>
        <w:t>永城市审计局为永城市人民政府行政职能部门，内设9个科室，1个事业单位。包含：办公室、监查室、法规科、财政与金融审计科、行政事业与社会保障审计科、经贸审计科、农业与资源环保审计科、投资审计科、信息科、经济责任审计办公室。我局行政编制人数21人，事业编制人数30人，行政、事业人员全部财政供给，财供人员101人。现有退休人员22人，遗嘱人员3人。</w:t>
      </w:r>
    </w:p>
    <w:p>
      <w:pPr>
        <w:pStyle w:val="4"/>
        <w:spacing w:beforeAutospacing="0" w:afterAutospacing="0" w:line="560" w:lineRule="atLeast"/>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(三)预算年度的主要工作任务</w:t>
      </w:r>
    </w:p>
    <w:p>
      <w:pPr>
        <w:adjustRightInd w:val="0"/>
        <w:spacing w:line="560" w:lineRule="atLeast"/>
        <w:ind w:firstLine="640" w:firstLineChars="200"/>
        <w:rPr>
          <w:rFonts w:eastAsia="仿宋_GB2312"/>
          <w:sz w:val="32"/>
          <w:szCs w:val="32"/>
        </w:rPr>
      </w:pPr>
      <w:r>
        <w:rPr>
          <w:rFonts w:eastAsia="仿宋_GB2312"/>
          <w:sz w:val="32"/>
          <w:szCs w:val="32"/>
        </w:rPr>
        <w:t>1.市级预算执行情况和其他财政收支，市直各部门（含所属单位）预算执行情况、决算和其他财政收支。</w:t>
      </w:r>
    </w:p>
    <w:p>
      <w:pPr>
        <w:tabs>
          <w:tab w:val="left" w:pos="1080"/>
        </w:tabs>
        <w:adjustRightInd w:val="0"/>
        <w:spacing w:line="560" w:lineRule="atLeast"/>
        <w:ind w:firstLine="640" w:firstLineChars="200"/>
        <w:rPr>
          <w:rFonts w:eastAsia="仿宋_GB2312"/>
          <w:sz w:val="32"/>
          <w:szCs w:val="32"/>
        </w:rPr>
      </w:pPr>
      <w:r>
        <w:rPr>
          <w:rFonts w:eastAsia="仿宋_GB2312"/>
          <w:sz w:val="32"/>
          <w:szCs w:val="32"/>
        </w:rPr>
        <w:t>2.各乡镇政府预算执行情况、决算和其他财政收支，市级财政转移支付资金。</w:t>
      </w:r>
    </w:p>
    <w:p>
      <w:pPr>
        <w:adjustRightInd w:val="0"/>
        <w:spacing w:line="560" w:lineRule="atLeast"/>
        <w:ind w:firstLine="640" w:firstLineChars="200"/>
        <w:rPr>
          <w:rFonts w:eastAsia="仿宋_GB2312"/>
          <w:sz w:val="32"/>
          <w:szCs w:val="32"/>
        </w:rPr>
      </w:pPr>
      <w:r>
        <w:rPr>
          <w:rFonts w:eastAsia="仿宋_GB2312"/>
          <w:sz w:val="32"/>
          <w:szCs w:val="32"/>
        </w:rPr>
        <w:t>3.使用市级财政资金的事业单位和社会团体的财务收支。</w:t>
      </w:r>
    </w:p>
    <w:p>
      <w:pPr>
        <w:adjustRightInd w:val="0"/>
        <w:spacing w:line="560" w:lineRule="atLeast"/>
        <w:ind w:firstLine="640" w:firstLineChars="200"/>
        <w:rPr>
          <w:rFonts w:eastAsia="仿宋_GB2312"/>
          <w:sz w:val="32"/>
          <w:szCs w:val="32"/>
        </w:rPr>
      </w:pPr>
      <w:r>
        <w:rPr>
          <w:rFonts w:eastAsia="仿宋_GB2312"/>
          <w:sz w:val="32"/>
          <w:szCs w:val="32"/>
        </w:rPr>
        <w:t>4.市级投资和以市级投资为主的建设项目的预算执行情况和决算。</w:t>
      </w:r>
    </w:p>
    <w:p>
      <w:pPr>
        <w:adjustRightInd w:val="0"/>
        <w:spacing w:line="560" w:lineRule="atLeast"/>
        <w:ind w:firstLine="640" w:firstLineChars="200"/>
        <w:rPr>
          <w:rFonts w:eastAsia="仿宋_GB2312"/>
          <w:sz w:val="32"/>
          <w:szCs w:val="32"/>
        </w:rPr>
      </w:pPr>
      <w:r>
        <w:rPr>
          <w:rFonts w:eastAsia="仿宋_GB2312"/>
          <w:sz w:val="32"/>
          <w:szCs w:val="32"/>
        </w:rPr>
        <w:t>5.市属国有企业和金融机构、市政府规定的市属国有资本占控股或主导地位的企业和金融机构的资产、负债和损益。</w:t>
      </w:r>
    </w:p>
    <w:p>
      <w:pPr>
        <w:adjustRightInd w:val="0"/>
        <w:spacing w:line="560" w:lineRule="atLeast"/>
        <w:ind w:firstLine="640" w:firstLineChars="200"/>
        <w:rPr>
          <w:rFonts w:eastAsia="仿宋_GB2312"/>
          <w:sz w:val="32"/>
          <w:szCs w:val="32"/>
        </w:rPr>
      </w:pPr>
      <w:r>
        <w:rPr>
          <w:rFonts w:eastAsia="仿宋_GB2312"/>
          <w:sz w:val="32"/>
          <w:szCs w:val="32"/>
        </w:rPr>
        <w:t>6.市政府及市政府部门、乡镇政府管理和其他单位受市政府及其部门委托管理的社会保障基金、社会捐赠资金及其他有关基金、资金的财务收支。</w:t>
      </w:r>
    </w:p>
    <w:p>
      <w:pPr>
        <w:adjustRightInd w:val="0"/>
        <w:spacing w:line="560" w:lineRule="atLeast"/>
        <w:ind w:firstLine="640" w:firstLineChars="200"/>
        <w:rPr>
          <w:rFonts w:eastAsia="仿宋_GB2312"/>
          <w:sz w:val="32"/>
          <w:szCs w:val="32"/>
        </w:rPr>
      </w:pPr>
      <w:r>
        <w:rPr>
          <w:rFonts w:eastAsia="仿宋_GB2312"/>
          <w:sz w:val="32"/>
          <w:szCs w:val="32"/>
        </w:rPr>
        <w:t>7.国际组织和外国政府援助、贷款项目的财务收支。</w:t>
      </w:r>
    </w:p>
    <w:p>
      <w:pPr>
        <w:adjustRightInd w:val="0"/>
        <w:spacing w:line="560" w:lineRule="atLeast"/>
        <w:ind w:firstLine="640" w:firstLineChars="200"/>
        <w:rPr>
          <w:rFonts w:eastAsia="仿宋_GB2312"/>
          <w:sz w:val="32"/>
          <w:szCs w:val="32"/>
        </w:rPr>
      </w:pPr>
      <w:r>
        <w:rPr>
          <w:rFonts w:eastAsia="仿宋_GB2312"/>
          <w:sz w:val="32"/>
          <w:szCs w:val="32"/>
        </w:rPr>
        <w:t>8.法律、行政法规和地方性法规规定应由市级审计机构审计的其他事项。</w:t>
      </w:r>
    </w:p>
    <w:p>
      <w:pPr>
        <w:widowControl/>
        <w:spacing w:line="360" w:lineRule="auto"/>
        <w:ind w:firstLine="640" w:firstLineChars="200"/>
        <w:jc w:val="left"/>
        <w:rPr>
          <w:rFonts w:hint="eastAsia" w:ascii="仿宋_GB2312" w:hAnsi="ˎ̥" w:eastAsia="仿宋_GB2312" w:cs="Arial"/>
          <w:color w:val="000000"/>
          <w:kern w:val="0"/>
          <w:sz w:val="32"/>
          <w:szCs w:val="32"/>
          <w:lang w:val="en-US" w:eastAsia="zh-CN" w:bidi="ar-SA"/>
        </w:rPr>
      </w:pPr>
      <w:r>
        <w:rPr>
          <w:rFonts w:hint="eastAsia" w:ascii="仿宋_GB2312" w:hAnsi="ˎ̥" w:eastAsia="仿宋_GB2312" w:cs="Arial"/>
          <w:color w:val="000000"/>
          <w:kern w:val="0"/>
          <w:sz w:val="32"/>
          <w:szCs w:val="32"/>
          <w:lang w:val="en-US" w:eastAsia="zh-CN" w:bidi="ar-SA"/>
        </w:rPr>
        <w:t>（四）部门预算单位构成</w:t>
      </w:r>
    </w:p>
    <w:p>
      <w:pPr>
        <w:widowControl/>
        <w:spacing w:line="360" w:lineRule="auto"/>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_GB2312"/>
          <w:color w:val="090909"/>
          <w:kern w:val="0"/>
          <w:sz w:val="32"/>
          <w:szCs w:val="32"/>
          <w:lang w:eastAsia="zh-CN"/>
        </w:rPr>
        <w:t>永城市审计局</w:t>
      </w:r>
      <w:r>
        <w:rPr>
          <w:rFonts w:hint="eastAsia" w:ascii="仿宋" w:hAnsi="仿宋" w:eastAsia="仿宋" w:cs="仿宋_GB2312"/>
          <w:color w:val="090909"/>
          <w:kern w:val="0"/>
          <w:sz w:val="32"/>
          <w:szCs w:val="32"/>
        </w:rPr>
        <w:t>部门预算</w:t>
      </w:r>
      <w:r>
        <w:rPr>
          <w:rFonts w:hint="eastAsia" w:ascii="仿宋" w:hAnsi="仿宋" w:eastAsia="仿宋" w:cs="仿宋"/>
          <w:color w:val="000000"/>
          <w:kern w:val="0"/>
          <w:sz w:val="32"/>
          <w:szCs w:val="32"/>
        </w:rPr>
        <w:t>为</w:t>
      </w:r>
      <w:r>
        <w:rPr>
          <w:rFonts w:hint="eastAsia" w:ascii="仿宋" w:hAnsi="仿宋" w:eastAsia="仿宋" w:cs="仿宋"/>
          <w:bCs/>
          <w:kern w:val="0"/>
          <w:sz w:val="32"/>
          <w:szCs w:val="32"/>
          <w:lang w:eastAsia="zh-CN"/>
        </w:rPr>
        <w:t>永城市审计局</w:t>
      </w:r>
      <w:r>
        <w:rPr>
          <w:rFonts w:hint="eastAsia" w:ascii="仿宋" w:hAnsi="仿宋" w:eastAsia="仿宋" w:cs="仿宋"/>
          <w:color w:val="000000"/>
          <w:kern w:val="0"/>
          <w:sz w:val="32"/>
          <w:szCs w:val="32"/>
        </w:rPr>
        <w:t>本级预算</w:t>
      </w:r>
      <w:r>
        <w:rPr>
          <w:rFonts w:hint="eastAsia" w:ascii="仿宋" w:hAnsi="仿宋" w:eastAsia="仿宋" w:cs="仿宋"/>
          <w:color w:val="000000"/>
          <w:kern w:val="0"/>
          <w:sz w:val="32"/>
          <w:szCs w:val="32"/>
          <w:lang w:eastAsia="zh-CN"/>
        </w:rPr>
        <w:t>，本单位无二级机构。</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240" w:leftChars="0" w:firstLine="0" w:firstLineChars="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永城市审计局2018年度部门预算情况说明</w:t>
      </w:r>
    </w:p>
    <w:p>
      <w:pPr>
        <w:spacing w:line="360" w:lineRule="auto"/>
        <w:ind w:firstLine="640" w:firstLineChars="200"/>
        <w:rPr>
          <w:rFonts w:hint="eastAsia" w:ascii="黑体" w:hAnsi="黑体" w:eastAsia="黑体" w:cs="黑体"/>
          <w:b/>
          <w:bCs/>
          <w:sz w:val="32"/>
          <w:szCs w:val="32"/>
          <w:lang w:val="en-US" w:eastAsia="zh-CN"/>
        </w:rPr>
      </w:pPr>
      <w:r>
        <w:rPr>
          <w:rFonts w:hint="eastAsia" w:ascii="黑体" w:hAnsi="黑体" w:eastAsia="黑体"/>
          <w:sz w:val="32"/>
          <w:szCs w:val="32"/>
          <w:lang w:eastAsia="zh-CN"/>
        </w:rPr>
        <w:t>一</w:t>
      </w:r>
      <w:r>
        <w:rPr>
          <w:rFonts w:hint="eastAsia" w:ascii="黑体" w:hAnsi="黑体" w:eastAsia="黑体"/>
          <w:sz w:val="32"/>
          <w:szCs w:val="32"/>
        </w:rPr>
        <w:t>、一般公共预算收支预算情况说明</w:t>
      </w:r>
    </w:p>
    <w:p>
      <w:pPr>
        <w:spacing w:line="560" w:lineRule="atLeast"/>
        <w:ind w:firstLine="643" w:firstLineChars="200"/>
        <w:rPr>
          <w:rFonts w:ascii="黑体" w:hAnsi="黑体" w:eastAsia="黑体"/>
          <w:sz w:val="32"/>
          <w:szCs w:val="32"/>
        </w:rPr>
      </w:pPr>
      <w:r>
        <w:rPr>
          <w:rFonts w:hint="eastAsia" w:ascii="黑体" w:hAnsi="黑体" w:eastAsia="黑体"/>
          <w:b/>
          <w:bCs/>
          <w:sz w:val="32"/>
          <w:szCs w:val="32"/>
          <w:lang w:eastAsia="zh-CN"/>
        </w:rPr>
        <w:t>（一）</w:t>
      </w:r>
      <w:r>
        <w:rPr>
          <w:rFonts w:hint="eastAsia" w:ascii="黑体" w:hAnsi="黑体" w:eastAsia="黑体"/>
          <w:b/>
          <w:bCs/>
          <w:sz w:val="32"/>
          <w:szCs w:val="32"/>
        </w:rPr>
        <w:t>、收入预算说明</w:t>
      </w:r>
    </w:p>
    <w:p>
      <w:pPr>
        <w:pStyle w:val="4"/>
        <w:spacing w:beforeAutospacing="0" w:afterAutospacing="0" w:line="560" w:lineRule="atLeast"/>
        <w:ind w:firstLine="640" w:firstLineChars="200"/>
        <w:rPr>
          <w:rFonts w:ascii="仿宋" w:hAnsi="仿宋" w:eastAsia="仿宋" w:cs="Arial"/>
          <w:color w:val="000000"/>
          <w:sz w:val="32"/>
          <w:szCs w:val="32"/>
        </w:rPr>
      </w:pPr>
      <w:r>
        <w:rPr>
          <w:rFonts w:hint="eastAsia" w:ascii="仿宋_GB2312" w:hAnsi="ˎ̥" w:eastAsia="仿宋_GB2312" w:cs="Arial"/>
          <w:color w:val="000000"/>
          <w:sz w:val="32"/>
          <w:szCs w:val="32"/>
        </w:rPr>
        <w:t>2018年收入预算</w:t>
      </w:r>
      <w:r>
        <w:rPr>
          <w:rFonts w:hint="eastAsia" w:ascii="仿宋" w:hAnsi="仿宋" w:eastAsia="仿宋" w:cs="Arial"/>
          <w:sz w:val="32"/>
          <w:szCs w:val="32"/>
        </w:rPr>
        <w:t>1143.9</w:t>
      </w:r>
      <w:r>
        <w:rPr>
          <w:rFonts w:hint="eastAsia" w:ascii="仿宋_GB2312" w:hAnsi="ˎ̥" w:eastAsia="仿宋_GB2312" w:cs="Arial"/>
          <w:color w:val="000000"/>
          <w:sz w:val="32"/>
          <w:szCs w:val="32"/>
        </w:rPr>
        <w:t>万元，其</w:t>
      </w:r>
      <w:r>
        <w:rPr>
          <w:rFonts w:hint="eastAsia" w:ascii="仿宋" w:hAnsi="仿宋" w:eastAsia="仿宋" w:cs="Arial"/>
          <w:color w:val="000000"/>
          <w:sz w:val="32"/>
          <w:szCs w:val="32"/>
        </w:rPr>
        <w:t>中财政拨款</w:t>
      </w:r>
      <w:r>
        <w:rPr>
          <w:rFonts w:hint="eastAsia" w:ascii="仿宋" w:hAnsi="仿宋" w:eastAsia="仿宋" w:cs="Arial"/>
          <w:sz w:val="32"/>
          <w:szCs w:val="32"/>
        </w:rPr>
        <w:t>1143.9</w:t>
      </w:r>
      <w:r>
        <w:rPr>
          <w:rFonts w:hint="eastAsia" w:ascii="仿宋" w:hAnsi="仿宋" w:eastAsia="仿宋" w:cs="Arial"/>
          <w:color w:val="000000"/>
          <w:sz w:val="32"/>
          <w:szCs w:val="32"/>
        </w:rPr>
        <w:t>万元，比上年增加</w:t>
      </w:r>
      <w:r>
        <w:rPr>
          <w:rFonts w:hint="eastAsia" w:ascii="仿宋" w:hAnsi="仿宋" w:eastAsia="仿宋" w:cs="Arial"/>
          <w:sz w:val="32"/>
          <w:szCs w:val="32"/>
        </w:rPr>
        <w:t>60.3</w:t>
      </w:r>
      <w:r>
        <w:rPr>
          <w:rFonts w:hint="eastAsia" w:ascii="仿宋" w:hAnsi="仿宋" w:eastAsia="仿宋" w:cs="Arial"/>
          <w:color w:val="000000"/>
          <w:sz w:val="32"/>
          <w:szCs w:val="32"/>
        </w:rPr>
        <w:t>万元，增长6</w:t>
      </w:r>
      <w:r>
        <w:rPr>
          <w:rFonts w:hint="eastAsia" w:ascii="仿宋" w:hAnsi="仿宋" w:eastAsia="仿宋" w:cs="Arial"/>
          <w:sz w:val="32"/>
          <w:szCs w:val="32"/>
        </w:rPr>
        <w:t>%</w:t>
      </w:r>
      <w:r>
        <w:rPr>
          <w:rFonts w:hint="eastAsia" w:ascii="仿宋" w:hAnsi="仿宋" w:eastAsia="仿宋" w:cs="Arial"/>
          <w:color w:val="000000"/>
          <w:sz w:val="32"/>
          <w:szCs w:val="32"/>
        </w:rPr>
        <w:t>。</w:t>
      </w:r>
    </w:p>
    <w:p>
      <w:pPr>
        <w:spacing w:line="560" w:lineRule="atLeast"/>
        <w:ind w:firstLine="640" w:firstLineChars="200"/>
        <w:rPr>
          <w:rFonts w:ascii="黑体" w:hAnsi="黑体" w:eastAsia="黑体"/>
          <w:sz w:val="32"/>
          <w:szCs w:val="32"/>
        </w:rPr>
      </w:pPr>
      <w:bookmarkStart w:id="0" w:name="_GoBack"/>
      <w:bookmarkEnd w:id="0"/>
      <w:r>
        <w:rPr>
          <w:rFonts w:hint="eastAsia" w:ascii="黑体" w:hAnsi="黑体" w:eastAsia="黑体"/>
          <w:sz w:val="32"/>
          <w:szCs w:val="32"/>
          <w:lang w:eastAsia="zh-CN"/>
        </w:rPr>
        <w:t>（</w:t>
      </w:r>
      <w:r>
        <w:rPr>
          <w:rFonts w:hint="eastAsia" w:ascii="黑体" w:hAnsi="黑体" w:eastAsia="黑体"/>
          <w:b/>
          <w:bCs/>
          <w:sz w:val="32"/>
          <w:szCs w:val="32"/>
          <w:lang w:eastAsia="zh-CN"/>
        </w:rPr>
        <w:t>二）</w:t>
      </w:r>
      <w:r>
        <w:rPr>
          <w:rFonts w:hint="eastAsia" w:ascii="黑体" w:hAnsi="黑体" w:eastAsia="黑体"/>
          <w:b/>
          <w:bCs/>
          <w:sz w:val="32"/>
          <w:szCs w:val="32"/>
        </w:rPr>
        <w:t>、支出预算说明</w:t>
      </w:r>
    </w:p>
    <w:p>
      <w:pPr>
        <w:pStyle w:val="4"/>
        <w:spacing w:beforeAutospacing="0" w:afterAutospacing="0" w:line="560" w:lineRule="atLeast"/>
        <w:ind w:firstLine="640"/>
        <w:rPr>
          <w:rFonts w:hint="eastAsia" w:ascii="仿宋" w:hAnsi="仿宋" w:eastAsia="仿宋" w:cs="Arial"/>
          <w:color w:val="000000"/>
          <w:sz w:val="32"/>
          <w:szCs w:val="32"/>
        </w:rPr>
      </w:pPr>
      <w:r>
        <w:rPr>
          <w:rFonts w:hint="eastAsia" w:ascii="仿宋_GB2312" w:hAnsi="ˎ̥" w:eastAsia="仿宋_GB2312" w:cs="Arial"/>
          <w:color w:val="000000"/>
          <w:sz w:val="32"/>
          <w:szCs w:val="32"/>
        </w:rPr>
        <w:t>2018年支出预算预算</w:t>
      </w:r>
      <w:r>
        <w:rPr>
          <w:rFonts w:hint="eastAsia" w:ascii="仿宋" w:hAnsi="仿宋" w:eastAsia="仿宋" w:cs="Arial"/>
          <w:sz w:val="32"/>
          <w:szCs w:val="32"/>
        </w:rPr>
        <w:t>1143.9</w:t>
      </w:r>
      <w:r>
        <w:rPr>
          <w:rFonts w:hint="eastAsia" w:ascii="仿宋" w:hAnsi="仿宋" w:eastAsia="仿宋" w:cs="Arial"/>
          <w:color w:val="000000"/>
          <w:sz w:val="32"/>
          <w:szCs w:val="32"/>
        </w:rPr>
        <w:t>万元，其中财政拨款支出</w:t>
      </w:r>
      <w:r>
        <w:rPr>
          <w:rFonts w:hint="eastAsia" w:ascii="仿宋" w:hAnsi="仿宋" w:eastAsia="仿宋" w:cs="Arial"/>
          <w:sz w:val="32"/>
          <w:szCs w:val="32"/>
        </w:rPr>
        <w:t>1143.9</w:t>
      </w:r>
      <w:r>
        <w:rPr>
          <w:rFonts w:hint="eastAsia" w:ascii="仿宋" w:hAnsi="仿宋" w:eastAsia="仿宋" w:cs="Arial"/>
          <w:color w:val="000000"/>
          <w:sz w:val="32"/>
          <w:szCs w:val="32"/>
        </w:rPr>
        <w:t>万元，比上年增加</w:t>
      </w:r>
      <w:r>
        <w:rPr>
          <w:rFonts w:hint="eastAsia" w:ascii="仿宋" w:hAnsi="仿宋" w:eastAsia="仿宋" w:cs="Arial"/>
          <w:sz w:val="32"/>
          <w:szCs w:val="32"/>
        </w:rPr>
        <w:t>60.3</w:t>
      </w:r>
      <w:r>
        <w:rPr>
          <w:rFonts w:hint="eastAsia" w:ascii="仿宋" w:hAnsi="仿宋" w:eastAsia="仿宋" w:cs="Arial"/>
          <w:color w:val="000000"/>
          <w:sz w:val="32"/>
          <w:szCs w:val="32"/>
        </w:rPr>
        <w:t>万元;支出按用途划分为：工资福利支出</w:t>
      </w:r>
      <w:r>
        <w:rPr>
          <w:rFonts w:hint="eastAsia" w:ascii="仿宋" w:hAnsi="仿宋" w:eastAsia="仿宋" w:cs="Arial"/>
          <w:sz w:val="32"/>
          <w:szCs w:val="32"/>
        </w:rPr>
        <w:t>785.4</w:t>
      </w:r>
      <w:r>
        <w:rPr>
          <w:rFonts w:hint="eastAsia" w:ascii="仿宋" w:hAnsi="仿宋" w:eastAsia="仿宋" w:cs="Arial"/>
          <w:color w:val="000000"/>
          <w:sz w:val="32"/>
          <w:szCs w:val="32"/>
        </w:rPr>
        <w:t>万元，比上年增加</w:t>
      </w:r>
      <w:r>
        <w:rPr>
          <w:rFonts w:hint="eastAsia" w:ascii="仿宋" w:hAnsi="仿宋" w:eastAsia="仿宋" w:cs="Arial"/>
          <w:sz w:val="32"/>
          <w:szCs w:val="32"/>
        </w:rPr>
        <w:t>222.8</w:t>
      </w:r>
      <w:r>
        <w:rPr>
          <w:rFonts w:hint="eastAsia" w:ascii="仿宋" w:hAnsi="仿宋" w:eastAsia="仿宋" w:cs="Arial"/>
          <w:color w:val="000000"/>
          <w:sz w:val="32"/>
          <w:szCs w:val="32"/>
        </w:rPr>
        <w:t>万元；商品服务支出</w:t>
      </w:r>
      <w:r>
        <w:rPr>
          <w:rFonts w:hint="eastAsia" w:ascii="仿宋" w:hAnsi="仿宋" w:eastAsia="仿宋" w:cs="Arial"/>
          <w:sz w:val="32"/>
          <w:szCs w:val="32"/>
        </w:rPr>
        <w:t>72.7</w:t>
      </w:r>
      <w:r>
        <w:rPr>
          <w:rFonts w:hint="eastAsia" w:ascii="仿宋" w:hAnsi="仿宋" w:eastAsia="仿宋" w:cs="Arial"/>
          <w:color w:val="000000"/>
          <w:sz w:val="32"/>
          <w:szCs w:val="32"/>
        </w:rPr>
        <w:t>万元，比上年减少</w:t>
      </w:r>
      <w:r>
        <w:rPr>
          <w:rFonts w:hint="eastAsia" w:ascii="仿宋" w:hAnsi="仿宋" w:eastAsia="仿宋" w:cs="Arial"/>
          <w:sz w:val="32"/>
          <w:szCs w:val="32"/>
        </w:rPr>
        <w:t>339.3</w:t>
      </w:r>
      <w:r>
        <w:rPr>
          <w:rFonts w:hint="eastAsia" w:ascii="仿宋" w:hAnsi="仿宋" w:eastAsia="仿宋" w:cs="Arial"/>
          <w:color w:val="000000"/>
          <w:sz w:val="32"/>
          <w:szCs w:val="32"/>
        </w:rPr>
        <w:t>万元；对个人和家庭补助支出</w:t>
      </w:r>
      <w:r>
        <w:rPr>
          <w:rFonts w:hint="eastAsia" w:ascii="仿宋" w:hAnsi="仿宋" w:eastAsia="仿宋" w:cs="Arial"/>
          <w:sz w:val="32"/>
          <w:szCs w:val="32"/>
        </w:rPr>
        <w:t>2.2</w:t>
      </w:r>
      <w:r>
        <w:rPr>
          <w:rFonts w:hint="eastAsia" w:ascii="仿宋" w:hAnsi="仿宋" w:eastAsia="仿宋" w:cs="Arial"/>
          <w:color w:val="000000"/>
          <w:sz w:val="32"/>
          <w:szCs w:val="32"/>
        </w:rPr>
        <w:t>万元，比上年减少106.8万元；项目支出283.67万元，比上年增加283.67万元。</w:t>
      </w:r>
    </w:p>
    <w:p>
      <w:pPr>
        <w:spacing w:line="360" w:lineRule="auto"/>
        <w:ind w:firstLine="640" w:firstLineChars="20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、政府性基金预算收支预算情况说明</w:t>
      </w:r>
    </w:p>
    <w:p>
      <w:pPr>
        <w:pStyle w:val="4"/>
        <w:spacing w:before="0" w:beforeAutospacing="0" w:after="0" w:afterAutospacing="0" w:line="360" w:lineRule="auto"/>
        <w:ind w:firstLine="640" w:firstLineChars="200"/>
        <w:rPr>
          <w:rFonts w:cs="Times New Roman"/>
          <w:kern w:val="2"/>
          <w:sz w:val="32"/>
          <w:szCs w:val="32"/>
        </w:rPr>
      </w:pPr>
      <w:r>
        <w:rPr>
          <w:rFonts w:hint="eastAsia" w:cs="Times New Roman"/>
          <w:kern w:val="2"/>
          <w:sz w:val="32"/>
          <w:szCs w:val="32"/>
        </w:rPr>
        <w:t>无政府性基金预算收支预算</w:t>
      </w:r>
    </w:p>
    <w:p>
      <w:pPr>
        <w:spacing w:line="560" w:lineRule="atLeas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、“三公”经费说明</w:t>
      </w:r>
    </w:p>
    <w:p>
      <w:pPr>
        <w:spacing w:line="560" w:lineRule="atLeast"/>
        <w:ind w:firstLine="640" w:firstLineChars="200"/>
        <w:jc w:val="left"/>
        <w:rPr>
          <w:rFonts w:ascii="仿宋" w:hAnsi="仿宋" w:eastAsia="仿宋"/>
          <w:sz w:val="32"/>
          <w:szCs w:val="32"/>
        </w:rPr>
      </w:pPr>
      <w:r>
        <w:rPr>
          <w:rFonts w:hint="eastAsia" w:ascii="仿宋_GB2312" w:eastAsia="仿宋_GB2312"/>
          <w:sz w:val="32"/>
          <w:szCs w:val="32"/>
        </w:rPr>
        <w:t>2018年“三公”经费支出预算5万元，较上年下降16.7%。其中：</w:t>
      </w:r>
      <w:r>
        <w:rPr>
          <w:rFonts w:hint="eastAsia" w:ascii="仿宋" w:hAnsi="仿宋" w:eastAsia="仿宋"/>
          <w:sz w:val="32"/>
          <w:szCs w:val="32"/>
        </w:rPr>
        <w:t>公务接待费5万元，较上年下降16.7%；</w:t>
      </w:r>
      <w:r>
        <w:rPr>
          <w:rFonts w:hint="eastAsia" w:ascii="仿宋_GB2312" w:eastAsia="仿宋_GB2312"/>
          <w:sz w:val="32"/>
          <w:szCs w:val="32"/>
        </w:rPr>
        <w:t>我单位未有预算因公出国(境)费用；我单位所有公务用车封存未使用，2018年未预算公务用车运行维护费及公务购车费。</w:t>
      </w:r>
      <w:r>
        <w:rPr>
          <w:rFonts w:hint="eastAsia" w:ascii="仿宋" w:hAnsi="仿宋" w:eastAsia="仿宋"/>
          <w:sz w:val="32"/>
          <w:szCs w:val="32"/>
        </w:rPr>
        <w:t>主要变化原因：严格遵守中央八项规定及上级部门的规章制度，严控“三公”经费支出。</w:t>
      </w:r>
    </w:p>
    <w:p>
      <w:pPr>
        <w:spacing w:line="560" w:lineRule="atLeast"/>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、其他重要事项的情况说明</w:t>
      </w:r>
    </w:p>
    <w:p>
      <w:pPr>
        <w:spacing w:line="560" w:lineRule="atLeast"/>
        <w:ind w:firstLine="640" w:firstLineChars="200"/>
        <w:rPr>
          <w:rFonts w:ascii="仿宋_GB2312" w:eastAsia="仿宋_GB2312"/>
          <w:sz w:val="32"/>
          <w:szCs w:val="32"/>
        </w:rPr>
      </w:pPr>
      <w:r>
        <w:rPr>
          <w:rFonts w:hint="eastAsia" w:ascii="仿宋_GB2312" w:eastAsia="仿宋_GB2312"/>
          <w:sz w:val="32"/>
          <w:szCs w:val="32"/>
        </w:rPr>
        <w:t>(一)机关运行经费支出情况：工资福利支出785.37万元，其中，基本工资329.44万元，津贴补贴268.59万元，奖金及绩效工资27.45万元，养老保险91.87万元，住房公积金39.54万元，医疗保险27.56万元，工伤保险0.92万元；商品和服务支出72.69万元。其中，办公费3.8万元，印刷费4万元，水费1.3万元，电费6.32万元，取暖费3万元，差旅费4.5万元，维修（护）费15.7万元，培训费3.8万元，公务接待费5万元，工会经费2.6万元，福利费6.59万元，其他交通费用16.08万元；对个人和家庭补助支出2.17万元，其中，抚恤金1.83万元，生活补助0.34万元；项目支出283.67万元，其中，投资评审经费30万元，审计税收入库补助20万元，专项审计经费33万元，经费补助126万元，国有资产有偿使用出租收入7.5万元，培训费10万元，公益性岗位补助57.17万元。</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(二)政府采购支出情况</w:t>
      </w:r>
    </w:p>
    <w:p>
      <w:pPr>
        <w:pStyle w:val="4"/>
        <w:widowControl/>
        <w:spacing w:before="0" w:beforeAutospacing="0" w:after="0" w:afterAutospacing="0"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2018年政府采购预算安排</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w:t>
      </w:r>
      <w:r>
        <w:rPr>
          <w:rFonts w:hint="eastAsia" w:ascii="仿宋" w:hAnsi="仿宋" w:eastAsia="仿宋" w:cs="仿宋"/>
          <w:color w:val="000000"/>
          <w:sz w:val="32"/>
          <w:szCs w:val="32"/>
          <w:lang w:eastAsia="zh-CN"/>
        </w:rPr>
        <w:t>政府采购</w:t>
      </w:r>
      <w:r>
        <w:rPr>
          <w:rFonts w:hint="eastAsia" w:ascii="仿宋" w:hAnsi="仿宋" w:eastAsia="仿宋" w:cs="仿宋"/>
          <w:color w:val="000000"/>
          <w:sz w:val="32"/>
          <w:szCs w:val="32"/>
        </w:rPr>
        <w:t>货物类</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政府采购</w:t>
      </w:r>
      <w:r>
        <w:rPr>
          <w:rFonts w:hint="eastAsia" w:ascii="仿宋" w:hAnsi="仿宋" w:eastAsia="仿宋" w:cs="仿宋"/>
          <w:color w:val="000000"/>
          <w:sz w:val="32"/>
          <w:szCs w:val="32"/>
        </w:rPr>
        <w:t>服务类</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,政府采购工程类0万元</w:t>
      </w:r>
      <w:r>
        <w:rPr>
          <w:rFonts w:hint="eastAsia" w:ascii="仿宋" w:hAnsi="仿宋" w:eastAsia="仿宋" w:cs="仿宋"/>
          <w:color w:val="000000"/>
          <w:sz w:val="32"/>
          <w:szCs w:val="32"/>
        </w:rPr>
        <w:t>。</w:t>
      </w:r>
    </w:p>
    <w:p>
      <w:pPr>
        <w:numPr>
          <w:ilvl w:val="0"/>
          <w:numId w:val="0"/>
        </w:numPr>
        <w:ind w:left="640" w:leftChars="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重点项目预算绩效目标</w:t>
      </w:r>
    </w:p>
    <w:p>
      <w:pPr>
        <w:numPr>
          <w:ilvl w:val="0"/>
          <w:numId w:val="0"/>
        </w:numPr>
        <w:ind w:left="640" w:leftChars="0"/>
        <w:rPr>
          <w:rFonts w:hint="eastAsia" w:ascii="仿宋_GB2312" w:eastAsia="仿宋_GB2312"/>
          <w:sz w:val="32"/>
          <w:szCs w:val="32"/>
        </w:rPr>
      </w:pPr>
      <w:r>
        <w:rPr>
          <w:rFonts w:hint="eastAsia" w:ascii="仿宋_GB2312" w:eastAsia="仿宋_GB2312"/>
          <w:sz w:val="32"/>
          <w:szCs w:val="32"/>
        </w:rPr>
        <w:t>无</w:t>
      </w:r>
    </w:p>
    <w:p>
      <w:pPr>
        <w:numPr>
          <w:ilvl w:val="0"/>
          <w:numId w:val="3"/>
        </w:numPr>
        <w:ind w:left="640" w:leftChars="0"/>
        <w:rPr>
          <w:rFonts w:hint="eastAsia" w:ascii="仿宋_GB2312" w:eastAsia="仿宋_GB2312"/>
          <w:sz w:val="32"/>
          <w:szCs w:val="32"/>
          <w:lang w:eastAsia="zh-CN"/>
        </w:rPr>
      </w:pPr>
      <w:r>
        <w:rPr>
          <w:rFonts w:hint="eastAsia" w:ascii="仿宋_GB2312" w:eastAsia="仿宋_GB2312"/>
          <w:sz w:val="32"/>
          <w:szCs w:val="32"/>
          <w:lang w:eastAsia="zh-CN"/>
        </w:rPr>
        <w:t>国有资产占用情况</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无。</w:t>
      </w:r>
    </w:p>
    <w:p>
      <w:pPr>
        <w:spacing w:line="560" w:lineRule="atLeast"/>
        <w:ind w:firstLine="640" w:firstLineChars="200"/>
        <w:rPr>
          <w:rFonts w:ascii="黑体" w:hAnsi="黑体" w:eastAsia="黑体"/>
          <w:sz w:val="32"/>
          <w:szCs w:val="32"/>
        </w:rPr>
      </w:pPr>
      <w:r>
        <w:rPr>
          <w:rFonts w:hint="eastAsia" w:ascii="黑体" w:hAnsi="黑体" w:eastAsia="黑体"/>
          <w:sz w:val="32"/>
          <w:szCs w:val="32"/>
          <w:lang w:eastAsia="zh-CN"/>
        </w:rPr>
        <w:t>第三部分</w:t>
      </w:r>
      <w:r>
        <w:rPr>
          <w:rFonts w:hint="eastAsia" w:ascii="黑体" w:hAnsi="黑体" w:eastAsia="黑体"/>
          <w:sz w:val="32"/>
          <w:szCs w:val="32"/>
          <w:lang w:val="en-US" w:eastAsia="zh-CN"/>
        </w:rPr>
        <w:t xml:space="preserve"> </w:t>
      </w:r>
      <w:r>
        <w:rPr>
          <w:rFonts w:hint="eastAsia" w:ascii="黑体" w:hAnsi="黑体" w:eastAsia="黑体"/>
          <w:sz w:val="32"/>
          <w:szCs w:val="32"/>
        </w:rPr>
        <w:t>专业性较强的名词解释</w:t>
      </w:r>
    </w:p>
    <w:p>
      <w:pPr>
        <w:spacing w:line="560" w:lineRule="atLeas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、财政拨款收入：是指市级财政当年拨付的资金。</w:t>
      </w:r>
    </w:p>
    <w:p>
      <w:pPr>
        <w:spacing w:line="560" w:lineRule="atLeas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、事业收入：是指事业单位开展专业活动及辅助活动所取</w:t>
      </w:r>
      <w:r>
        <w:rPr>
          <w:rFonts w:ascii="仿宋_GB2312" w:eastAsia="仿宋_GB2312"/>
          <w:sz w:val="32"/>
          <w:szCs w:val="32"/>
        </w:rPr>
        <w:t xml:space="preserve"> </w:t>
      </w:r>
      <w:r>
        <w:rPr>
          <w:rFonts w:hint="eastAsia" w:ascii="仿宋_GB2312" w:eastAsia="仿宋_GB2312"/>
          <w:sz w:val="32"/>
          <w:szCs w:val="32"/>
        </w:rPr>
        <w:t>得的收入。</w:t>
      </w:r>
    </w:p>
    <w:p>
      <w:pPr>
        <w:spacing w:line="560" w:lineRule="atLeas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、其他收入：是指部门取得的除“财政拨款”、“事业收入”、“事业单位经营收入”等以外的收入。</w:t>
      </w:r>
      <w:r>
        <w:rPr>
          <w:rFonts w:ascii="仿宋_GB2312" w:eastAsia="仿宋_GB2312"/>
          <w:sz w:val="32"/>
          <w:szCs w:val="32"/>
        </w:rPr>
        <w:t xml:space="preserve"> </w:t>
      </w:r>
    </w:p>
    <w:p>
      <w:pPr>
        <w:spacing w:line="560" w:lineRule="atLeas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sz w:val="32"/>
          <w:szCs w:val="32"/>
        </w:rPr>
        <w:t xml:space="preserve"> </w:t>
      </w:r>
      <w:r>
        <w:rPr>
          <w:rFonts w:hint="eastAsia" w:ascii="仿宋_GB2312" w:eastAsia="仿宋_GB2312"/>
          <w:sz w:val="32"/>
          <w:szCs w:val="32"/>
        </w:rPr>
        <w:t>支差额的基金）弥补当年收支缺口的资金。</w:t>
      </w:r>
    </w:p>
    <w:p>
      <w:pPr>
        <w:spacing w:line="560" w:lineRule="atLeas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、上年结转和结余：是指以前年度支出预算因客观条件变化未执行完毕、结转到本年度按有关规定继续使用的资金，既包括财政拨款结转和结余，也包括事业收入、经营收入、其他收入的结转和结余。</w:t>
      </w:r>
    </w:p>
    <w:p>
      <w:pPr>
        <w:spacing w:line="560" w:lineRule="atLeas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、基本支出：是指为保障机构正常运转、完成日常工作任务所必需的开支，其内容包括人员经费和日常公用经费两部分。</w:t>
      </w:r>
    </w:p>
    <w:p>
      <w:pPr>
        <w:spacing w:line="560" w:lineRule="atLeas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、项目支出：是指在基本支出之外，为完成特定的行政工作任务或事业发展目标所发生的支出。</w:t>
      </w:r>
    </w:p>
    <w:p>
      <w:pPr>
        <w:spacing w:line="560" w:lineRule="atLeas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、一般公共服务（类）事务（款）：是指用于保障机构正常运行、开展业务等活动的支出。</w:t>
      </w:r>
    </w:p>
    <w:p>
      <w:pPr>
        <w:spacing w:line="560" w:lineRule="atLeas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）行政运行（项）：是指为保障机构正常运转、完成日常工作任务安排的支出。</w:t>
      </w:r>
    </w:p>
    <w:p>
      <w:pPr>
        <w:spacing w:line="560" w:lineRule="atLeas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）一般行政管理事务（项）：是指单位的项目支出。</w:t>
      </w:r>
    </w:p>
    <w:p>
      <w:pPr>
        <w:spacing w:line="560" w:lineRule="atLeas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）机关服务（项）：是指为单位提供后勤保障服务的机关服务局的支出。</w:t>
      </w:r>
    </w:p>
    <w:p>
      <w:pPr>
        <w:spacing w:line="560" w:lineRule="atLeas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）事业运行（项）：是指事业单位用于保障机构正常运转的基本支出。</w:t>
      </w:r>
    </w:p>
    <w:p>
      <w:pPr>
        <w:spacing w:line="560" w:lineRule="atLeas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60" w:lineRule="atLeas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560" w:lineRule="atLeast"/>
        <w:ind w:firstLine="5760" w:firstLineChars="1800"/>
        <w:jc w:val="both"/>
        <w:rPr>
          <w:rFonts w:ascii="仿宋" w:hAnsi="仿宋" w:eastAsia="仿宋"/>
          <w:sz w:val="32"/>
          <w:szCs w:val="32"/>
        </w:rPr>
      </w:pPr>
      <w:r>
        <w:rPr>
          <w:rFonts w:hint="eastAsia" w:ascii="仿宋" w:hAnsi="仿宋" w:eastAsia="仿宋"/>
          <w:sz w:val="32"/>
          <w:szCs w:val="32"/>
        </w:rPr>
        <w:t>永城市审计局</w:t>
      </w:r>
    </w:p>
    <w:p>
      <w:pPr>
        <w:spacing w:line="560" w:lineRule="atLeast"/>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5AC7A"/>
    <w:multiLevelType w:val="singleLevel"/>
    <w:tmpl w:val="B585AC7A"/>
    <w:lvl w:ilvl="0" w:tentative="0">
      <w:start w:val="4"/>
      <w:numFmt w:val="chineseCounting"/>
      <w:suff w:val="nothing"/>
      <w:lvlText w:val="（%1）"/>
      <w:lvlJc w:val="left"/>
      <w:rPr>
        <w:rFonts w:hint="eastAsia"/>
      </w:rPr>
    </w:lvl>
  </w:abstractNum>
  <w:abstractNum w:abstractNumId="1">
    <w:nsid w:val="4662AA8F"/>
    <w:multiLevelType w:val="singleLevel"/>
    <w:tmpl w:val="4662AA8F"/>
    <w:lvl w:ilvl="0" w:tentative="0">
      <w:start w:val="1"/>
      <w:numFmt w:val="chineseCounting"/>
      <w:suff w:val="space"/>
      <w:lvlText w:val="第%1部分"/>
      <w:lvlJc w:val="left"/>
      <w:rPr>
        <w:rFonts w:hint="eastAsia"/>
      </w:rPr>
    </w:lvl>
  </w:abstractNum>
  <w:abstractNum w:abstractNumId="2">
    <w:nsid w:val="58366DE8"/>
    <w:multiLevelType w:val="singleLevel"/>
    <w:tmpl w:val="58366DE8"/>
    <w:lvl w:ilvl="0" w:tentative="0">
      <w:start w:val="1"/>
      <w:numFmt w:val="chineseCounting"/>
      <w:suff w:val="nothing"/>
      <w:lvlText w:val="%1、"/>
      <w:lvlJc w:val="left"/>
      <w:pPr>
        <w:ind w:left="555"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7CC"/>
    <w:rsid w:val="002C17CC"/>
    <w:rsid w:val="00787175"/>
    <w:rsid w:val="008B1CBB"/>
    <w:rsid w:val="00991F77"/>
    <w:rsid w:val="00D14DD8"/>
    <w:rsid w:val="193D078F"/>
    <w:rsid w:val="1C3B67BB"/>
    <w:rsid w:val="328B5893"/>
    <w:rsid w:val="3B0923A8"/>
    <w:rsid w:val="52437640"/>
    <w:rsid w:val="53F17EB2"/>
    <w:rsid w:val="663A7017"/>
    <w:rsid w:val="6D535020"/>
    <w:rsid w:val="7D296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79;&#26406;\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7</Pages>
  <Words>484</Words>
  <Characters>2763</Characters>
  <Lines>23</Lines>
  <Paragraphs>6</Paragraphs>
  <TotalTime>0</TotalTime>
  <ScaleCrop>false</ScaleCrop>
  <LinksUpToDate>false</LinksUpToDate>
  <CharactersWithSpaces>3241</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2018-04-27T02:55:00Z</dcterms:created>
  <dc:creator>王朦</dc:creator>
  <cp:lastModifiedBy>Administrator</cp:lastModifiedBy>
  <dcterms:modified xsi:type="dcterms:W3CDTF">2019-03-04T00:36:50Z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