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cs="Arial" w:asciiTheme="minorEastAsia" w:hAnsiTheme="minorEastAsia" w:eastAsiaTheme="minorEastAsia"/>
          <w:b/>
          <w:sz w:val="52"/>
          <w:szCs w:val="52"/>
        </w:rPr>
      </w:pPr>
      <w:r>
        <w:rPr>
          <w:rFonts w:hint="eastAsia" w:asciiTheme="minorEastAsia" w:hAnsiTheme="minorEastAsia"/>
          <w:b/>
          <w:sz w:val="52"/>
          <w:szCs w:val="52"/>
        </w:rPr>
        <w:t>永城市</w:t>
      </w:r>
      <w:r>
        <w:rPr>
          <w:rFonts w:hint="eastAsia" w:cs="Arial" w:asciiTheme="minorEastAsia" w:hAnsiTheme="minorEastAsia" w:eastAsiaTheme="minorEastAsia"/>
          <w:b/>
          <w:sz w:val="52"/>
          <w:szCs w:val="52"/>
        </w:rPr>
        <w:t>农业局</w:t>
      </w:r>
    </w:p>
    <w:p>
      <w:pPr>
        <w:jc w:val="center"/>
        <w:rPr>
          <w:rStyle w:val="6"/>
          <w:rFonts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spacing w:line="720" w:lineRule="auto"/>
        <w:ind w:firstLine="3585" w:firstLineChars="744"/>
        <w:rPr>
          <w:rFonts w:hint="eastAsia" w:ascii="黑体" w:hAnsi="黑体" w:eastAsia="黑体" w:cs="黑体"/>
          <w:b/>
          <w:bCs/>
          <w:sz w:val="48"/>
          <w:szCs w:val="48"/>
        </w:rPr>
      </w:pPr>
    </w:p>
    <w:p>
      <w:pPr>
        <w:spacing w:line="720" w:lineRule="auto"/>
        <w:ind w:firstLine="3585" w:firstLineChars="744"/>
        <w:rPr>
          <w:rFonts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农业局</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农业局</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农业局</w:t>
      </w:r>
      <w:r>
        <w:rPr>
          <w:rFonts w:hint="eastAsia" w:ascii="黑体" w:hAnsi="黑体" w:eastAsia="黑体" w:cs="黑体"/>
          <w:b/>
          <w:bCs/>
          <w:sz w:val="32"/>
          <w:szCs w:val="32"/>
        </w:rPr>
        <w:t>2018年度部门预算表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永城市农业局2018年预算基本情况说明</w:t>
      </w:r>
    </w:p>
    <w:p>
      <w:pPr>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农业局</w:t>
      </w:r>
      <w:r>
        <w:rPr>
          <w:rFonts w:hint="eastAsia" w:ascii="黑体" w:hAnsi="黑体" w:eastAsia="黑体" w:cs="黑体"/>
          <w:b/>
          <w:bCs/>
          <w:sz w:val="32"/>
          <w:szCs w:val="32"/>
        </w:rPr>
        <w:t>单位概况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(一)部门主要职责</w:t>
      </w:r>
    </w:p>
    <w:p>
      <w:pPr>
        <w:pStyle w:val="4"/>
        <w:spacing w:before="0" w:beforeAutospacing="0" w:after="0" w:afterAutospacing="0"/>
        <w:ind w:firstLine="640" w:firstLineChars="200"/>
        <w:rPr>
          <w:rFonts w:ascii="仿宋" w:hAnsi="仿宋" w:eastAsia="仿宋" w:cs="仿宋"/>
          <w:sz w:val="32"/>
          <w:szCs w:val="32"/>
        </w:rPr>
      </w:pPr>
      <w:r>
        <w:rPr>
          <w:rFonts w:hint="eastAsia" w:ascii="仿宋" w:hAnsi="仿宋" w:eastAsia="仿宋" w:cs="仿宋"/>
          <w:sz w:val="32"/>
          <w:szCs w:val="32"/>
        </w:rPr>
        <w:t>（1）贯彻执行国家和省、市有关农业发展战略、方针政策、法律法规和规章，并监督检查执行情况。</w:t>
      </w:r>
      <w:r>
        <w:rPr>
          <w:rFonts w:hint="eastAsia" w:ascii="仿宋" w:hAnsi="仿宋" w:eastAsia="仿宋" w:cs="仿宋"/>
          <w:sz w:val="32"/>
          <w:szCs w:val="32"/>
        </w:rPr>
        <w:br w:type="textWrapping"/>
      </w:r>
      <w:r>
        <w:rPr>
          <w:rFonts w:hint="eastAsia" w:ascii="仿宋" w:hAnsi="仿宋" w:eastAsia="仿宋" w:cs="仿宋"/>
          <w:sz w:val="32"/>
          <w:szCs w:val="32"/>
        </w:rPr>
        <w:t>    （2）研究制定全市农业发展战略；负责编制全市农业发展的中、长期规划和年度计划，并组织实施；负责农业行政执法监督和行政执法体系建设，承担行政复议工作。</w:t>
      </w:r>
      <w:r>
        <w:rPr>
          <w:rFonts w:hint="eastAsia" w:ascii="仿宋" w:hAnsi="仿宋" w:eastAsia="仿宋" w:cs="仿宋"/>
          <w:sz w:val="32"/>
          <w:szCs w:val="32"/>
        </w:rPr>
        <w:br w:type="textWrapping"/>
      </w:r>
      <w:r>
        <w:rPr>
          <w:rFonts w:hint="eastAsia" w:ascii="仿宋" w:hAnsi="仿宋" w:eastAsia="仿宋" w:cs="仿宋"/>
          <w:sz w:val="32"/>
          <w:szCs w:val="32"/>
        </w:rPr>
        <w:t>    （3）负责拟定有关农业经济发展的产业政策；指导全市农产品结构合理调整和资源有效配置；负责对农业发展的重大技术措施实施以及对重大建设项目的申报；指导、监督农业综合开发工作。</w:t>
      </w:r>
      <w:r>
        <w:rPr>
          <w:rFonts w:hint="eastAsia" w:ascii="仿宋" w:hAnsi="仿宋" w:eastAsia="仿宋" w:cs="仿宋"/>
          <w:sz w:val="32"/>
          <w:szCs w:val="32"/>
        </w:rPr>
        <w:br w:type="textWrapping"/>
      </w:r>
      <w:r>
        <w:rPr>
          <w:rFonts w:hint="eastAsia" w:ascii="仿宋" w:hAnsi="仿宋" w:eastAsia="仿宋" w:cs="仿宋"/>
          <w:sz w:val="32"/>
          <w:szCs w:val="32"/>
        </w:rPr>
        <w:t>    （4）指导无公害（绿色）农产品生产基地建设；负责申报无公害（绿色）农产品生产基地。</w:t>
      </w:r>
      <w:r>
        <w:rPr>
          <w:rFonts w:hint="eastAsia" w:ascii="仿宋" w:hAnsi="仿宋" w:eastAsia="仿宋" w:cs="仿宋"/>
          <w:sz w:val="32"/>
          <w:szCs w:val="32"/>
        </w:rPr>
        <w:br w:type="textWrapping"/>
      </w:r>
      <w:r>
        <w:rPr>
          <w:rFonts w:hint="eastAsia" w:ascii="仿宋" w:hAnsi="仿宋" w:eastAsia="仿宋" w:cs="仿宋"/>
          <w:sz w:val="32"/>
          <w:szCs w:val="32"/>
        </w:rPr>
        <w:t>    （5）负责全市农业生产有关科研课题的研究、技术推广、新技术的示范，农业科研成果的申报及农业行业职业技能培训工作。</w:t>
      </w:r>
      <w:r>
        <w:rPr>
          <w:rFonts w:hint="eastAsia" w:ascii="仿宋" w:hAnsi="仿宋" w:eastAsia="仿宋" w:cs="仿宋"/>
          <w:sz w:val="32"/>
          <w:szCs w:val="32"/>
        </w:rPr>
        <w:br w:type="textWrapping"/>
      </w:r>
      <w:r>
        <w:rPr>
          <w:rFonts w:hint="eastAsia" w:ascii="仿宋" w:hAnsi="仿宋" w:eastAsia="仿宋" w:cs="仿宋"/>
          <w:sz w:val="32"/>
          <w:szCs w:val="32"/>
        </w:rPr>
        <w:t>    （6）依照《植物检疫法》，负责全市植物检疫、疫情发布并组织扑灭；组织实施植物、植物产品的检疫及监督；负责签发省内、省间《植物检疫调运合格证》，依照《农药管理条例》</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 w:hAnsi="仿宋" w:eastAsia="仿宋" w:cs="仿宋"/>
          <w:sz w:val="32"/>
          <w:szCs w:val="32"/>
        </w:rPr>
        <w:t>(7）负责市重大植物疫情应急指挥部办公室日常工作。</w:t>
      </w:r>
      <w:r>
        <w:rPr>
          <w:rFonts w:hint="eastAsia" w:ascii="仿宋" w:hAnsi="仿宋" w:eastAsia="仿宋" w:cs="仿宋"/>
          <w:sz w:val="32"/>
          <w:szCs w:val="32"/>
        </w:rPr>
        <w:br w:type="textWrapping"/>
      </w:r>
      <w:r>
        <w:rPr>
          <w:rFonts w:hint="eastAsia" w:ascii="仿宋" w:hAnsi="仿宋" w:eastAsia="仿宋" w:cs="仿宋"/>
          <w:sz w:val="32"/>
          <w:szCs w:val="32"/>
        </w:rPr>
        <w:t>    （8）依照《种子管理法》，拟定全市种植业发展规划，负责对全市种子生产和经营实施检查、监督管理；指导种子品种资源保护、开发和利用。</w:t>
      </w:r>
      <w:r>
        <w:rPr>
          <w:rFonts w:hint="eastAsia" w:ascii="仿宋" w:hAnsi="仿宋" w:eastAsia="仿宋" w:cs="仿宋"/>
          <w:sz w:val="32"/>
          <w:szCs w:val="32"/>
        </w:rPr>
        <w:br w:type="textWrapping"/>
      </w:r>
      <w:r>
        <w:rPr>
          <w:rFonts w:hint="eastAsia" w:ascii="仿宋" w:hAnsi="仿宋" w:eastAsia="仿宋" w:cs="仿宋"/>
          <w:sz w:val="32"/>
          <w:szCs w:val="32"/>
        </w:rPr>
        <w:t>    （10）负责全市农业综合信息的收集、整理、提供工作。</w:t>
      </w:r>
      <w:r>
        <w:rPr>
          <w:rFonts w:hint="eastAsia" w:ascii="仿宋" w:hAnsi="仿宋" w:eastAsia="仿宋" w:cs="仿宋"/>
          <w:sz w:val="32"/>
          <w:szCs w:val="32"/>
        </w:rPr>
        <w:br w:type="textWrapping"/>
      </w:r>
      <w:r>
        <w:rPr>
          <w:rFonts w:hint="eastAsia" w:ascii="仿宋" w:hAnsi="仿宋" w:eastAsia="仿宋" w:cs="仿宋"/>
          <w:sz w:val="32"/>
          <w:szCs w:val="32"/>
        </w:rPr>
        <w:t>    （11）指导农业行业的对外经济、技术合作和科技交流；指导农业行业中介社团组织和学会、协会工作。</w:t>
      </w:r>
      <w:r>
        <w:rPr>
          <w:rFonts w:hint="eastAsia" w:ascii="仿宋" w:hAnsi="仿宋" w:eastAsia="仿宋" w:cs="仿宋"/>
          <w:sz w:val="32"/>
          <w:szCs w:val="32"/>
        </w:rPr>
        <w:br w:type="textWrapping"/>
      </w:r>
      <w:r>
        <w:rPr>
          <w:rFonts w:hint="eastAsia" w:ascii="仿宋" w:hAnsi="仿宋" w:eastAsia="仿宋" w:cs="仿宋"/>
          <w:sz w:val="32"/>
          <w:szCs w:val="32"/>
        </w:rPr>
        <w:t>    （12）局机关负责、直属单位的人事、劳资、财务管理及指导全市农业行业精神文明创建工作。</w:t>
      </w:r>
      <w:r>
        <w:rPr>
          <w:rFonts w:hint="eastAsia" w:ascii="仿宋" w:hAnsi="仿宋" w:eastAsia="仿宋" w:cs="仿宋"/>
          <w:sz w:val="32"/>
          <w:szCs w:val="32"/>
        </w:rPr>
        <w:br w:type="textWrapping"/>
      </w:r>
      <w:r>
        <w:rPr>
          <w:rFonts w:hint="eastAsia" w:ascii="仿宋" w:hAnsi="仿宋" w:eastAsia="仿宋" w:cs="仿宋"/>
          <w:sz w:val="32"/>
          <w:szCs w:val="32"/>
        </w:rPr>
        <w:t>    （13）承办市政府交办的其他事项。</w:t>
      </w:r>
      <w:r>
        <w:rPr>
          <w:rFonts w:hint="eastAsia" w:ascii="仿宋" w:hAnsi="仿宋" w:eastAsia="仿宋" w:cs="仿宋"/>
          <w:sz w:val="32"/>
          <w:szCs w:val="32"/>
        </w:rPr>
        <w:br w:type="textWrapping"/>
      </w:r>
      <w:r>
        <w:rPr>
          <w:rFonts w:hint="eastAsia" w:ascii="仿宋_GB2312" w:hAnsi="ˎ̥" w:eastAsia="仿宋_GB2312" w:cs="Arial"/>
          <w:color w:val="000000"/>
          <w:sz w:val="32"/>
          <w:szCs w:val="32"/>
        </w:rPr>
        <w:t>（二）机构</w:t>
      </w:r>
      <w:r>
        <w:rPr>
          <w:rFonts w:hint="eastAsia" w:ascii="仿宋" w:hAnsi="仿宋" w:eastAsia="仿宋" w:cs="仿宋"/>
          <w:sz w:val="32"/>
          <w:szCs w:val="32"/>
        </w:rPr>
        <w:t>主要职责：</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 w:hAnsi="仿宋" w:eastAsia="仿宋" w:cs="仿宋"/>
          <w:sz w:val="32"/>
          <w:szCs w:val="32"/>
        </w:rPr>
        <w:t>农业局机关内设综合办公室：（办公室、财务股、人事股）职能科室：种植业科、科教科、市场信息科、农业产业化办公室、农经股（农监办）、质检股；二级机构：农技推广中心、园艺站、能源办、农产品质量安全检测中心、农经站、植保站、种子管理站、土肥站、农药站、农广校、6个农场。</w:t>
      </w:r>
    </w:p>
    <w:p>
      <w:pPr>
        <w:pStyle w:val="4"/>
        <w:numPr>
          <w:ilvl w:val="0"/>
          <w:numId w:val="3"/>
        </w:numPr>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预算年度的主要工作任务：</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（1）有序推进农业结构调整，确保粮食产能不降低，质量有提升。</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（2）加快推进适度规模经营。</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（3）积极申报国家现代农业产业园</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（4）加强农业有机废物利用，加大秸秆禁烧力度。</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（5）巩固粮食产能，加快粮食生产转型升级。</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（6）创新农业科技推广方式，推广先进实用的农业增产技术，强化农民科技培训。</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（7）加快农业产业化集群发展，推进“互联网+”现代农业，加快农业信息化建设。</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（8）积极申报农村一二三产业融合发展。</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（9）打造都市生态园的亮点工程，全面负责农业生态观光园建设任务。</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（10）加快农村土地承包经营权确权登记颁证工作。</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（11）创新金融服务方式，解决新型农业经营主题融资难，融资贵的问题。</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永城市农业局部门预算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永城市农业局</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农业局</w:t>
      </w:r>
      <w:r>
        <w:rPr>
          <w:rFonts w:hint="eastAsia" w:ascii="黑体" w:hAnsi="黑体" w:eastAsia="黑体" w:cs="黑体"/>
          <w:b/>
          <w:bCs/>
          <w:sz w:val="32"/>
          <w:szCs w:val="32"/>
        </w:rPr>
        <w:t>2018年度部门预算情况说明</w:t>
      </w:r>
    </w:p>
    <w:p>
      <w:pPr>
        <w:pStyle w:val="4"/>
        <w:spacing w:before="0" w:beforeAutospacing="0" w:after="0" w:afterAutospacing="0"/>
        <w:ind w:firstLine="320" w:firstLineChars="1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2018年收入合计1189.7万元，其中，一般公共预算1189.7万元，部门财政性资金结转0万元。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2018年支出合计1189.7万元，其中：基本支出911.8万元，占76.6%；项目支出277.9万元，占23.4%。</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2018年收入预算1189.7万元，其中财政拨款1189.7万元，比上年减少64.87万元，减少5%；纳入预算管理的行政事业性收费收入比上年增长</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万元，比上年减少主要变化原因：退休人员工资在永城市事业单位社会保险处发放，退休人员工资不纳入预算管理。</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仿宋_GB2312" w:hAnsi="ˎ̥" w:eastAsia="仿宋_GB2312" w:cs="Arial"/>
          <w:color w:val="000000"/>
          <w:sz w:val="32"/>
          <w:szCs w:val="32"/>
        </w:rPr>
        <w:t>2018年支出预算1189.7万元，其中财政拨款支出1189.7万元，比上年减少64.87万元，减少5%。支出按用途划分为：工资福利支出828.3万元，占总支出的69.6%，比上年减少81.8万元，减少9%；对个人和家庭的补助19.9万元，占总支出的1.6%，比上年增加0.5万元，增长2.5%；商品服务支出63.7万元，占总支出的5%，比上年增加24.6万元，增长38%；项目支出277.9万元，占总支出的23%，比上年减少16万元，减少5%</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1、工资福利支出减少原因：退休人员工资在永城市事业单位社会保险处发放，退休人员工资不纳入预算管理。2、对个人和家庭的补助增加原因：新增遗属补助1人。3、商品服务支出增加原因：农业局</w:t>
      </w:r>
      <w:r>
        <w:rPr>
          <w:rFonts w:hint="eastAsia" w:ascii="仿宋" w:hAnsi="仿宋" w:eastAsia="仿宋" w:cs="仿宋"/>
          <w:sz w:val="32"/>
          <w:szCs w:val="32"/>
        </w:rPr>
        <w:t>负责全市农业生产有关科研课题的研究、技术推广、新技术的示范，农业科研成果的申报及农业行业职业技能培训等工作需财政经费支持。4项目支出减少原因：由于农业执法人员投入执法力度加大，农资市场经营秩序规范，违法违纪案件减少。</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eastAsia" w:ascii="黑体" w:hAnsi="黑体" w:eastAsia="黑体" w:cs="Arial"/>
          <w:color w:val="000000"/>
          <w:sz w:val="32"/>
          <w:szCs w:val="32"/>
        </w:rPr>
        <w:t>、政府性基金预算收支预算情况说明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2018年“三公”经费支出预算4.6万元，较上年下降5%。其中：因公出国(境)费用0万元，较上年下降(或增长)0%；公务接待费0.6万元，较上年下降5%；公务用车运行维护费4万元，与上年保持一致；公务用车购置0万元，较上年下降(或增长)0%。</w:t>
      </w:r>
      <w:r>
        <w:rPr>
          <w:rFonts w:hint="eastAsia" w:ascii="仿宋_GB2312" w:eastAsia="仿宋_GB2312"/>
          <w:b/>
          <w:sz w:val="32"/>
          <w:szCs w:val="32"/>
        </w:rPr>
        <w:t>主要变化原因：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公车改革实施后，公务用车保有量下降，</w:t>
      </w:r>
      <w:r>
        <w:rPr>
          <w:rFonts w:hint="eastAsia" w:ascii="仿宋_GB2312" w:eastAsia="仿宋_GB2312"/>
          <w:sz w:val="32"/>
          <w:szCs w:val="32"/>
        </w:rPr>
        <w:t>严格公务车辆出行管理</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w:t>
      </w:r>
    </w:p>
    <w:tbl>
      <w:tblPr>
        <w:tblStyle w:val="7"/>
        <w:tblW w:w="7920" w:type="dxa"/>
        <w:tblInd w:w="93" w:type="dxa"/>
        <w:tblLayout w:type="fixed"/>
        <w:tblCellMar>
          <w:top w:w="0" w:type="dxa"/>
          <w:left w:w="108" w:type="dxa"/>
          <w:bottom w:w="0" w:type="dxa"/>
          <w:right w:w="108" w:type="dxa"/>
        </w:tblCellMar>
      </w:tblPr>
      <w:tblGrid>
        <w:gridCol w:w="2660"/>
        <w:gridCol w:w="2200"/>
        <w:gridCol w:w="3060"/>
      </w:tblGrid>
      <w:tr>
        <w:tblPrEx>
          <w:tblLayout w:type="fixed"/>
          <w:tblCellMar>
            <w:top w:w="0" w:type="dxa"/>
            <w:left w:w="108" w:type="dxa"/>
            <w:bottom w:w="0" w:type="dxa"/>
            <w:right w:w="108" w:type="dxa"/>
          </w:tblCellMar>
        </w:tblPrEx>
        <w:trPr>
          <w:trHeight w:val="390" w:hRule="atLeast"/>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商品和服务支出</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63.7 </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63.7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8.9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8.9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5.8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5.8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9.1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9.1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1.6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1.6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0.5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0.5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5.6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5.6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7.8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7.8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0.6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0.6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3.0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3.0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7.8</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7.8</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r>
    </w:tbl>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firstLine="640" w:firstLineChars="200"/>
        <w:rPr>
          <w:rFonts w:ascii="仿宋_GB2312" w:eastAsia="仿宋_GB2312"/>
          <w:sz w:val="32"/>
          <w:szCs w:val="32"/>
        </w:rPr>
      </w:pPr>
      <w:r>
        <w:rPr>
          <w:rFonts w:hint="eastAsia" w:ascii="仿宋_GB2312" w:eastAsia="仿宋_GB2312"/>
          <w:sz w:val="32"/>
          <w:szCs w:val="32"/>
        </w:rPr>
        <w:t>（三）重点项目绩效公开（逐步公开）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农业局2018年预算项目支出共计277.9万元，分别为：农业技术推广区域站工作34万元，农产品安全检测55万元,农资打假及农业综合执法20万元等农业项目。农业技术推广区域站绩效目标，以基层区域站为主题，建成试验示范基地，每站建立50-100亩试验示范田，辐射带动周边群众增产增效，对新型经营主题开展个性化服务，开展新品种、新技术、新机械实验。农产品安全检测绩效目标，通过对农产品质量检测，一是有效提升农产品质量安全水平，保障全市人民身体健康，二是为领导指导农业生产提供科学依据。农资打假及农业综合执法绩效目标，通过农业综合执法，严厉打击假劣农资，有效制止了坑农害农现象发生，切保农民的合法权益不受侵害，有效提高农资质量，增加农民经济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单位将积极推进预算绩效管理工作，在预算执行时严格按照预算项目进行实施，在资金使用过程中进行监督，对照项目目标进行绩效评价。我们将在以下方面努力做好预算绩效管理工作：一是加强项目资金使用过程的全程监控，提高资金使用的规范性和时效性；二是加强绩效评价的沟通汇报工作，将绩效评价作为预算管理和安排以后年度预算的重要依据；三是强化评价结果的应用，发现问题及时改进，加强评价结果与项目资金安排的衔接。同时继续落实贯彻《预算法》，提高财政资金的使用效益，努力提高我单位绩效管理工作水平。</w:t>
      </w:r>
    </w:p>
    <w:p>
      <w:pPr>
        <w:numPr>
          <w:ilvl w:val="0"/>
          <w:numId w:val="4"/>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0" w:firstLineChars="20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DE458547"/>
    <w:multiLevelType w:val="singleLevel"/>
    <w:tmpl w:val="DE458547"/>
    <w:lvl w:ilvl="0" w:tentative="0">
      <w:start w:val="3"/>
      <w:numFmt w:val="chineseCounting"/>
      <w:lvlText w:val="(%1)"/>
      <w:lvlJc w:val="left"/>
      <w:pPr>
        <w:tabs>
          <w:tab w:val="left" w:pos="312"/>
        </w:tabs>
      </w:pPr>
      <w:rPr>
        <w:rFonts w:hint="eastAsia"/>
      </w:rPr>
    </w:lvl>
  </w:abstractNum>
  <w:abstractNum w:abstractNumId="2">
    <w:nsid w:val="4662AA8F"/>
    <w:multiLevelType w:val="singleLevel"/>
    <w:tmpl w:val="4662AA8F"/>
    <w:lvl w:ilvl="0" w:tentative="0">
      <w:start w:val="1"/>
      <w:numFmt w:val="chineseCounting"/>
      <w:suff w:val="space"/>
      <w:lvlText w:val="第%1部分"/>
      <w:lvlJc w:val="left"/>
      <w:pPr>
        <w:ind w:left="0" w:firstLine="0"/>
      </w:pPr>
    </w:lvl>
  </w:abstractNum>
  <w:abstractNum w:abstractNumId="3">
    <w:nsid w:val="58366DE8"/>
    <w:multiLevelType w:val="singleLevel"/>
    <w:tmpl w:val="58366DE8"/>
    <w:lvl w:ilvl="0" w:tentative="0">
      <w:start w:val="1"/>
      <w:numFmt w:val="chineseCounting"/>
      <w:suff w:val="nothing"/>
      <w:lvlText w:val="%1、"/>
      <w:lvlJc w:val="left"/>
      <w:pPr>
        <w:ind w:left="555" w:firstLine="0"/>
      </w:pPr>
    </w:lvl>
  </w:abstractNum>
  <w:num w:numId="1">
    <w:abstractNumId w:val="2"/>
    <w:lvlOverride w:ilvl="0">
      <w:startOverride w:val="1"/>
    </w:lvlOverride>
  </w:num>
  <w:num w:numId="2">
    <w:abstractNumId w:val="3"/>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8416D"/>
    <w:rsid w:val="0010238A"/>
    <w:rsid w:val="00110006"/>
    <w:rsid w:val="00367BE8"/>
    <w:rsid w:val="00537650"/>
    <w:rsid w:val="006549ED"/>
    <w:rsid w:val="006F355A"/>
    <w:rsid w:val="00755988"/>
    <w:rsid w:val="0083385F"/>
    <w:rsid w:val="00845265"/>
    <w:rsid w:val="00A52C98"/>
    <w:rsid w:val="00AA076C"/>
    <w:rsid w:val="00B60910"/>
    <w:rsid w:val="00B76482"/>
    <w:rsid w:val="00BC7A38"/>
    <w:rsid w:val="00C1789F"/>
    <w:rsid w:val="00C96031"/>
    <w:rsid w:val="00CC2C0F"/>
    <w:rsid w:val="00D412F3"/>
    <w:rsid w:val="00F57949"/>
    <w:rsid w:val="06DA2AAB"/>
    <w:rsid w:val="0A127B2C"/>
    <w:rsid w:val="0D123487"/>
    <w:rsid w:val="16AA55A9"/>
    <w:rsid w:val="1AF816EE"/>
    <w:rsid w:val="20200BFE"/>
    <w:rsid w:val="219B0F31"/>
    <w:rsid w:val="22FB215B"/>
    <w:rsid w:val="36184FB7"/>
    <w:rsid w:val="3949056A"/>
    <w:rsid w:val="3C950663"/>
    <w:rsid w:val="4094192D"/>
    <w:rsid w:val="46307BBC"/>
    <w:rsid w:val="5C353396"/>
    <w:rsid w:val="6CDE2E0F"/>
    <w:rsid w:val="747A592F"/>
    <w:rsid w:val="756348BD"/>
    <w:rsid w:val="7E670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664</Words>
  <Characters>3786</Characters>
  <Lines>31</Lines>
  <Paragraphs>8</Paragraphs>
  <TotalTime>1</TotalTime>
  <ScaleCrop>false</ScaleCrop>
  <LinksUpToDate>false</LinksUpToDate>
  <CharactersWithSpaces>4442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2019-03-04T01:02:16Z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