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cs="Arial"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永城市</w:t>
      </w:r>
      <w:r>
        <w:rPr>
          <w:rFonts w:hint="eastAsia" w:cs="Arial" w:asciiTheme="minorEastAsia" w:hAnsiTheme="minorEastAsia" w:eastAsiaTheme="minorEastAsia"/>
          <w:b/>
          <w:sz w:val="52"/>
          <w:szCs w:val="52"/>
        </w:rPr>
        <w:t>扶贫办公室</w:t>
      </w: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</w:rPr>
      </w:pPr>
      <w:r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扶贫办公室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扶贫办公室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Arial"/>
          <w:b/>
          <w:sz w:val="32"/>
          <w:szCs w:val="32"/>
        </w:rPr>
        <w:t>扶贫办公室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永城市扶贫办公室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numPr>
          <w:numId w:val="0"/>
        </w:numPr>
        <w:spacing w:line="720" w:lineRule="auto"/>
        <w:ind w:left="240" w:left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扶贫办公室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</w:rPr>
        <w:t>一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hint="eastAsia" w:ascii="宋体" w:hAnsi="宋体"/>
          <w:sz w:val="30"/>
          <w:szCs w:val="30"/>
        </w:rPr>
        <w:t>、永城市扶贫办公室主要职责：</w:t>
      </w:r>
    </w:p>
    <w:p>
      <w:pPr>
        <w:pStyle w:val="2"/>
        <w:spacing w:line="580" w:lineRule="exact"/>
        <w:ind w:left="0" w:firstLine="720" w:firstLineChars="225"/>
        <w:rPr>
          <w:rFonts w:ascii="仿宋_GB2312" w:eastAsia="仿宋_GB2312"/>
        </w:rPr>
      </w:pPr>
      <w:r>
        <w:rPr>
          <w:rFonts w:hint="eastAsia" w:ascii="仿宋_GB2312" w:hAnsi="ˎ̥" w:eastAsia="仿宋_GB2312" w:cs="Arial"/>
          <w:color w:val="000000"/>
        </w:rPr>
        <w:t>（一)</w:t>
      </w:r>
      <w:r>
        <w:rPr>
          <w:rFonts w:hint="eastAsia" w:ascii="仿宋_GB2312" w:eastAsia="仿宋_GB2312"/>
        </w:rPr>
        <w:t>贯彻执行国家和省市有关扶贫开发工作的方针政策，协助领导研究制定全市扶贫开发的中、长、短发展规划及年度计划，并组织实施。</w:t>
      </w:r>
    </w:p>
    <w:p>
      <w:pPr>
        <w:tabs>
          <w:tab w:val="left" w:pos="-180"/>
          <w:tab w:val="left" w:pos="0"/>
          <w:tab w:val="left" w:pos="1260"/>
          <w:tab w:val="left" w:pos="1800"/>
        </w:tabs>
        <w:spacing w:line="58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（二）负责组织扶贫开发项目的规划编制，项目备案、审批、组织实施、监管和验收，项目绩效自评，以及扶贫对象受益情况监测等。</w:t>
      </w:r>
    </w:p>
    <w:p>
      <w:pPr>
        <w:tabs>
          <w:tab w:val="left" w:pos="900"/>
          <w:tab w:val="left" w:pos="1080"/>
        </w:tabs>
        <w:spacing w:line="58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（三）负责组织贫困乡、村干部及“雨露计划”劳力转移技能的培训。</w:t>
      </w:r>
    </w:p>
    <w:p>
      <w:pPr>
        <w:tabs>
          <w:tab w:val="left" w:pos="720"/>
          <w:tab w:val="left" w:pos="1800"/>
        </w:tabs>
        <w:spacing w:line="58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（四）负责组织搞好贫困乡、村的调研，贫困人口收入、脱贫、返贫等情况的统计监测及扶贫开发工作经验的推广。</w:t>
      </w:r>
    </w:p>
    <w:p>
      <w:pPr>
        <w:rPr>
          <w:rStyle w:val="7"/>
          <w:b w:val="0"/>
          <w:sz w:val="32"/>
          <w:szCs w:val="32"/>
        </w:rPr>
      </w:pPr>
      <w:r>
        <w:rPr>
          <w:rStyle w:val="7"/>
          <w:rFonts w:hint="eastAsia"/>
          <w:b w:val="0"/>
          <w:sz w:val="32"/>
          <w:szCs w:val="32"/>
          <w:lang w:eastAsia="zh-CN"/>
        </w:rPr>
        <w:t>（</w:t>
      </w:r>
      <w:r>
        <w:rPr>
          <w:rStyle w:val="7"/>
          <w:rFonts w:hint="eastAsia"/>
          <w:b w:val="0"/>
          <w:sz w:val="32"/>
          <w:szCs w:val="32"/>
        </w:rPr>
        <w:t>二</w:t>
      </w:r>
      <w:r>
        <w:rPr>
          <w:rStyle w:val="7"/>
          <w:rFonts w:hint="eastAsia"/>
          <w:b w:val="0"/>
          <w:sz w:val="32"/>
          <w:szCs w:val="32"/>
          <w:lang w:eastAsia="zh-CN"/>
        </w:rPr>
        <w:t>）</w:t>
      </w:r>
      <w:r>
        <w:rPr>
          <w:rStyle w:val="7"/>
          <w:rFonts w:hint="eastAsia"/>
          <w:b w:val="0"/>
          <w:sz w:val="32"/>
          <w:szCs w:val="32"/>
        </w:rPr>
        <w:t>、永城市扶贫办公室预算单位构成</w:t>
      </w:r>
    </w:p>
    <w:p>
      <w:pPr>
        <w:ind w:firstLine="630"/>
        <w:rPr>
          <w:rStyle w:val="7"/>
          <w:b w:val="0"/>
          <w:sz w:val="32"/>
          <w:szCs w:val="32"/>
        </w:rPr>
      </w:pPr>
      <w:r>
        <w:rPr>
          <w:rStyle w:val="7"/>
          <w:rFonts w:hint="eastAsia"/>
          <w:b w:val="0"/>
          <w:sz w:val="32"/>
          <w:szCs w:val="32"/>
        </w:rPr>
        <w:t>永城市扶贫办公室预算只包括扶贫办公室本级预算，本单位无二级机构。</w:t>
      </w:r>
    </w:p>
    <w:p>
      <w:pPr>
        <w:pStyle w:val="5"/>
        <w:spacing w:before="0" w:beforeAutospacing="0" w:after="0" w:afterAutospacing="0"/>
        <w:rPr>
          <w:rFonts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、预算年度的主要工作任务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预算的编制到执行控制和</w:t>
      </w:r>
      <w:r>
        <w:fldChar w:fldCharType="begin"/>
      </w:r>
      <w:r>
        <w:instrText xml:space="preserve"> HYPERLINK "https://baike.baidu.com/item/%E4%B8%9A%E7%BB%A9%E8%AF%84%E4%BB%B7" \t "https://baike.baidu.com/item/%E9%A2%84%E7%AE%97%E7%AE%A1%E7%90%86/_blank"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kern w:val="2"/>
        </w:rPr>
        <w:t>业绩评价</w:t>
      </w:r>
      <w:r>
        <w:rPr>
          <w:rFonts w:hint="eastAsia" w:ascii="仿宋_GB2312" w:hAnsi="Times New Roman" w:eastAsia="仿宋_GB2312" w:cs="Times New Roman"/>
          <w:kern w:val="2"/>
        </w:rPr>
        <w:fldChar w:fldCharType="end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，完整的体现了管理上为实现预期目标而进行的协调活动。预算管理工作在整个企业管理工作中就象纲与网的关系。建立以预算为中心的</w:t>
      </w:r>
      <w:r>
        <w:fldChar w:fldCharType="begin"/>
      </w:r>
      <w:r>
        <w:instrText xml:space="preserve"> HYPERLINK "https://baike.baidu.com/item/%E7%AE%A1%E7%90%86%E4%BD%93%E7%B3%BB" \t "https://baike.baidu.com/item/%E9%A2%84%E7%AE%97%E7%AE%A1%E7%90%86/_blank"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kern w:val="2"/>
        </w:rPr>
        <w:t>管理体系</w:t>
      </w:r>
      <w:r>
        <w:rPr>
          <w:rFonts w:hint="eastAsia" w:ascii="仿宋_GB2312" w:hAnsi="Times New Roman" w:eastAsia="仿宋_GB2312" w:cs="Times New Roman"/>
          <w:kern w:val="2"/>
        </w:rPr>
        <w:fldChar w:fldCharType="end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是由于预算在企业管理中的地位和作用决定的。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扶贫办公室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5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5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Arial" w:hAnsi="Arial" w:eastAsia="方正小标宋简体" w:cs="Arial"/>
          <w:sz w:val="36"/>
          <w:szCs w:val="36"/>
        </w:rPr>
        <w:t>314.45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Arial" w:hAnsi="Arial" w:eastAsia="方正小标宋简体" w:cs="Arial"/>
          <w:sz w:val="36"/>
          <w:szCs w:val="36"/>
        </w:rPr>
        <w:t>314.45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万元，部门财政性资金结转</w:t>
      </w:r>
      <w:r>
        <w:rPr>
          <w:rFonts w:hint="eastAsia" w:ascii="Arial" w:hAnsi="Arial" w:eastAsia="方正小标宋简体" w:cs="Arial"/>
          <w:sz w:val="36"/>
          <w:szCs w:val="36"/>
        </w:rPr>
        <w:t>59.14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5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5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</w:t>
      </w:r>
      <w:r>
        <w:rPr>
          <w:rFonts w:hint="eastAsia" w:ascii="Arial" w:hAnsi="Arial" w:eastAsia="方正小标宋简体" w:cs="Arial"/>
          <w:sz w:val="36"/>
          <w:szCs w:val="36"/>
        </w:rPr>
        <w:t>314.45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6"/>
          <w:szCs w:val="36"/>
        </w:rPr>
        <w:t>256.05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81.4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6.3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sz w:val="36"/>
          <w:szCs w:val="36"/>
        </w:rPr>
        <w:t>314.45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sz w:val="36"/>
          <w:szCs w:val="36"/>
        </w:rPr>
        <w:t>314.45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25.45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91.9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Arial" w:hAnsi="Arial" w:eastAsia="方正小标宋简体" w:cs="Arial"/>
          <w:sz w:val="36"/>
          <w:szCs w:val="36"/>
        </w:rPr>
        <w:t>314.45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25.45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91.9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%。主要变化原因：新调入人员。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7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Arial" w:hAnsi="Arial" w:eastAsia="方正小标宋简体" w:cs="Arial"/>
          <w:sz w:val="36"/>
          <w:szCs w:val="36"/>
        </w:rPr>
        <w:t>314.45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sz w:val="36"/>
          <w:szCs w:val="36"/>
        </w:rPr>
        <w:t>314.45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25.45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91.9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Arial" w:hAnsi="Arial" w:eastAsia="方正小标宋简体" w:cs="Arial"/>
          <w:sz w:val="36"/>
          <w:szCs w:val="36"/>
        </w:rPr>
        <w:t>256.05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81.4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16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91.7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6"/>
          <w:szCs w:val="36"/>
        </w:rPr>
        <w:t>0.36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0.001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0.06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83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Arial" w:hAnsi="Arial" w:eastAsia="方正小标宋简体" w:cs="Arial"/>
          <w:sz w:val="36"/>
          <w:szCs w:val="36"/>
        </w:rPr>
        <w:t>38.04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12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18.34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51.7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20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6.3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主要变化原因：无</w:t>
      </w:r>
    </w:p>
    <w:p>
      <w:pPr>
        <w:pStyle w:val="5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0.3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%。其中：因公出国(境)费用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%；公务接待费</w:t>
      </w:r>
      <w:r>
        <w:rPr>
          <w:rFonts w:hint="eastAsia" w:ascii="Arial" w:hAnsi="Arial" w:eastAsia="方正小标宋简体" w:cs="Arial"/>
          <w:sz w:val="36"/>
          <w:szCs w:val="36"/>
        </w:rPr>
        <w:t>0.3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%；公务用车运行维护费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%；公务用车购置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本单位2018年机关运行经费支出如下：办公费11.3万元，工会经费0.9万元，福利费2.31万元，其他交通费23.49万元，共计38.04万元。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(二)政府采购情况说明</w:t>
      </w:r>
    </w:p>
    <w:p>
      <w:pPr>
        <w:pStyle w:val="5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789F"/>
    <w:rsid w:val="00062399"/>
    <w:rsid w:val="0008416D"/>
    <w:rsid w:val="000C17C5"/>
    <w:rsid w:val="001A1ED6"/>
    <w:rsid w:val="00347BFE"/>
    <w:rsid w:val="00537650"/>
    <w:rsid w:val="00571D79"/>
    <w:rsid w:val="006270C2"/>
    <w:rsid w:val="006549ED"/>
    <w:rsid w:val="006B3E7E"/>
    <w:rsid w:val="006F355A"/>
    <w:rsid w:val="00755988"/>
    <w:rsid w:val="0083385F"/>
    <w:rsid w:val="00845265"/>
    <w:rsid w:val="00B60910"/>
    <w:rsid w:val="00B76482"/>
    <w:rsid w:val="00BC7A38"/>
    <w:rsid w:val="00BF2C51"/>
    <w:rsid w:val="00C1789F"/>
    <w:rsid w:val="00C96031"/>
    <w:rsid w:val="00CC2C0F"/>
    <w:rsid w:val="079B27F0"/>
    <w:rsid w:val="124873F3"/>
    <w:rsid w:val="4B616316"/>
    <w:rsid w:val="56D433CD"/>
    <w:rsid w:val="610725E6"/>
    <w:rsid w:val="68084EB1"/>
    <w:rsid w:val="696E5334"/>
    <w:rsid w:val="6A486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tabs>
        <w:tab w:val="left" w:pos="-180"/>
        <w:tab w:val="left" w:pos="0"/>
        <w:tab w:val="left" w:pos="900"/>
        <w:tab w:val="left" w:pos="1800"/>
      </w:tabs>
      <w:ind w:left="72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2019-03-04T07:18:56Z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