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</w:pP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</w:pP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</w:pP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</w:pPr>
      <w:r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  <w:t>永城市</w:t>
      </w:r>
      <w:r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  <w:lang w:val="en-US" w:eastAsia="zh-CN"/>
        </w:rPr>
        <w:t>住房保障服务中心</w:t>
      </w:r>
      <w:r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  <w:t>2018年预算基本情况说明</w:t>
      </w: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</w:pP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</w:pP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</w:pP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</w:pP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</w:pP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</w:pP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</w:rPr>
      </w:pP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  <w:lang w:val="en-US" w:eastAsia="zh-CN"/>
        </w:rPr>
      </w:pPr>
      <w:r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52"/>
          <w:szCs w:val="52"/>
          <w:lang w:val="en-US" w:eastAsia="zh-CN"/>
        </w:rPr>
        <w:t>2018年1月20日</w:t>
      </w:r>
    </w:p>
    <w:p>
      <w:pPr>
        <w:jc w:val="center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44"/>
          <w:szCs w:val="44"/>
        </w:rPr>
      </w:pPr>
    </w:p>
    <w:p>
      <w:pPr>
        <w:jc w:val="both"/>
        <w:rPr>
          <w:rStyle w:val="6"/>
          <w:rFonts w:hint="eastAsia" w:cs="Arial" w:asciiTheme="majorEastAsia" w:hAnsiTheme="majorEastAsia" w:eastAsiaTheme="majorEastAsia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ind w:left="240" w:leftChars="0"/>
        <w:jc w:val="center"/>
        <w:textAlignment w:val="auto"/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ind w:left="240" w:leftChars="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永城市住房保障服务中心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单位概况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ind w:left="42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一、部门机构设置、职能、年度工作任务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ind w:left="42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二、部门预算单位构成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第二部分 永城市住房保障服务中心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2018年度部门预算情况说明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640" w:firstLineChars="200"/>
        <w:textAlignment w:val="auto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、一般公共预算收支预算情况说明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0" w:firstLineChars="200"/>
        <w:jc w:val="left"/>
        <w:textAlignment w:val="auto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、政府性基金预算收支预算情况说明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640" w:firstLineChars="200"/>
        <w:textAlignment w:val="auto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、“三公”经费支出预算情况说明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640" w:firstLineChars="200"/>
        <w:textAlignment w:val="auto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第三部分 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附件：永城市住房保障服务中心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2018年度部门预算表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ind w:left="555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部门收支总体情况表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ind w:left="555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部门收入总体情况表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ind w:left="555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部门支出总体情况表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ind w:left="555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一般公共预算基本支出经济分类情况表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ind w:left="555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财政拨款收支总体情况表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ind w:left="555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财政拨款支出情况表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ind w:left="555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政府性基金支出情况表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left="3078" w:leftChars="418" w:hanging="2200" w:hangingChars="500"/>
        <w:jc w:val="both"/>
        <w:rPr>
          <w:rFonts w:hint="eastAsia" w:cs="Arial" w:asciiTheme="majorEastAsia" w:hAnsiTheme="majorEastAsia" w:eastAsiaTheme="majorEastAsia"/>
          <w:sz w:val="44"/>
          <w:szCs w:val="44"/>
        </w:rPr>
      </w:pPr>
    </w:p>
    <w:p>
      <w:pPr>
        <w:ind w:left="3078" w:leftChars="418" w:hanging="2200" w:hangingChars="500"/>
        <w:jc w:val="both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cs="Arial" w:asciiTheme="majorEastAsia" w:hAnsiTheme="majorEastAsia" w:eastAsiaTheme="majorEastAsia"/>
          <w:sz w:val="44"/>
          <w:szCs w:val="44"/>
        </w:rPr>
        <w:t>永城市</w:t>
      </w:r>
      <w:r>
        <w:rPr>
          <w:rFonts w:hint="eastAsia" w:cs="Arial" w:asciiTheme="majorEastAsia" w:hAnsiTheme="majorEastAsia" w:eastAsiaTheme="majorEastAsia"/>
          <w:sz w:val="44"/>
          <w:szCs w:val="44"/>
          <w:lang w:val="en-US" w:eastAsia="zh-CN"/>
        </w:rPr>
        <w:t>住房保障服务中心</w:t>
      </w:r>
      <w:r>
        <w:rPr>
          <w:rFonts w:hint="eastAsia" w:asciiTheme="majorEastAsia" w:hAnsiTheme="majorEastAsia" w:eastAsiaTheme="majorEastAsia"/>
          <w:sz w:val="44"/>
          <w:szCs w:val="44"/>
        </w:rPr>
        <w:t>2018年预算基本情况说明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第一部分 永城市住房保障服务中心单位概况</w:t>
      </w:r>
    </w:p>
    <w:p>
      <w:pPr>
        <w:widowControl/>
        <w:spacing w:beforeAutospacing="0" w:afterAutospacing="0" w:line="240" w:lineRule="auto"/>
        <w:ind w:left="739" w:leftChars="352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永城市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住房保障服务中心基本情况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              永城市住房保障服务中心是全供事业单位，内部10个科室，单位实有在职88人，主要职能：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1.贯彻执行国家、省、市有关房地产开发、住房保障、住房制度改革、房地产市场监管以及房地产行业管理的法律、法规、规章和方针、政策，结合全市实际，提出具体实施意见并组织实施。</w:t>
      </w:r>
    </w:p>
    <w:p>
      <w:pPr>
        <w:widowControl/>
        <w:spacing w:before="100" w:beforeAutospacing="1" w:after="100" w:afterAutospacing="1" w:line="480" w:lineRule="auto"/>
        <w:ind w:firstLine="320" w:firstLineChars="1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2.负责全市住房改革工作。指导、监督各单位贯彻执行住房制度改革政策；负责审批全市直管公有住房、自管房单位售房方案、住房分配货币化方案；负责全市房改资金的监督管理。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3.负责建立和完善全市住房保障体系，推进各类保障性住房工作。组织实施、监督管理各类保障性住房建设、销售、出租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及棚户区改造</w:t>
      </w:r>
      <w:r>
        <w:rPr>
          <w:rFonts w:hint="eastAsia" w:ascii="仿宋" w:hAnsi="仿宋" w:eastAsia="仿宋" w:cs="仿宋"/>
          <w:kern w:val="0"/>
          <w:sz w:val="32"/>
          <w:szCs w:val="32"/>
        </w:rPr>
        <w:t>等工作。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负责全市房地产开发行业管理。负责全市房地产开发企业资质管理及开发经营活动的监督管理；负责商品房预（销）售管理及开发项目检验统计工作。                                                                                              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5.负责全市房地产市场的监督管理。负责全市房地产交易行为和房屋租赁管理工作；负责全市房地产估价与经纪管理；负责全市房屋的测绘及资质管理；负责组织、实施房地产市场秩序整治工作。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6.负责全市房屋产权产籍管理。负责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不动产</w:t>
      </w:r>
      <w:r>
        <w:rPr>
          <w:rFonts w:hint="eastAsia" w:ascii="仿宋" w:hAnsi="仿宋" w:eastAsia="仿宋" w:cs="仿宋"/>
          <w:kern w:val="0"/>
          <w:sz w:val="32"/>
          <w:szCs w:val="32"/>
        </w:rPr>
        <w:t>产权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权</w:t>
      </w:r>
      <w:r>
        <w:rPr>
          <w:rFonts w:hint="eastAsia" w:ascii="仿宋" w:hAnsi="仿宋" w:eastAsia="仿宋" w:cs="仿宋"/>
          <w:kern w:val="0"/>
          <w:sz w:val="32"/>
          <w:szCs w:val="32"/>
        </w:rPr>
        <w:t>属确认、登记和发证工作；负责全市房地产抵押登记；负责房屋产籍产权档案管理。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7.负责全市物业管理的行业管理。负责物业服务企业资质和从业人员资格以及行为管理；指导、监督业主大会和业主委员会的运作；指导、监督前期物业管理招投标备案和物业管理承接验收制度。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8.负责全市房屋使用安全监督管理。组织拟定全市危旧房屋改造计划并监督实施；监督指导全市房屋安全鉴定、危房督修改造工作；指导全市危险房屋的治理工作。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9.负责全市物业维修资金的归集和使用管理。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10.负责全市房地产开发、房地产市场监管、房屋管理的行政执法工作，协调处理各类投诉和纠纷。负责有关行政复议受理和行政诉讼应诉工作。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11.承办上级交办的其他事项。    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kern w:val="0"/>
          <w:sz w:val="32"/>
          <w:szCs w:val="32"/>
        </w:rPr>
        <w:t>部门预算单位构成</w:t>
      </w:r>
    </w:p>
    <w:p>
      <w:pPr>
        <w:widowControl/>
        <w:spacing w:before="100" w:beforeAutospacing="1" w:after="100" w:afterAutospacing="1" w:line="480" w:lineRule="auto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永城市住房保障服务中心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部门预算为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永城市住房保障服务中心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本级预算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，本单位无二级机构。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2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第二部分 永城市住房保障服务中心2018年度部门预算说明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 xml:space="preserve">                           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、一般公共预算收支预算情况说明</w:t>
      </w:r>
    </w:p>
    <w:p>
      <w:pPr>
        <w:pStyle w:val="4"/>
        <w:spacing w:before="0" w:beforeAutospacing="0" w:after="0" w:afterAutospacing="0"/>
        <w:ind w:firstLine="320" w:firstLineChars="1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（一）部门收入预算总体情况说明</w:t>
      </w:r>
    </w:p>
    <w:p>
      <w:pPr>
        <w:pStyle w:val="4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2018年收入合计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778.37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万元，其中，一般公共预算</w:t>
      </w:r>
    </w:p>
    <w:p>
      <w:pPr>
        <w:pStyle w:val="4"/>
        <w:spacing w:before="0" w:beforeAutospacing="0" w:after="0" w:afterAutospacing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473.37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事业性收费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305万元，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部门财政性资金结转0万元。</w:t>
      </w:r>
    </w:p>
    <w:p>
      <w:pPr>
        <w:pStyle w:val="4"/>
        <w:spacing w:before="0" w:beforeAutospacing="0" w:after="0" w:afterAutospacing="0"/>
        <w:ind w:firstLine="320" w:firstLineChars="1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（二）部门支出预算总体情况说明</w:t>
      </w:r>
    </w:p>
    <w:p>
      <w:pPr>
        <w:pStyle w:val="4"/>
        <w:spacing w:before="0" w:beforeAutospacing="0" w:after="0" w:afterAutospacing="0"/>
        <w:ind w:left="105" w:leftChars="5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2018年支出合计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778.37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188.37</w:t>
      </w:r>
    </w:p>
    <w:p>
      <w:pPr>
        <w:pStyle w:val="4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24.2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%；项目支出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590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75.8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%。</w:t>
      </w:r>
    </w:p>
    <w:p>
      <w:pPr>
        <w:pStyle w:val="4"/>
        <w:spacing w:before="0" w:beforeAutospacing="0" w:after="0" w:afterAutospacing="0"/>
        <w:ind w:firstLine="320" w:firstLineChars="1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color w:val="000000"/>
          <w:sz w:val="32"/>
          <w:szCs w:val="32"/>
        </w:rPr>
        <w:t>（三）财政拨款收入预算情况说明</w:t>
      </w:r>
    </w:p>
    <w:p>
      <w:pPr>
        <w:pStyle w:val="4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2018年收入预算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778.37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万元，其中财政拨款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473.37</w:t>
      </w:r>
    </w:p>
    <w:p>
      <w:pPr>
        <w:pStyle w:val="4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万元；纳入预算管理的行政事业性收费收入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万元，比上年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149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万元。主要变化原因：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2017年4月1日取消行政事业性收费（住房转让手续费）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spacing w:before="0" w:beforeAutospacing="0" w:after="0" w:afterAutospacing="0"/>
        <w:ind w:firstLine="320" w:firstLineChars="1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color w:val="000000"/>
          <w:sz w:val="32"/>
          <w:szCs w:val="32"/>
        </w:rPr>
        <w:t>（四）财政拨款支出预算情况说明</w:t>
      </w:r>
    </w:p>
    <w:p>
      <w:pPr>
        <w:pStyle w:val="4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2018年支出预算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778.37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万元，其中财政拨款支出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473.37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万元。支出按用途划分为：工资福利支出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155.16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万元，占总支出的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19.93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%，比上年增加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3.09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万元，；对个人和家庭的补助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万元，占总支出的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%，比上年增加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万元，增长0%；商品服务支出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29.31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万元，占总支出的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3.76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%，比上年增加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3.09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万元；项目支出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590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万元，占总支出的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75.8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%，比上年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149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万元。主要变化原因：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收费项目取消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二、政府性基金预算收支预算情况说明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无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三、“三公”经费支出预算情况说明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“三公”经费支出预算0万元，较上年下降(或增长)0%。其中：因公出国(境)费用0万元，较上年下降(或增长)0%；公务接待费0万元，较上年下降(或增长)0%；公务用车运行维护费0万元，较上年下降(或增长)0%；公务用车购置0，较上年下降(或增长)0%。</w:t>
      </w:r>
      <w:r>
        <w:rPr>
          <w:rFonts w:hint="eastAsia" w:ascii="仿宋" w:hAnsi="仿宋" w:eastAsia="仿宋" w:cs="仿宋"/>
          <w:b/>
          <w:sz w:val="32"/>
          <w:szCs w:val="32"/>
        </w:rPr>
        <w:t>主要变化原因：无。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、其他重要事项的情况说明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(一)机关运行经费支出情况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万元；印刷费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万元；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4万元；</w:t>
      </w:r>
      <w:r>
        <w:rPr>
          <w:rFonts w:hint="eastAsia" w:ascii="仿宋" w:hAnsi="仿宋" w:eastAsia="仿宋" w:cs="仿宋"/>
          <w:sz w:val="32"/>
          <w:szCs w:val="32"/>
        </w:rPr>
        <w:t>电费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万元；差旅费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3.22</w:t>
      </w:r>
      <w:r>
        <w:rPr>
          <w:rFonts w:hint="eastAsia" w:ascii="仿宋" w:hAnsi="仿宋" w:eastAsia="仿宋" w:cs="仿宋"/>
          <w:sz w:val="32"/>
          <w:szCs w:val="32"/>
        </w:rPr>
        <w:t>万元；工会费0.6万元；福利费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1.49</w:t>
      </w:r>
      <w:r>
        <w:rPr>
          <w:rFonts w:hint="eastAsia" w:ascii="仿宋" w:hAnsi="仿宋" w:eastAsia="仿宋" w:cs="仿宋"/>
          <w:sz w:val="32"/>
          <w:szCs w:val="32"/>
        </w:rPr>
        <w:t>万元；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(二)</w:t>
      </w:r>
      <w:r>
        <w:rPr>
          <w:rFonts w:hint="eastAsia" w:ascii="仿宋_GB2312" w:eastAsia="仿宋_GB2312"/>
          <w:sz w:val="32"/>
          <w:szCs w:val="32"/>
        </w:rPr>
        <w:t>政府采购支出情况</w:t>
      </w:r>
    </w:p>
    <w:p>
      <w:pPr>
        <w:pStyle w:val="4"/>
        <w:widowControl/>
        <w:spacing w:before="0" w:beforeAutospacing="0" w:after="0" w:afterAutospacing="0" w:line="60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2018年政府采购预算安排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万元，其中：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政府采购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货物类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政府采购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服务类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,政府采购工程类0万元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重点项目预算绩效目标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numPr>
          <w:ilvl w:val="0"/>
          <w:numId w:val="3"/>
        </w:numPr>
        <w:ind w:left="640" w:left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国有资产占用情况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无。</w:t>
      </w:r>
    </w:p>
    <w:p>
      <w:pPr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ind w:firstLine="723" w:firstLineChars="200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第三部分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专业性较强的名词解释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1、财政拨款收入：是指市级财政当年拨付的资</w:t>
      </w:r>
      <w:r>
        <w:rPr>
          <w:rFonts w:hint="eastAsia" w:ascii="仿宋_GB2312" w:eastAsia="仿宋_GB2312"/>
          <w:sz w:val="32"/>
          <w:szCs w:val="32"/>
        </w:rPr>
        <w:t>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、事业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收入：是指事业单位开展专业活动及辅助活动所取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得的收入。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、其他收入：是指部门取得的除“财政拨款”、“事业收入”、“事业单位经营收入”等以外的收入。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、一般公共服务（类）事务（款）：是指用于保障机构正常运行、开展业务等活动的支出。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）行政运行（项）：是指为保障机构正常运转、完成日常工作任务安排的支出。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）一般行政管理事务（项）：是指单位的项目支出。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）机关服务（项）：是指为单位提供后勤保障服务的机关服务局的支出。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）事业运行（项）：是指事业单位用于保障机构正常运转的基本支出。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85AC7A"/>
    <w:multiLevelType w:val="singleLevel"/>
    <w:tmpl w:val="B585AC7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62AA8F"/>
    <w:multiLevelType w:val="singleLevel"/>
    <w:tmpl w:val="4662AA8F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58366DE8"/>
    <w:multiLevelType w:val="singleLevel"/>
    <w:tmpl w:val="58366DE8"/>
    <w:lvl w:ilvl="0" w:tentative="0">
      <w:start w:val="1"/>
      <w:numFmt w:val="chineseCounting"/>
      <w:suff w:val="nothing"/>
      <w:lvlText w:val="%1、"/>
      <w:lvlJc w:val="left"/>
      <w:pPr>
        <w:ind w:left="555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89F"/>
    <w:rsid w:val="0008416D"/>
    <w:rsid w:val="00537650"/>
    <w:rsid w:val="00556AF3"/>
    <w:rsid w:val="006549ED"/>
    <w:rsid w:val="006E78C6"/>
    <w:rsid w:val="006F355A"/>
    <w:rsid w:val="00755988"/>
    <w:rsid w:val="007F7E18"/>
    <w:rsid w:val="0083385F"/>
    <w:rsid w:val="00845265"/>
    <w:rsid w:val="008F0CC7"/>
    <w:rsid w:val="00B60910"/>
    <w:rsid w:val="00B76482"/>
    <w:rsid w:val="00BC7A38"/>
    <w:rsid w:val="00BD654E"/>
    <w:rsid w:val="00C0033F"/>
    <w:rsid w:val="00C1789F"/>
    <w:rsid w:val="00C3277C"/>
    <w:rsid w:val="00C96031"/>
    <w:rsid w:val="00CC2C0F"/>
    <w:rsid w:val="00CE30E5"/>
    <w:rsid w:val="00F37A33"/>
    <w:rsid w:val="079E31BC"/>
    <w:rsid w:val="09C51A18"/>
    <w:rsid w:val="0BE93CBE"/>
    <w:rsid w:val="0C133DCE"/>
    <w:rsid w:val="156D0E64"/>
    <w:rsid w:val="18CF276F"/>
    <w:rsid w:val="19486AC7"/>
    <w:rsid w:val="230401D4"/>
    <w:rsid w:val="233C4397"/>
    <w:rsid w:val="23984E2D"/>
    <w:rsid w:val="25F45A00"/>
    <w:rsid w:val="2DF92130"/>
    <w:rsid w:val="2E8B6C41"/>
    <w:rsid w:val="2EFC1944"/>
    <w:rsid w:val="2F7E5F26"/>
    <w:rsid w:val="30C47454"/>
    <w:rsid w:val="37F51F1F"/>
    <w:rsid w:val="38221198"/>
    <w:rsid w:val="42E0191C"/>
    <w:rsid w:val="4672605C"/>
    <w:rsid w:val="489D1FA1"/>
    <w:rsid w:val="4E362A0D"/>
    <w:rsid w:val="50042CA1"/>
    <w:rsid w:val="5C69736F"/>
    <w:rsid w:val="63C65D6D"/>
    <w:rsid w:val="78857A2B"/>
    <w:rsid w:val="7A596AFF"/>
    <w:rsid w:val="7D1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296</Words>
  <Characters>1689</Characters>
  <Lines>14</Lines>
  <Paragraphs>3</Paragraphs>
  <TotalTime>1</TotalTime>
  <ScaleCrop>false</ScaleCrop>
  <LinksUpToDate>false</LinksUpToDate>
  <CharactersWithSpaces>1982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2018-03-28T00:35:00Z</dcterms:created>
  <dc:creator>china</dc:creator>
  <cp:lastModifiedBy>Administrator</cp:lastModifiedBy>
  <cp:lastPrinted>2018-04-19T07:01:00Z</cp:lastPrinted>
  <dcterms:modified xsi:type="dcterms:W3CDTF">2019-03-01T08:14:06Z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