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永城市委党史办公室</w:t>
      </w: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永城市委党史办公室单位概况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永城市委党史办公室2018年度部门预算情况说明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附件：永城市委党史办公室2018年度部门预算表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永城市委党史办公室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永城市委党史办公室单位概况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（一）部门主要职责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主要职能：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深化党史研究，准确记载和反映党的历史；组织党史学习教育；扩大党史宣传，普及党史知识；搞好党史纪念活动，深化党史事件和人物研究；征集、整理、编纂重要党史资料，妥善保存党的历史财富；协助有关部门做好党史革命史遗址遗迹调查、保护修缮和开发利用工作，搞好党史纪念场馆建设；参与指导红色旅游工作；开展对全市党史工作的业务指导；搞好爱国主义教育基地和党史教育基地的申报工作；完成永城市委、市政府交办的其他工作；指导中共永城党史学会和中共永城历史研究会的工作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（二）机构设置情况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永城市委党史办公室为市委办领导的事业单位，机构规格为正科级，全额财供单位，内设编研室、宣教室、政务室三个科室。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预算年度的主要工作任务</w:t>
      </w:r>
    </w:p>
    <w:p>
      <w:pPr>
        <w:pStyle w:val="10"/>
        <w:widowControl/>
        <w:numPr>
          <w:ilvl w:val="0"/>
          <w:numId w:val="4"/>
        </w:numPr>
        <w:shd w:val="clear" w:color="auto" w:fill="FFFFFF"/>
        <w:spacing w:line="480" w:lineRule="exact"/>
        <w:ind w:firstLineChars="0"/>
        <w:rPr>
          <w:rFonts w:ascii="仿宋_GB2312" w:hAnsi="黑体" w:eastAsia="仿宋_GB2312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shd w:val="clear" w:color="auto" w:fill="FFFFFF"/>
        </w:rPr>
        <w:t>切实搞好图书编辑出版工作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认真完成年编体党史图书——《中共永城大事记年编（2017）》（画册）和《中共永城执政实录（2017）》的编辑出版工作，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再版《决战陈官庄》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，高质量完成《红色永城（上、下卷）》的出版发行工作。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2、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shd w:val="clear" w:color="auto" w:fill="FFFFFF"/>
        </w:rPr>
        <w:t>深入开展党史正本的编研工作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按照中央党史研究室和省委党史研究室工作部署，全年开展《中共永城历史（第三卷）》和《永城改革开放实录（第一辑）》的调研和编辑工作，并力争年内完成编辑任务。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3、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shd w:val="clear" w:color="auto" w:fill="FFFFFF"/>
        </w:rPr>
        <w:t>积极探索党史通俗化读物的编研途径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章回体小说《沱水滔滔》——永城三部曲正在紧锣密鼓的筹备之中。该书计划以小说的形式，用艺术的笔法全面展示永城广大干群紧跟党的领导，在新民主主义革命时期、社会主义建设时期、中国特色社会主义建设新时期三个阶段浴血坚持、艰苦创业、励精图治、勇争一流的奋斗历程。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ascii="仿宋_GB2312" w:hAnsi="黑体" w:eastAsia="仿宋_GB2312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shd w:val="clear" w:color="auto" w:fill="FFFFFF"/>
        </w:rPr>
        <w:t>4、党史宣教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（1）重大节日开展党史宣教活动。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（2）与有关单位合作，积极参加党史宣讲活动。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（3）开展抗战口述史调查工程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（4）及时上报《永城大事月报》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（5）开展永城市建党97周年党的基本知识竞赛活动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（6）及时更新《中共永城历史网》内容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（7）制定永城革命纪念地建设、宣教规划</w:t>
      </w:r>
    </w:p>
    <w:p>
      <w:pPr>
        <w:spacing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（8）高标准完成市委、市政府部署的其他工作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（9）高质量完成上级党史部门布置的业务工作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永城市委党史办公室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永城市委党史办公室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永城市委党史办公室2018年度部门预算情况说明</w:t>
      </w: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一般公共预算收支预算情况说明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仿宋_GB2312" w:hAnsi="Arial" w:eastAsia="仿宋_GB2312" w:cs="Arial"/>
          <w:sz w:val="32"/>
          <w:szCs w:val="32"/>
        </w:rPr>
        <w:t>112.4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万元，其中，一般公共预算112.4万元，部门财政性资金结转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仿宋_GB2312" w:hAnsi="Arial" w:eastAsia="仿宋_GB2312" w:cs="Arial"/>
          <w:sz w:val="32"/>
          <w:szCs w:val="32"/>
        </w:rPr>
        <w:t>112.4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仿宋_GB2312" w:hAnsi="Arial" w:eastAsia="仿宋_GB2312" w:cs="Arial"/>
          <w:sz w:val="32"/>
          <w:szCs w:val="32"/>
        </w:rPr>
        <w:t>89.4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仿宋_GB2312" w:hAnsi="Arial" w:eastAsia="仿宋_GB2312" w:cs="Arial"/>
          <w:sz w:val="32"/>
          <w:szCs w:val="32"/>
        </w:rPr>
        <w:t>79.5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仿宋_GB2312" w:hAnsi="Arial" w:eastAsia="仿宋_GB2312" w:cs="Arial"/>
          <w:sz w:val="32"/>
          <w:szCs w:val="32"/>
        </w:rPr>
        <w:t>23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仿宋_GB2312" w:hAnsi="Arial" w:eastAsia="仿宋_GB2312" w:cs="Arial"/>
          <w:sz w:val="32"/>
          <w:szCs w:val="32"/>
        </w:rPr>
        <w:t>20.5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仿宋_GB2312" w:hAnsi="Arial" w:eastAsia="仿宋_GB2312" w:cs="Arial"/>
          <w:sz w:val="32"/>
          <w:szCs w:val="32"/>
        </w:rPr>
        <w:t>112.4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仿宋_GB2312" w:hAnsi="Arial" w:eastAsia="仿宋_GB2312" w:cs="Arial"/>
          <w:sz w:val="32"/>
          <w:szCs w:val="32"/>
        </w:rPr>
        <w:t>112.4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仿宋_GB2312" w:hAnsi="Arial" w:eastAsia="仿宋_GB2312" w:cs="Arial"/>
          <w:sz w:val="32"/>
          <w:szCs w:val="32"/>
        </w:rPr>
        <w:t>15.88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16.5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%。主要变化原因：人员增资。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仿宋_GB2312" w:hAnsi="Arial" w:eastAsia="仿宋_GB2312" w:cs="Arial"/>
          <w:sz w:val="32"/>
          <w:szCs w:val="32"/>
        </w:rPr>
        <w:t>112.4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仿宋_GB2312" w:hAnsi="Arial" w:eastAsia="仿宋_GB2312" w:cs="Arial"/>
          <w:sz w:val="32"/>
          <w:szCs w:val="32"/>
        </w:rPr>
        <w:t>112.4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仿宋_GB2312" w:hAnsi="Arial" w:eastAsia="仿宋_GB2312" w:cs="Arial"/>
          <w:sz w:val="32"/>
          <w:szCs w:val="32"/>
        </w:rPr>
        <w:t>15.88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16.5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_GB2312" w:hAnsi="Arial" w:eastAsia="仿宋_GB2312" w:cs="Arial"/>
          <w:sz w:val="32"/>
          <w:szCs w:val="32"/>
        </w:rPr>
        <w:t>70.21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62.5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仿宋_GB2312" w:hAnsi="Arial" w:eastAsia="仿宋_GB2312" w:cs="Arial"/>
          <w:sz w:val="32"/>
          <w:szCs w:val="32"/>
        </w:rPr>
        <w:t>20.57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41.4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仿宋_GB2312" w:hAnsi="Arial" w:eastAsia="仿宋_GB2312" w:cs="Arial"/>
          <w:sz w:val="32"/>
          <w:szCs w:val="32"/>
        </w:rPr>
        <w:t>1.87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1.67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%，比上年增长-</w:t>
      </w:r>
      <w:r>
        <w:rPr>
          <w:rFonts w:hint="eastAsia" w:ascii="仿宋_GB2312" w:hAnsi="Arial" w:eastAsia="仿宋_GB2312" w:cs="Arial"/>
          <w:sz w:val="32"/>
          <w:szCs w:val="32"/>
        </w:rPr>
        <w:t>11.01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万元，增长-85.5%；商品服务支出</w:t>
      </w:r>
      <w:r>
        <w:rPr>
          <w:rFonts w:hint="eastAsia" w:ascii="仿宋_GB2312" w:hAnsi="Arial" w:eastAsia="仿宋_GB2312" w:cs="Arial"/>
          <w:sz w:val="32"/>
          <w:szCs w:val="32"/>
        </w:rPr>
        <w:t>17.32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15.4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仿宋_GB2312" w:hAnsi="Arial" w:eastAsia="仿宋_GB2312" w:cs="Arial"/>
          <w:sz w:val="32"/>
          <w:szCs w:val="32"/>
        </w:rPr>
        <w:t>6.32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57.5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仿宋_GB2312" w:hAnsi="Arial" w:eastAsia="仿宋_GB2312" w:cs="Arial"/>
          <w:sz w:val="32"/>
          <w:szCs w:val="32"/>
        </w:rPr>
        <w:t>23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20.5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%。主要变化原因：人员增资；对个人和家庭补助中，退休费转由市社保机构发放，住房公积金编入工资福利支出项。</w:t>
      </w: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仿宋_GB2312" w:hAnsi="黑体" w:eastAsia="仿宋_GB2312" w:cs="Arial"/>
          <w:color w:val="000000"/>
          <w:sz w:val="32"/>
          <w:szCs w:val="32"/>
        </w:rPr>
      </w:pPr>
      <w:r>
        <w:rPr>
          <w:rFonts w:hint="eastAsia" w:ascii="仿宋_GB2312" w:hAnsi="黑体" w:eastAsia="仿宋_GB2312" w:cs="Arial"/>
          <w:color w:val="000000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%。其中：因公出国(境)费用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%；公务接待费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%；公务用车运行维护费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%；公务用车购置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b/>
          <w:sz w:val="32"/>
          <w:szCs w:val="32"/>
        </w:rPr>
        <w:t>主要变化原因：无。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共计17.32万元，其中：办公费5.51万元，印刷费2万元，电费0.4万元，邮电费1.2万元，差旅费1.3万元，工会经费0.26万元，福利费0.65万元。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5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1F4923"/>
    <w:multiLevelType w:val="multilevel"/>
    <w:tmpl w:val="341F4923"/>
    <w:lvl w:ilvl="0" w:tentative="0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abstractNum w:abstractNumId="4">
    <w:nsid w:val="61E13A4E"/>
    <w:multiLevelType w:val="multilevel"/>
    <w:tmpl w:val="61E13A4E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16621"/>
    <w:rsid w:val="000422F9"/>
    <w:rsid w:val="00064E6D"/>
    <w:rsid w:val="0008416D"/>
    <w:rsid w:val="00085CA3"/>
    <w:rsid w:val="000F2FDC"/>
    <w:rsid w:val="00115063"/>
    <w:rsid w:val="001A227F"/>
    <w:rsid w:val="002557A1"/>
    <w:rsid w:val="002A1C0B"/>
    <w:rsid w:val="002E1869"/>
    <w:rsid w:val="003072EB"/>
    <w:rsid w:val="00380A13"/>
    <w:rsid w:val="003A09D6"/>
    <w:rsid w:val="003B03EE"/>
    <w:rsid w:val="00537650"/>
    <w:rsid w:val="005A302D"/>
    <w:rsid w:val="005F188D"/>
    <w:rsid w:val="00605CA6"/>
    <w:rsid w:val="006549ED"/>
    <w:rsid w:val="00666200"/>
    <w:rsid w:val="006A4FCD"/>
    <w:rsid w:val="006F355A"/>
    <w:rsid w:val="00755988"/>
    <w:rsid w:val="00772E8C"/>
    <w:rsid w:val="00803E26"/>
    <w:rsid w:val="0083385F"/>
    <w:rsid w:val="00845265"/>
    <w:rsid w:val="00861754"/>
    <w:rsid w:val="008964F2"/>
    <w:rsid w:val="008B302D"/>
    <w:rsid w:val="0093137E"/>
    <w:rsid w:val="00950762"/>
    <w:rsid w:val="00A01B69"/>
    <w:rsid w:val="00AD2DF4"/>
    <w:rsid w:val="00B60910"/>
    <w:rsid w:val="00B76482"/>
    <w:rsid w:val="00BC7A38"/>
    <w:rsid w:val="00C1789F"/>
    <w:rsid w:val="00C217F2"/>
    <w:rsid w:val="00C33D43"/>
    <w:rsid w:val="00C96031"/>
    <w:rsid w:val="00CC2C0F"/>
    <w:rsid w:val="00D21EC2"/>
    <w:rsid w:val="00D53653"/>
    <w:rsid w:val="00D576A6"/>
    <w:rsid w:val="00D97FFD"/>
    <w:rsid w:val="2C8F3DD2"/>
    <w:rsid w:val="31E132D5"/>
    <w:rsid w:val="4E19638B"/>
    <w:rsid w:val="502968CC"/>
    <w:rsid w:val="54097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402</Words>
  <Characters>2298</Characters>
  <Lines>19</Lines>
  <Paragraphs>5</Paragraphs>
  <TotalTime>0</TotalTime>
  <ScaleCrop>false</ScaleCrop>
  <LinksUpToDate>false</LinksUpToDate>
  <CharactersWithSpaces>2695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2018-04-20T03:28:00Z</cp:lastPrinted>
  <dcterms:modified xsi:type="dcterms:W3CDTF">2019-03-01T09:30:00Z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