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hint="eastAsia"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r>
        <w:rPr>
          <w:rStyle w:val="6"/>
          <w:rFonts w:hint="eastAsia" w:cs="Arial" w:asciiTheme="majorEastAsia" w:hAnsiTheme="majorEastAsia" w:eastAsiaTheme="majorEastAsia"/>
          <w:color w:val="000000"/>
          <w:kern w:val="0"/>
          <w:sz w:val="52"/>
          <w:szCs w:val="52"/>
        </w:rPr>
        <w:t>中国人民政治协商会议河南省永城市委员会</w:t>
      </w:r>
      <w:r>
        <w:rPr>
          <w:rStyle w:val="6"/>
          <w:rFonts w:hint="eastAsia" w:cs="Arial" w:asciiTheme="majorEastAsia" w:hAnsiTheme="majorEastAsia" w:eastAsiaTheme="majorEastAsia"/>
          <w:color w:val="000000"/>
          <w:kern w:val="0"/>
          <w:sz w:val="52"/>
          <w:szCs w:val="52"/>
        </w:rPr>
        <w:t>2018年预算基本情况说明</w:t>
      </w: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lang w:val="en-US" w:eastAsia="zh-CN"/>
        </w:rPr>
      </w:pPr>
      <w:r>
        <w:rPr>
          <w:rStyle w:val="6"/>
          <w:rFonts w:hint="eastAsia" w:cs="Arial" w:asciiTheme="majorEastAsia" w:hAnsiTheme="majorEastAsia" w:eastAsiaTheme="majorEastAsia"/>
          <w:color w:val="000000"/>
          <w:kern w:val="0"/>
          <w:sz w:val="52"/>
          <w:szCs w:val="52"/>
          <w:lang w:val="en-US" w:eastAsia="zh-CN"/>
        </w:rPr>
        <w:t>2018年1月20日</w:t>
      </w: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both"/>
        <w:rPr>
          <w:rStyle w:val="6"/>
          <w:rFonts w:hint="eastAsia" w:cs="Arial" w:asciiTheme="majorEastAsia" w:hAnsiTheme="majorEastAsia" w:eastAsiaTheme="majorEastAsia"/>
          <w:color w:val="000000"/>
          <w:kern w:val="0"/>
          <w:sz w:val="44"/>
          <w:szCs w:val="44"/>
        </w:rPr>
      </w:pPr>
    </w:p>
    <w:p>
      <w:pPr>
        <w:jc w:val="both"/>
        <w:rPr>
          <w:rStyle w:val="6"/>
          <w:rFonts w:hint="eastAsia" w:cs="Arial" w:asciiTheme="majorEastAsia" w:hAnsiTheme="majorEastAsia" w:eastAsiaTheme="majorEastAsia"/>
          <w:color w:val="000000"/>
          <w:kern w:val="0"/>
          <w:sz w:val="44"/>
          <w:szCs w:val="44"/>
        </w:rPr>
      </w:pPr>
    </w:p>
    <w:p>
      <w:pPr>
        <w:jc w:val="both"/>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240" w:leftChars="0"/>
        <w:jc w:val="center"/>
        <w:textAlignment w:val="auto"/>
        <w:rPr>
          <w:rFonts w:hint="eastAsia" w:ascii="黑体" w:hAnsi="黑体" w:eastAsia="黑体" w:cs="黑体"/>
          <w:b/>
          <w:bCs/>
          <w:sz w:val="48"/>
          <w:szCs w:val="48"/>
          <w:lang w:eastAsia="zh-CN"/>
        </w:rPr>
      </w:pPr>
      <w:r>
        <w:rPr>
          <w:rFonts w:hint="eastAsia" w:ascii="黑体" w:hAnsi="黑体" w:eastAsia="黑体" w:cs="黑体"/>
          <w:b/>
          <w:bCs/>
          <w:sz w:val="48"/>
          <w:szCs w:val="48"/>
          <w:lang w:eastAsia="zh-CN"/>
        </w:rPr>
        <w:t>目录</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after="313" w:afterLines="100" w:line="720" w:lineRule="auto"/>
        <w:ind w:left="240" w:leftChars="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中国人民政治协商会议河南省永城市委员会</w:t>
      </w:r>
      <w:r>
        <w:rPr>
          <w:rFonts w:hint="eastAsia" w:ascii="黑体" w:hAnsi="黑体" w:eastAsia="黑体" w:cs="黑体"/>
          <w:b/>
          <w:bCs/>
          <w:sz w:val="32"/>
          <w:szCs w:val="32"/>
          <w:lang w:val="en-US" w:eastAsia="zh-CN"/>
        </w:rPr>
        <w:t>单位概况</w:t>
      </w:r>
    </w:p>
    <w:p>
      <w:pPr>
        <w:keepNext w:val="0"/>
        <w:keepLines w:val="0"/>
        <w:pageBreakBefore w:val="0"/>
        <w:widowControl w:val="0"/>
        <w:numPr>
          <w:numId w:val="0"/>
        </w:numPr>
        <w:kinsoku/>
        <w:wordWrap/>
        <w:overflowPunct/>
        <w:topLinePunct w:val="0"/>
        <w:autoSpaceDE/>
        <w:autoSpaceDN/>
        <w:bidi w:val="0"/>
        <w:adjustRightInd/>
        <w:snapToGrid/>
        <w:spacing w:before="313" w:beforeLines="100" w:after="313" w:afterLines="100" w:line="720" w:lineRule="auto"/>
        <w:ind w:firstLine="321" w:firstLineChars="100"/>
        <w:jc w:val="left"/>
        <w:textAlignment w:val="auto"/>
        <w:rPr>
          <w:rFonts w:hint="eastAsia" w:ascii="黑体" w:hAnsi="黑体" w:eastAsia="黑体" w:cs="黑体"/>
          <w:sz w:val="32"/>
          <w:szCs w:val="32"/>
          <w:lang w:val="en-US" w:eastAsia="zh-CN"/>
        </w:rPr>
      </w:pPr>
      <w:r>
        <w:rPr>
          <w:rFonts w:hint="eastAsia" w:ascii="黑体" w:hAnsi="黑体" w:eastAsia="黑体" w:cs="黑体"/>
          <w:b/>
          <w:bCs/>
          <w:sz w:val="32"/>
          <w:szCs w:val="32"/>
          <w:lang w:val="en-US" w:eastAsia="zh-CN"/>
        </w:rPr>
        <w:t>一</w:t>
      </w:r>
      <w:r>
        <w:rPr>
          <w:rFonts w:hint="eastAsia" w:ascii="黑体" w:hAnsi="黑体" w:eastAsia="黑体" w:cs="黑体"/>
          <w:sz w:val="32"/>
          <w:szCs w:val="32"/>
          <w:lang w:val="en-US" w:eastAsia="zh-CN"/>
        </w:rPr>
        <w:t>、部门机构设置、职能、年度工作任务</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ind w:left="42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 中国人民政治协商会议河南省永城市委员会</w:t>
      </w:r>
      <w:r>
        <w:rPr>
          <w:rFonts w:hint="eastAsia" w:ascii="黑体" w:hAnsi="黑体" w:eastAsia="黑体" w:cs="黑体"/>
          <w:b/>
          <w:bCs/>
          <w:sz w:val="32"/>
          <w:szCs w:val="32"/>
          <w:lang w:val="en-US" w:eastAsia="zh-CN"/>
        </w:rPr>
        <w:t>2018年度部门预算情况说明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keepNext w:val="0"/>
        <w:keepLines w:val="0"/>
        <w:pageBreakBefore w:val="0"/>
        <w:kinsoku/>
        <w:wordWrap/>
        <w:overflowPunct/>
        <w:topLinePunct w:val="0"/>
        <w:autoSpaceDE/>
        <w:autoSpaceDN/>
        <w:bidi w:val="0"/>
        <w:adjustRightInd/>
        <w:snapToGrid/>
        <w:spacing w:before="313" w:beforeLines="100" w:after="313" w:afterLines="100"/>
        <w:ind w:firstLine="640" w:firstLineChars="200"/>
        <w:jc w:val="left"/>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、“三公”经费支出预算情况说明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四</w:t>
      </w:r>
      <w:r>
        <w:rPr>
          <w:rFonts w:hint="eastAsia" w:ascii="黑体" w:hAnsi="黑体" w:eastAsia="黑体" w:cs="Arial"/>
          <w:color w:val="000000"/>
          <w:sz w:val="32"/>
          <w:szCs w:val="32"/>
        </w:rPr>
        <w:t>、其他重要事项的情况说明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第三部分 名词解释</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附件：中国人民政治协商会议河南省永城市委员会</w:t>
      </w:r>
      <w:r>
        <w:rPr>
          <w:rFonts w:hint="eastAsia" w:ascii="黑体" w:hAnsi="黑体" w:eastAsia="黑体" w:cs="黑体"/>
          <w:b/>
          <w:bCs/>
          <w:sz w:val="32"/>
          <w:szCs w:val="32"/>
          <w:lang w:val="en-US" w:eastAsia="zh-CN"/>
        </w:rPr>
        <w:t>2018年度部门预算表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部门收支总体情况表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部门收入总体情况表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部门支出总体情况表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一般公共预算基本支出经济分类情况表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财政拨款收支总体情况表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财政拨款支出情况表</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720" w:lineRule="auto"/>
        <w:ind w:left="555"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政府性基金支出情况表</w:t>
      </w:r>
    </w:p>
    <w:p>
      <w:pPr>
        <w:keepNext w:val="0"/>
        <w:keepLines w:val="0"/>
        <w:pageBreakBefore w:val="0"/>
        <w:widowControl w:val="0"/>
        <w:numPr>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sz w:val="32"/>
          <w:szCs w:val="32"/>
          <w:lang w:val="en-US" w:eastAsia="zh-CN"/>
        </w:rPr>
      </w:pPr>
    </w:p>
    <w:p>
      <w:pPr>
        <w:jc w:val="center"/>
        <w:rPr>
          <w:rFonts w:hint="eastAsia" w:ascii="方正小标宋简体" w:eastAsia="方正小标宋简体"/>
          <w:sz w:val="36"/>
          <w:szCs w:val="36"/>
        </w:rPr>
      </w:pPr>
      <w:r>
        <w:rPr>
          <w:rFonts w:hint="eastAsia" w:ascii="方正小标宋简体" w:eastAsia="方正小标宋简体"/>
          <w:sz w:val="36"/>
          <w:szCs w:val="36"/>
        </w:rPr>
        <w:t>中国人民政治协商会议河南省永城市委员会</w:t>
      </w:r>
    </w:p>
    <w:p>
      <w:pPr>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rPr>
        <w:t>2018年预算基本情况说明</w:t>
      </w:r>
    </w:p>
    <w:p>
      <w:pPr>
        <w:keepNext w:val="0"/>
        <w:keepLines w:val="0"/>
        <w:pageBreakBefore w:val="0"/>
        <w:widowControl w:val="0"/>
        <w:numPr>
          <w:numId w:val="0"/>
        </w:numPr>
        <w:kinsoku/>
        <w:wordWrap/>
        <w:overflowPunct/>
        <w:topLinePunct w:val="0"/>
        <w:autoSpaceDE/>
        <w:autoSpaceDN/>
        <w:bidi w:val="0"/>
        <w:adjustRightInd/>
        <w:snapToGrid/>
        <w:spacing w:before="313" w:beforeLines="100" w:after="313" w:afterLines="100" w:line="720" w:lineRule="auto"/>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第一部分 中国人民政治协商会议河南省永城市委员会单位概况</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(一)部门主要职责</w:t>
      </w:r>
    </w:p>
    <w:p>
      <w:pPr>
        <w:spacing w:line="300" w:lineRule="atLeas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中国人民政治协商会议河南省永城市委员会依照《中国人民政治协商会议章程》，认真履行人民政协的政治协商、民主监督、参政议政三大职能</w:t>
      </w:r>
      <w:r>
        <w:rPr>
          <w:rFonts w:ascii="仿宋" w:hAnsi="仿宋" w:eastAsia="仿宋" w:cs="仿宋"/>
          <w:color w:val="000000"/>
          <w:sz w:val="32"/>
          <w:szCs w:val="32"/>
        </w:rPr>
        <w:t xml:space="preserve">。 </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(二)机构设置情况</w:t>
      </w:r>
    </w:p>
    <w:p>
      <w:pPr>
        <w:pStyle w:val="4"/>
        <w:spacing w:before="0" w:beforeAutospacing="0" w:after="0" w:afterAutospacing="0"/>
        <w:rPr>
          <w:rFonts w:ascii="仿宋_GB2312" w:hAnsi="ˎ̥" w:eastAsia="仿宋_GB2312" w:cs="Arial"/>
          <w:color w:val="000000"/>
          <w:sz w:val="32"/>
          <w:szCs w:val="32"/>
        </w:rPr>
      </w:pPr>
      <w:r>
        <w:rPr>
          <w:rFonts w:hint="eastAsia" w:ascii="仿宋" w:hAnsi="仿宋" w:eastAsia="仿宋" w:cs="仿宋"/>
          <w:color w:val="000000"/>
          <w:sz w:val="32"/>
          <w:szCs w:val="32"/>
        </w:rPr>
        <w:t xml:space="preserve">    政协机关内设二室七委，共九个职能科室，分别是：办公室、调研室、提案委、农业委、经济委、文史委、社会法制委、科教文卫体委、港澳台侨和民族宗教委员。</w:t>
      </w:r>
    </w:p>
    <w:p>
      <w:pPr>
        <w:pStyle w:val="4"/>
        <w:numPr>
          <w:ilvl w:val="0"/>
          <w:numId w:val="3"/>
        </w:numPr>
        <w:spacing w:before="0" w:beforeAutospacing="0" w:after="0" w:afterAutospacing="0"/>
        <w:rPr>
          <w:rFonts w:ascii="仿宋_GB2312" w:hAnsi="ˎ̥" w:eastAsia="仿宋_GB2312" w:cs="Arial"/>
          <w:color w:val="000000"/>
          <w:sz w:val="32"/>
          <w:szCs w:val="32"/>
        </w:rPr>
      </w:pPr>
      <w:r>
        <w:rPr>
          <w:rFonts w:hint="eastAsia" w:ascii="仿宋_GB2312" w:hAnsi="ˎ̥" w:eastAsia="仿宋_GB2312" w:cs="Arial"/>
          <w:color w:val="000000"/>
          <w:sz w:val="32"/>
          <w:szCs w:val="32"/>
        </w:rPr>
        <w:t>预算年度的主要工作任务</w:t>
      </w:r>
    </w:p>
    <w:p>
      <w:pPr>
        <w:pStyle w:val="4"/>
        <w:spacing w:before="0" w:beforeAutospacing="0" w:after="0" w:afterAutospacing="0"/>
        <w:ind w:firstLine="640"/>
        <w:rPr>
          <w:rFonts w:hint="eastAsia" w:ascii="仿宋_GB2312" w:hAnsi="ˎ̥" w:eastAsia="仿宋_GB2312" w:cs="Arial"/>
          <w:color w:val="000000"/>
          <w:sz w:val="32"/>
          <w:szCs w:val="32"/>
        </w:rPr>
      </w:pPr>
      <w:r>
        <w:rPr>
          <w:rFonts w:hint="eastAsia" w:ascii="仿宋_GB2312" w:hAnsi="ˎ̥" w:eastAsia="仿宋_GB2312" w:cs="Arial"/>
          <w:color w:val="000000"/>
          <w:sz w:val="32"/>
          <w:szCs w:val="32"/>
        </w:rPr>
        <w:t>牢牢把握团结和民主两大主题，围绕全区中心工作，坚持科学的发展观，将促进发展作为政协工作的第一要务，认真履行</w:t>
      </w:r>
      <w:r>
        <w:rPr>
          <w:rFonts w:hint="eastAsia" w:ascii="仿宋" w:hAnsi="仿宋" w:eastAsia="仿宋" w:cs="仿宋"/>
          <w:color w:val="000000"/>
          <w:sz w:val="32"/>
          <w:szCs w:val="32"/>
        </w:rPr>
        <w:t>政治协商、民主监督、参政议政三大职能</w:t>
      </w:r>
      <w:r>
        <w:rPr>
          <w:rFonts w:hint="eastAsia" w:ascii="仿宋_GB2312" w:hAnsi="ˎ̥" w:eastAsia="仿宋_GB2312" w:cs="Arial"/>
          <w:color w:val="000000"/>
          <w:sz w:val="32"/>
          <w:szCs w:val="32"/>
        </w:rPr>
        <w:t>，解放思想，创新思路，充分发挥政协委员和干部积极性，重点在提案办理落实、视察调研、反映社情民意、为党政提供参考意见等方面多做工作，为永城改革、发展、稳定做出了新的贡献。</w:t>
      </w:r>
    </w:p>
    <w:p>
      <w:pPr>
        <w:widowControl/>
        <w:spacing w:line="360" w:lineRule="auto"/>
        <w:ind w:firstLine="640" w:firstLineChars="200"/>
        <w:jc w:val="left"/>
        <w:rPr>
          <w:rFonts w:hint="eastAsia" w:ascii="仿宋_GB2312" w:hAnsi="ˎ̥" w:eastAsia="仿宋_GB2312" w:cs="Arial"/>
          <w:color w:val="000000"/>
          <w:kern w:val="0"/>
          <w:sz w:val="32"/>
          <w:szCs w:val="32"/>
          <w:lang w:val="en-US" w:eastAsia="zh-CN" w:bidi="ar-SA"/>
        </w:rPr>
      </w:pPr>
      <w:r>
        <w:rPr>
          <w:rFonts w:hint="eastAsia" w:ascii="仿宋_GB2312" w:hAnsi="ˎ̥" w:eastAsia="仿宋_GB2312" w:cs="Arial"/>
          <w:color w:val="000000"/>
          <w:kern w:val="0"/>
          <w:sz w:val="32"/>
          <w:szCs w:val="32"/>
          <w:lang w:val="en-US" w:eastAsia="zh-CN" w:bidi="ar-SA"/>
        </w:rPr>
        <w:t>（四）部门预算单位构成</w:t>
      </w:r>
    </w:p>
    <w:p>
      <w:pPr>
        <w:pStyle w:val="4"/>
        <w:spacing w:before="0" w:beforeAutospacing="0" w:after="0" w:afterAutospacing="0"/>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中国人民政治协商会议河南省永城市委员会</w:t>
      </w:r>
    </w:p>
    <w:p>
      <w:pPr>
        <w:pStyle w:val="4"/>
        <w:spacing w:before="0" w:beforeAutospacing="0" w:after="0" w:afterAutospacing="0"/>
        <w:ind w:firstLine="640"/>
        <w:rPr>
          <w:rFonts w:hint="eastAsia" w:ascii="仿宋_GB2312" w:hAnsi="仿宋" w:eastAsia="仿宋"/>
          <w:sz w:val="32"/>
          <w:szCs w:val="32"/>
          <w:lang w:eastAsia="zh-CN" w:bidi="ar"/>
        </w:rPr>
      </w:pPr>
      <w:r>
        <w:rPr>
          <w:rFonts w:hint="eastAsia" w:ascii="仿宋" w:hAnsi="仿宋" w:eastAsia="仿宋" w:cs="仿宋"/>
          <w:color w:val="000000"/>
          <w:sz w:val="32"/>
          <w:szCs w:val="32"/>
        </w:rPr>
        <w:t>部门预算为中国人民政治协商会议河南省永城市委员会</w:t>
      </w:r>
      <w:r>
        <w:rPr>
          <w:rFonts w:hint="eastAsia" w:ascii="仿宋" w:hAnsi="仿宋" w:eastAsia="仿宋" w:cs="仿宋"/>
          <w:color w:val="000000"/>
          <w:kern w:val="0"/>
          <w:sz w:val="32"/>
          <w:szCs w:val="32"/>
        </w:rPr>
        <w:t>本级预算</w:t>
      </w:r>
      <w:r>
        <w:rPr>
          <w:rFonts w:hint="eastAsia" w:ascii="仿宋" w:hAnsi="仿宋" w:eastAsia="仿宋" w:cs="仿宋"/>
          <w:color w:val="000000"/>
          <w:kern w:val="0"/>
          <w:sz w:val="32"/>
          <w:szCs w:val="32"/>
          <w:lang w:eastAsia="zh-CN"/>
        </w:rPr>
        <w:t>，本单位无二级机构。</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720" w:lineRule="auto"/>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第二部分 中国人民政治协商会议河南省永城市委员会2018年度部门预算情况说明</w:t>
      </w:r>
    </w:p>
    <w:p>
      <w:pPr>
        <w:pStyle w:val="4"/>
        <w:spacing w:before="0" w:beforeAutospacing="0" w:after="0" w:afterAutospacing="0"/>
        <w:ind w:firstLine="640" w:firstLineChars="200"/>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（一）部门收入预算总体情况说明</w:t>
      </w:r>
    </w:p>
    <w:p>
      <w:pPr>
        <w:pStyle w:val="4"/>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2018年收入合计576.4 万元，其中，一般公共预算576.4 万元，部门财政性资金结转0万元。</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（二）部门支出预算总体情况说明</w:t>
      </w:r>
    </w:p>
    <w:p>
      <w:pPr>
        <w:pStyle w:val="4"/>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2018年支出合计576.4万元，其中：基本支出427.5万元，占74.17%；项目支出148.9万元，占25.83%。</w:t>
      </w:r>
    </w:p>
    <w:p>
      <w:pPr>
        <w:pStyle w:val="4"/>
        <w:spacing w:before="0" w:beforeAutospacing="0" w:after="0" w:afterAutospacing="0"/>
        <w:ind w:firstLine="640" w:firstLineChars="200"/>
        <w:rPr>
          <w:rFonts w:ascii="仿宋_GB2312" w:hAnsi="ˎ̥" w:eastAsia="仿宋_GB2312" w:cs="Arial"/>
          <w:color w:val="000000"/>
          <w:sz w:val="32"/>
          <w:szCs w:val="32"/>
        </w:rPr>
      </w:pPr>
      <w:r>
        <w:rPr>
          <w:rStyle w:val="6"/>
          <w:rFonts w:hint="eastAsia" w:ascii="仿宋_GB2312" w:hAnsi="ˎ̥" w:eastAsia="仿宋_GB2312" w:cs="Arial"/>
          <w:b w:val="0"/>
          <w:color w:val="000000"/>
          <w:sz w:val="32"/>
          <w:szCs w:val="32"/>
        </w:rPr>
        <w:t>（三）财政拨款收入预算情况说明</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预算576.4万元，其中财政拨款576.4万元，比上年增加1.9万元，增长0.33%；纳入预算管理的行政事业性收费收入0万元。主要变化原因：工资性收入和离退休费增加，增加养老保险预算，减少退休费预算项目，增加委员订阅费项目预算等。</w:t>
      </w:r>
    </w:p>
    <w:p>
      <w:pPr>
        <w:pStyle w:val="4"/>
        <w:spacing w:before="0" w:beforeAutospacing="0" w:after="0" w:afterAutospacing="0"/>
        <w:ind w:firstLine="640" w:firstLineChars="200"/>
        <w:rPr>
          <w:rFonts w:ascii="仿宋_GB2312" w:hAnsi="ˎ̥" w:eastAsia="仿宋_GB2312" w:cs="Arial"/>
          <w:b/>
          <w:color w:val="000000"/>
          <w:sz w:val="32"/>
          <w:szCs w:val="32"/>
        </w:rPr>
      </w:pPr>
      <w:r>
        <w:rPr>
          <w:rStyle w:val="6"/>
          <w:rFonts w:hint="eastAsia" w:ascii="仿宋_GB2312" w:hAnsi="ˎ̥" w:eastAsia="仿宋_GB2312" w:cs="Arial"/>
          <w:b w:val="0"/>
          <w:color w:val="000000"/>
          <w:sz w:val="32"/>
          <w:szCs w:val="32"/>
        </w:rPr>
        <w:t>（四）财政拨款支出预算情况说明</w:t>
      </w:r>
    </w:p>
    <w:p>
      <w:pPr>
        <w:pStyle w:val="4"/>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预算576.4万元，其中财政拨款支出576.4万元，比上年增加1.9万元，增长0.33%。支出按用途划分为：工资福利支出319.63万元，占总支出的55.45%，比上年增加114.32万元，增长55.68%；对个人和家庭的补助19.92万元，占总支出的3.46%，比上年减少135.92万元，下降87.22%；商品服务支出87.99万元，占总支出的15.27%，比上年增加19.04万元，增长27.61%；项目支出148.9万元，占总支出的25.83%，比上年增加4.5万元，增长3.12%。主要变化原因：工资性收入和离退休费增加，增加养老保险预算，减少退休费预算项目，增加委员订阅费项目预算等。</w:t>
      </w:r>
    </w:p>
    <w:p>
      <w:pPr>
        <w:pStyle w:val="4"/>
        <w:numPr>
          <w:numId w:val="0"/>
        </w:numPr>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rPr>
          <w:rFonts w:ascii="黑体" w:hAnsi="黑体" w:eastAsia="黑体" w:cs="Arial"/>
          <w:color w:val="000000"/>
          <w:sz w:val="32"/>
          <w:szCs w:val="32"/>
        </w:rPr>
      </w:pPr>
      <w:r>
        <w:rPr>
          <w:rFonts w:hint="eastAsia" w:ascii="黑体" w:hAnsi="黑体" w:eastAsia="黑体" w:cs="Arial"/>
          <w:color w:val="000000"/>
          <w:sz w:val="32"/>
          <w:szCs w:val="32"/>
        </w:rPr>
        <w:t xml:space="preserve">    </w:t>
      </w:r>
      <w:r>
        <w:rPr>
          <w:rFonts w:hint="eastAsia" w:ascii="仿宋" w:hAnsi="仿宋" w:eastAsia="仿宋" w:cs="仿宋"/>
          <w:color w:val="000000"/>
          <w:kern w:val="2"/>
          <w:sz w:val="32"/>
          <w:szCs w:val="32"/>
        </w:rPr>
        <w:t>无政府性基金预算支出</w:t>
      </w:r>
    </w:p>
    <w:p>
      <w:pPr>
        <w:spacing w:line="560" w:lineRule="exact"/>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“三公”经费支出预算情况说明</w:t>
      </w:r>
    </w:p>
    <w:p>
      <w:pPr>
        <w:spacing w:line="560" w:lineRule="exact"/>
        <w:ind w:firstLine="640" w:firstLineChars="200"/>
        <w:rPr>
          <w:rFonts w:ascii="仿宋" w:hAnsi="仿宋" w:eastAsia="仿宋" w:cs="仿宋"/>
          <w:color w:val="000000"/>
          <w:sz w:val="32"/>
          <w:szCs w:val="32"/>
        </w:rPr>
      </w:pPr>
      <w:r>
        <w:rPr>
          <w:rFonts w:hint="eastAsia" w:ascii="仿宋_GB2312" w:eastAsia="仿宋_GB2312"/>
          <w:sz w:val="32"/>
          <w:szCs w:val="32"/>
        </w:rPr>
        <w:t>2018年“三公”经费支出</w:t>
      </w:r>
      <w:r>
        <w:rPr>
          <w:rFonts w:hint="eastAsia" w:ascii="仿宋" w:hAnsi="仿宋" w:eastAsia="仿宋" w:cs="仿宋"/>
          <w:color w:val="000000"/>
          <w:sz w:val="32"/>
          <w:szCs w:val="32"/>
        </w:rPr>
        <w:t>预算22.2万元，较上年下降3.48%。其中：因公出国(境)费用0万元；公务接待费17.2万元，较上年下降4.4%；公务用车运行维护费5万元，较上年持平；公务用车购置0万元。主要变化原因：严格执行《党政机关国内公务接待管理规定》等办法，坚持厉行勤俭节约，不断压缩公务接待费支出。</w:t>
      </w:r>
    </w:p>
    <w:p>
      <w:pPr>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、其他重要事项的情况说明</w:t>
      </w:r>
    </w:p>
    <w:p>
      <w:pPr>
        <w:ind w:firstLine="640" w:firstLineChars="200"/>
        <w:rPr>
          <w:rFonts w:ascii="仿宋_GB2312" w:eastAsia="仿宋_GB2312"/>
          <w:sz w:val="32"/>
          <w:szCs w:val="32"/>
        </w:rPr>
      </w:pPr>
      <w:r>
        <w:rPr>
          <w:rFonts w:hint="eastAsia" w:ascii="仿宋_GB2312" w:eastAsia="仿宋_GB2312"/>
          <w:sz w:val="32"/>
          <w:szCs w:val="32"/>
        </w:rPr>
        <w:t>(一)机关运行经费支出情况</w:t>
      </w:r>
    </w:p>
    <w:p>
      <w:pPr>
        <w:pStyle w:val="4"/>
        <w:spacing w:before="0" w:beforeAutospacing="0" w:after="0" w:afterAutospacing="0"/>
        <w:ind w:firstLine="640" w:firstLineChars="200"/>
        <w:rPr>
          <w:rFonts w:ascii="仿宋" w:hAnsi="仿宋" w:eastAsia="仿宋" w:cs="仿宋"/>
          <w:color w:val="000000"/>
          <w:kern w:val="2"/>
          <w:sz w:val="32"/>
          <w:szCs w:val="32"/>
        </w:rPr>
      </w:pPr>
      <w:r>
        <w:rPr>
          <w:rFonts w:hint="eastAsia" w:ascii="仿宋" w:hAnsi="仿宋" w:eastAsia="仿宋" w:cs="仿宋"/>
          <w:color w:val="000000"/>
          <w:kern w:val="2"/>
          <w:sz w:val="32"/>
          <w:szCs w:val="32"/>
        </w:rPr>
        <w:t>为保障行政单位运行用于购买商品和服务的各项资金，包括办公费9万元，印刷费6万元、邮电费12.3万元、差旅费12万元、福利费2.93万元、租赁费1.2万元、取暖费0.2万元、公务用车运行维护费5万元以及其他费用。2018年使用一般公共财政预算财政拨款安排的基本支出中日常公共经费支出87.99万元，占总支出的15.27%。</w:t>
      </w:r>
    </w:p>
    <w:p>
      <w:pPr>
        <w:ind w:firstLine="640" w:firstLineChars="200"/>
        <w:rPr>
          <w:rFonts w:ascii="仿宋_GB2312" w:eastAsia="仿宋_GB2312"/>
          <w:sz w:val="32"/>
          <w:szCs w:val="32"/>
        </w:rPr>
      </w:pPr>
      <w:r>
        <w:rPr>
          <w:rFonts w:hint="eastAsia" w:ascii="仿宋_GB2312" w:eastAsia="仿宋_GB2312"/>
          <w:sz w:val="32"/>
          <w:szCs w:val="32"/>
        </w:rPr>
        <w:t>(二)政府采购支出情况</w:t>
      </w:r>
    </w:p>
    <w:p>
      <w:pPr>
        <w:pStyle w:val="4"/>
        <w:widowControl/>
        <w:spacing w:before="0" w:beforeAutospacing="0" w:after="0" w:afterAutospacing="0" w:line="600" w:lineRule="exact"/>
        <w:ind w:firstLine="640"/>
        <w:rPr>
          <w:rFonts w:hint="eastAsia" w:ascii="仿宋_GB2312" w:eastAsia="仿宋_GB2312"/>
          <w:sz w:val="32"/>
          <w:szCs w:val="32"/>
        </w:rPr>
      </w:pPr>
      <w:r>
        <w:rPr>
          <w:rFonts w:hint="eastAsia" w:ascii="仿宋" w:hAnsi="仿宋" w:eastAsia="仿宋" w:cs="仿宋"/>
          <w:color w:val="000000"/>
          <w:sz w:val="32"/>
          <w:szCs w:val="32"/>
        </w:rPr>
        <w:t>2018年政府采购预算安排</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万元，其中：</w:t>
      </w:r>
      <w:r>
        <w:rPr>
          <w:rFonts w:hint="eastAsia" w:ascii="仿宋" w:hAnsi="仿宋" w:eastAsia="仿宋" w:cs="仿宋"/>
          <w:color w:val="000000"/>
          <w:sz w:val="32"/>
          <w:szCs w:val="32"/>
          <w:lang w:eastAsia="zh-CN"/>
        </w:rPr>
        <w:t>政府采购</w:t>
      </w:r>
      <w:r>
        <w:rPr>
          <w:rFonts w:hint="eastAsia" w:ascii="仿宋" w:hAnsi="仿宋" w:eastAsia="仿宋" w:cs="仿宋"/>
          <w:color w:val="000000"/>
          <w:sz w:val="32"/>
          <w:szCs w:val="32"/>
        </w:rPr>
        <w:t>货物类</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eastAsia="zh-CN"/>
        </w:rPr>
        <w:t>政府采购</w:t>
      </w:r>
      <w:r>
        <w:rPr>
          <w:rFonts w:hint="eastAsia" w:ascii="仿宋" w:hAnsi="仿宋" w:eastAsia="仿宋" w:cs="仿宋"/>
          <w:color w:val="000000"/>
          <w:sz w:val="32"/>
          <w:szCs w:val="32"/>
        </w:rPr>
        <w:t>服务类</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万元</w:t>
      </w:r>
      <w:r>
        <w:rPr>
          <w:rFonts w:hint="eastAsia" w:ascii="仿宋" w:hAnsi="仿宋" w:eastAsia="仿宋" w:cs="仿宋"/>
          <w:color w:val="000000"/>
          <w:sz w:val="32"/>
          <w:szCs w:val="32"/>
          <w:lang w:val="en-US" w:eastAsia="zh-CN"/>
        </w:rPr>
        <w:t>,政府采购工程类0万元</w:t>
      </w:r>
      <w:r>
        <w:rPr>
          <w:rFonts w:hint="eastAsia" w:ascii="仿宋" w:hAnsi="仿宋" w:eastAsia="仿宋" w:cs="仿宋"/>
          <w:color w:val="000000"/>
          <w:sz w:val="32"/>
          <w:szCs w:val="32"/>
        </w:rPr>
        <w:t>。</w:t>
      </w:r>
    </w:p>
    <w:p>
      <w:pPr>
        <w:numPr>
          <w:ilvl w:val="0"/>
          <w:numId w:val="0"/>
        </w:numPr>
        <w:ind w:left="640" w:leftChars="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重点项目预算绩效目标</w:t>
      </w:r>
    </w:p>
    <w:p>
      <w:pPr>
        <w:numPr>
          <w:ilvl w:val="0"/>
          <w:numId w:val="0"/>
        </w:numPr>
        <w:ind w:left="640" w:leftChars="0"/>
        <w:rPr>
          <w:rFonts w:hint="eastAsia" w:ascii="仿宋_GB2312" w:eastAsia="仿宋_GB2312"/>
          <w:sz w:val="32"/>
          <w:szCs w:val="32"/>
        </w:rPr>
      </w:pPr>
      <w:r>
        <w:rPr>
          <w:rFonts w:hint="eastAsia" w:ascii="仿宋_GB2312" w:eastAsia="仿宋_GB2312"/>
          <w:sz w:val="32"/>
          <w:szCs w:val="32"/>
        </w:rPr>
        <w:t>无</w:t>
      </w:r>
    </w:p>
    <w:p>
      <w:pPr>
        <w:numPr>
          <w:ilvl w:val="0"/>
          <w:numId w:val="4"/>
        </w:numPr>
        <w:ind w:left="640" w:leftChars="0"/>
        <w:rPr>
          <w:rFonts w:hint="eastAsia" w:ascii="仿宋_GB2312" w:eastAsia="仿宋_GB2312"/>
          <w:sz w:val="32"/>
          <w:szCs w:val="32"/>
          <w:lang w:eastAsia="zh-CN"/>
        </w:rPr>
      </w:pPr>
      <w:r>
        <w:rPr>
          <w:rFonts w:hint="eastAsia" w:ascii="仿宋_GB2312" w:eastAsia="仿宋_GB2312"/>
          <w:sz w:val="32"/>
          <w:szCs w:val="32"/>
          <w:lang w:eastAsia="zh-CN"/>
        </w:rPr>
        <w:t>国有资产占用情况</w:t>
      </w:r>
    </w:p>
    <w:p>
      <w:pPr>
        <w:numPr>
          <w:ilvl w:val="0"/>
          <w:numId w:val="0"/>
        </w:numP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无。</w:t>
      </w:r>
    </w:p>
    <w:p>
      <w:pPr>
        <w:rPr>
          <w:rFonts w:ascii="黑体" w:hAnsi="黑体" w:eastAsia="黑体"/>
          <w:sz w:val="32"/>
          <w:szCs w:val="32"/>
        </w:rPr>
      </w:pPr>
      <w:r>
        <w:rPr>
          <w:rFonts w:hint="eastAsia" w:ascii="黑体" w:hAnsi="黑体" w:eastAsia="黑体"/>
          <w:sz w:val="32"/>
          <w:szCs w:val="32"/>
          <w:lang w:eastAsia="zh-CN"/>
        </w:rPr>
        <w:t>第三部分、</w:t>
      </w:r>
      <w:r>
        <w:rPr>
          <w:rFonts w:hint="eastAsia" w:ascii="黑体" w:hAnsi="黑体" w:eastAsia="黑体"/>
          <w:sz w:val="32"/>
          <w:szCs w:val="32"/>
        </w:rPr>
        <w:t>专业性较强的名词解释</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、财政拨款收入：是指市级财政当年拨付的资金。</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、事业收入：是指事业单位开展专业活动及辅助活动所取</w:t>
      </w:r>
      <w:r>
        <w:rPr>
          <w:rFonts w:ascii="仿宋_GB2312" w:eastAsia="仿宋_GB2312"/>
          <w:sz w:val="32"/>
          <w:szCs w:val="32"/>
        </w:rPr>
        <w:t xml:space="preserve"> </w:t>
      </w:r>
      <w:r>
        <w:rPr>
          <w:rFonts w:hint="eastAsia" w:ascii="仿宋_GB2312" w:eastAsia="仿宋_GB2312"/>
          <w:sz w:val="32"/>
          <w:szCs w:val="32"/>
        </w:rPr>
        <w:t>得的收入。</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、其他收入：是指部门取得的除“财政拨款”、“事业收入”、“事业单位经营收入”等以外的收入。</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、上年结转和结余：是指以前年度支出预算因客观条件变化未执行完毕、结转到本年度按有关规定继续使用的资金，既包括财政拨款结转和结余，也包括事业收入、经营收入、其他收入的结转和结余。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、基本支出：是指为保障机构正常运转、完成日常工作任务所必需的开支，其内容包括人员经费和日常公用经费两部分。</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、项目支出：是指在基本支出之外，为完成特定的行政工作任务或事业发展目标所发生的支出。</w:t>
      </w:r>
    </w:p>
    <w:p>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、一般公共服务（类）事务（款）：是指用于保障机构正常运行、开展业务等活动的支出。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）行政运行（项）：是指为保障机构正常运转、完成日常工作任务安排的支出。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）一般行政管理事务（项）：是指单位的项目支出。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）机关服务（项）：是指为单位提供后勤保障服务的机关服务局的支出。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）事业运行（项）：是指事业单位用于保障机构正常运转的基本支出。</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兰亭超细黑简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2"/>
                      <w:rPr>
                        <w:rFonts w:eastAsia="宋体"/>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5AC7A"/>
    <w:multiLevelType w:val="singleLevel"/>
    <w:tmpl w:val="B585AC7A"/>
    <w:lvl w:ilvl="0" w:tentative="0">
      <w:start w:val="4"/>
      <w:numFmt w:val="chineseCounting"/>
      <w:suff w:val="nothing"/>
      <w:lvlText w:val="（%1）"/>
      <w:lvlJc w:val="left"/>
      <w:rPr>
        <w:rFonts w:hint="eastAsia"/>
      </w:rPr>
    </w:lvl>
  </w:abstractNum>
  <w:abstractNum w:abstractNumId="1">
    <w:nsid w:val="1AC703EF"/>
    <w:multiLevelType w:val="singleLevel"/>
    <w:tmpl w:val="1AC703EF"/>
    <w:lvl w:ilvl="0" w:tentative="0">
      <w:start w:val="3"/>
      <w:numFmt w:val="chineseCounting"/>
      <w:lvlText w:val="(%1)"/>
      <w:lvlJc w:val="left"/>
      <w:pPr>
        <w:tabs>
          <w:tab w:val="left" w:pos="312"/>
        </w:tabs>
        <w:ind w:left="640" w:firstLine="0"/>
      </w:pPr>
      <w:rPr>
        <w:rFonts w:hint="eastAsia"/>
      </w:rPr>
    </w:lvl>
  </w:abstractNum>
  <w:abstractNum w:abstractNumId="2">
    <w:nsid w:val="4662AA8F"/>
    <w:multiLevelType w:val="singleLevel"/>
    <w:tmpl w:val="4662AA8F"/>
    <w:lvl w:ilvl="0" w:tentative="0">
      <w:start w:val="1"/>
      <w:numFmt w:val="chineseCounting"/>
      <w:suff w:val="space"/>
      <w:lvlText w:val="第%1部分"/>
      <w:lvlJc w:val="left"/>
      <w:rPr>
        <w:rFonts w:hint="eastAsia"/>
      </w:rPr>
    </w:lvl>
  </w:abstractNum>
  <w:abstractNum w:abstractNumId="3">
    <w:nsid w:val="58366DE8"/>
    <w:multiLevelType w:val="singleLevel"/>
    <w:tmpl w:val="58366DE8"/>
    <w:lvl w:ilvl="0" w:tentative="0">
      <w:start w:val="1"/>
      <w:numFmt w:val="chineseCounting"/>
      <w:suff w:val="nothing"/>
      <w:lvlText w:val="%1、"/>
      <w:lvlJc w:val="left"/>
      <w:pPr>
        <w:ind w:left="555" w:leftChars="0" w:firstLine="0" w:firstLineChars="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9F"/>
    <w:rsid w:val="00026726"/>
    <w:rsid w:val="0008416D"/>
    <w:rsid w:val="000A2BF1"/>
    <w:rsid w:val="000A3E3C"/>
    <w:rsid w:val="000A4455"/>
    <w:rsid w:val="003C0A70"/>
    <w:rsid w:val="00537650"/>
    <w:rsid w:val="006549ED"/>
    <w:rsid w:val="006F355A"/>
    <w:rsid w:val="00755988"/>
    <w:rsid w:val="00773D70"/>
    <w:rsid w:val="0083385F"/>
    <w:rsid w:val="00845265"/>
    <w:rsid w:val="0091387A"/>
    <w:rsid w:val="00B60910"/>
    <w:rsid w:val="00B76482"/>
    <w:rsid w:val="00BC7A38"/>
    <w:rsid w:val="00C1789F"/>
    <w:rsid w:val="00C96031"/>
    <w:rsid w:val="00CC2C0F"/>
    <w:rsid w:val="00FA4811"/>
    <w:rsid w:val="00FC1C2A"/>
    <w:rsid w:val="078F7941"/>
    <w:rsid w:val="08C70CAC"/>
    <w:rsid w:val="1914684E"/>
    <w:rsid w:val="1A7B6580"/>
    <w:rsid w:val="1EEB1F9C"/>
    <w:rsid w:val="20ED39DB"/>
    <w:rsid w:val="2241070A"/>
    <w:rsid w:val="27DA5C08"/>
    <w:rsid w:val="30073F5F"/>
    <w:rsid w:val="4A500AC4"/>
    <w:rsid w:val="4D8C0C37"/>
    <w:rsid w:val="52362DF0"/>
    <w:rsid w:val="6D7D2D43"/>
    <w:rsid w:val="6F6773E8"/>
    <w:rsid w:val="74B53DEF"/>
    <w:rsid w:val="74BB5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354</Words>
  <Characters>2020</Characters>
  <Lines>16</Lines>
  <Paragraphs>4</Paragraphs>
  <TotalTime>1</TotalTime>
  <ScaleCrop>false</ScaleCrop>
  <LinksUpToDate>false</LinksUpToDate>
  <CharactersWithSpaces>2370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2018-03-28T00:35:00Z</dcterms:created>
  <dc:creator>china</dc:creator>
  <cp:lastModifiedBy>Administrator</cp:lastModifiedBy>
  <dcterms:modified xsi:type="dcterms:W3CDTF">2019-03-01T02:18:54Z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