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永城市安全生产监督管理局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永城市安全生产监督管理局单位概况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永城市安全生产监督管理局2018年度部门预算情况说明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附件：永城市安全生产监督管理局2018年度部门预算表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</w:t>
      </w:r>
      <w:r>
        <w:rPr>
          <w:rFonts w:hint="eastAsia" w:ascii="Arial" w:hAnsi="Arial" w:eastAsia="方正小标宋简体" w:cs="Arial"/>
          <w:sz w:val="36"/>
          <w:szCs w:val="36"/>
          <w:lang w:eastAsia="zh-CN"/>
        </w:rPr>
        <w:t>安全生产监督管理</w:t>
      </w:r>
      <w:r>
        <w:rPr>
          <w:rFonts w:hint="eastAsia" w:ascii="Arial" w:hAnsi="Arial" w:eastAsia="方正小标宋简体" w:cs="Arial"/>
          <w:sz w:val="36"/>
          <w:szCs w:val="36"/>
        </w:rPr>
        <w:t>局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  永城市安全生产监督管理局单位概况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(一)部门机构设置、职能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永城市安全生产监督管理局内设7个机构，分别是办公室、政策法规培训科、安全监管一科、安全监管二科、职业安全健康监管科、事故调查统计科、煤矿安全监察办公室。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主要职责是：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1、贯彻执行国家和省安全生产法律、法规，组织起草全市综合性安全生产规范性文件，拟订全市安全生产发展规划及工矿商贸行业安全生产规范性文件，并组织实施。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、承担全市安全生产综合监督管理责任，依法行使综合监督管理职权，指导、协调和监督检查有关部门和乡镇政府、产业集聚区、商务中心区的安全生产工作；定期分析和预测全市安全生产形势，研究、协调和解决安全生产中的重大问题，督促、指导落实安全生产责任制和安全生产责任追究制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3、承担工矿商贸行业安全生产监督管理责任，按照分级、属地原则，依法监督检查工矿商贸生产经营单位贯彻执行安全生产法律、法规情况，安全生产条件和有关设备（不含特种设备）、材料、劳动防护用品的安全管理工作，重大危险源监控及重大事故隐患的排查治理工作；依法查处不具备安全生产条件的工矿商贸生产经营单位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4、承担非煤矿矿山和危险化学品、烟花爆竹生产经营企业安全生产准入管理责任，依法组织实施相关安全生产准入制度并负责监督管理工作。负责危险化学品安全监督管理综合工作。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5、承担工矿商贸作业场所职业卫生监督检查责任，负责职业卫生安全许可证的颁发管理工作，组织查处职业危害事故和违法违规行为。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6、负责组织指挥和协调全市安全生产应急救援工作，综合管理全市生产安全伤亡事故、事故隐患排查治理、安全生产和职业危害信息统计分析工作；依法组织、协调较大及以下生产安全事故的调查处理工作，并监督事故查处的落实情况；协助国家、省调查处理较大以上生产安全事故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7、负责监督检查职责范围内新建、改建、扩建工程项目的安全设施与主体工程同时设计、同时施工、同时投产使用情况。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8、指导协调全市安全生产检测检验工作，监督管理安全生产社会中介机构和安全评价工作。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9、组织、指导全市安全生产宣传教育和安全文化建设工作，负责安全生产监督管理人员安全培训、考核工作，依法组织、指导并监督特种作业（不含煤矿安全作业）人员操作资格考核工作和工矿商贸生产经营单位（不含煤矿作业）主要负责人、安全生产管理人员的安全资格考核工作；监督检查工矿商贸生产经营单位安全培训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10、组织拟订全市安全科技规划，指导协调安全生产重大科学技术研究、科研成果申报、推广和技术示范工作。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11、指导协调和监督监察全市安全生产行政执法工作。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12、配合实施注册安全工程师、注册助理安全工程师执业资格考试和注册管理工作。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13、组织开展全市安全生产方面的对外交流与合作。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14、承担全市煤矿安全生产监督监察工作；负责煤矿主要负责人和煤矿特种作业人员安全生产资格认定等。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15、承担市政府安全生产委员会日常工作。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16、承办市政府及市政府安全生产委员会交办的其他事项。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(二)人员构成情况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永城市安全生产监督管理局机关及归口预算管理单位人员编制共计 49名，其中，行政、参公及工勤编制 34人事业编制15人；在职职工49人。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240" w:lineRule="atLeas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预算年度的主要工作任务</w:t>
      </w:r>
    </w:p>
    <w:p>
      <w:pPr>
        <w:pStyle w:val="4"/>
        <w:spacing w:before="0" w:beforeAutospacing="0" w:after="0" w:afterAutospacing="0" w:line="240" w:lineRule="atLeast"/>
        <w:ind w:firstLine="640" w:firstLineChars="2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认真贯彻落实党中央、国务院和省委、省政府安全生产工作决策部署，牢固树立红线意识和安全发展理念，认真履行属地安全生产管理责任，坚决防范遏制重特大事故，全面完成年度目标任务。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永城市安全生产监督管理局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永城市安全生产监督管理局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永城市安全生产监督管理局2018年度部门预算情况说明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2018年收入合计504.05万元，其中，一般公共预算504.05万元。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2018年支出合计504.05万元，其中：基本支出349.05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万元，占69.35%；项目支出155万元，占30.75%。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2018年收入预算504.05万元，其中财政拨款504.05万元，比上年增加94.54万元，增长23.09%；纳入预算管理的行政事业性收费收入105万元，比上年增加9万元，增长9.6%。主要变化原因：事故增加。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504.05万元，其中财政拨款支504.05万元，比上年增加94.54万元，增长23.09%。支出按用途划分为：工资福利支出319.53万元，占总支出的63.39%，比上年增加61.79万元，增长23.97%；对个人和家庭的补助0.58万元，占总支出的1.15%，比上年减少11.2万元，减少95%；商品服务支出28.94万元，占总支出的5.74%，比上年增加12.95万元，增长81%；项目支出155万元，占总支出的30.75%，比上年增加31万元，增长25%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主要变化原因：工资福利支出增加原因为实行新工资，增加养老保险，住房公积金调到工资福利；个人和家庭的补助减少原因为由于住房公积金调到工资福利，商品服务支出增加原因为监管力度加大，增加了</w:t>
      </w: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2018年“三公”经费支出预算11.98万元，较上年下降8.5%。其中：公务接待费1.9万元，较上年下降5%；公务用车运行维护费10.08万元，较上年下降9%。主要变化原因：节能。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2018年商品服务支出28.9万元；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办公费</w:t>
      </w:r>
      <w:r>
        <w:rPr>
          <w:rFonts w:hint="eastAsia" w:ascii="仿宋_GB2312" w:eastAsia="仿宋_GB2312"/>
          <w:sz w:val="32"/>
          <w:szCs w:val="32"/>
        </w:rPr>
        <w:t>3.6万元，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水费</w:t>
      </w:r>
      <w:r>
        <w:rPr>
          <w:rFonts w:hint="eastAsia" w:ascii="仿宋_GB2312" w:eastAsia="仿宋_GB2312"/>
          <w:sz w:val="32"/>
          <w:szCs w:val="32"/>
        </w:rPr>
        <w:t>0.4万元，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电费3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邮电费</w:t>
      </w:r>
      <w:r>
        <w:rPr>
          <w:rFonts w:hint="eastAsia" w:ascii="仿宋_GB2312" w:eastAsia="仿宋_GB2312"/>
          <w:sz w:val="32"/>
          <w:szCs w:val="32"/>
        </w:rPr>
        <w:t>2万元，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取暖0.1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差旅费4万元，公务接待费</w:t>
      </w:r>
      <w:r>
        <w:rPr>
          <w:rFonts w:hint="eastAsia" w:ascii="仿宋_GB2312" w:eastAsia="仿宋_GB2312"/>
          <w:sz w:val="32"/>
          <w:szCs w:val="32"/>
        </w:rPr>
        <w:t>1.9万元，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工会费用</w:t>
      </w:r>
      <w:r>
        <w:rPr>
          <w:rFonts w:hint="eastAsia" w:ascii="仿宋_GB2312" w:eastAsia="仿宋_GB2312"/>
          <w:sz w:val="32"/>
          <w:szCs w:val="32"/>
        </w:rPr>
        <w:t>1.1万元，福利费2.75万元，公务用车运行维护费10.8万元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(二)政府采购支出情况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1D5A01"/>
    <w:rsid w:val="001E7276"/>
    <w:rsid w:val="002752AA"/>
    <w:rsid w:val="002A2B93"/>
    <w:rsid w:val="003F2465"/>
    <w:rsid w:val="0044787D"/>
    <w:rsid w:val="004714C0"/>
    <w:rsid w:val="004C1C8B"/>
    <w:rsid w:val="005021C0"/>
    <w:rsid w:val="00537650"/>
    <w:rsid w:val="005405E8"/>
    <w:rsid w:val="006549ED"/>
    <w:rsid w:val="006F355A"/>
    <w:rsid w:val="00755988"/>
    <w:rsid w:val="00815391"/>
    <w:rsid w:val="0083385F"/>
    <w:rsid w:val="00845265"/>
    <w:rsid w:val="00865995"/>
    <w:rsid w:val="008B1A71"/>
    <w:rsid w:val="00A66C50"/>
    <w:rsid w:val="00AB2ECC"/>
    <w:rsid w:val="00B60910"/>
    <w:rsid w:val="00B76482"/>
    <w:rsid w:val="00BC7A38"/>
    <w:rsid w:val="00C05AFD"/>
    <w:rsid w:val="00C1789F"/>
    <w:rsid w:val="00C96031"/>
    <w:rsid w:val="00CC2C0F"/>
    <w:rsid w:val="00CE289A"/>
    <w:rsid w:val="00CF42FB"/>
    <w:rsid w:val="00E57F73"/>
    <w:rsid w:val="00F244D6"/>
    <w:rsid w:val="00FA5C61"/>
    <w:rsid w:val="00FB3B18"/>
    <w:rsid w:val="01A4621C"/>
    <w:rsid w:val="09C76B37"/>
    <w:rsid w:val="0A6E04FE"/>
    <w:rsid w:val="11D67236"/>
    <w:rsid w:val="2B631574"/>
    <w:rsid w:val="34AE50B7"/>
    <w:rsid w:val="35C50CB5"/>
    <w:rsid w:val="39C20205"/>
    <w:rsid w:val="459D26BC"/>
    <w:rsid w:val="4AA56FDA"/>
    <w:rsid w:val="4F6F7A55"/>
    <w:rsid w:val="565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488</Words>
  <Characters>2786</Characters>
  <Lines>23</Lines>
  <Paragraphs>6</Paragraphs>
  <TotalTime>1</TotalTime>
  <ScaleCrop>false</ScaleCrop>
  <LinksUpToDate>false</LinksUpToDate>
  <CharactersWithSpaces>3268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2018-04-19T09:19:00Z</cp:lastPrinted>
  <dcterms:modified xsi:type="dcterms:W3CDTF">2019-03-05T00:10:31Z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