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bCs/>
          <w:sz w:val="36"/>
          <w:szCs w:val="36"/>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中共永城市委永城市人民政府信访局</w:t>
      </w: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lang w:val="en-US" w:eastAsia="zh-CN"/>
        </w:rPr>
      </w:pPr>
      <w:r>
        <w:rPr>
          <w:rStyle w:val="6"/>
          <w:rFonts w:hint="eastAsia" w:cs="Arial" w:asciiTheme="majorEastAsia" w:hAnsiTheme="majorEastAsia" w:eastAsiaTheme="majorEastAsia"/>
          <w:color w:val="000000"/>
          <w:kern w:val="0"/>
          <w:sz w:val="52"/>
          <w:szCs w:val="52"/>
          <w:lang w:val="en-US" w:eastAsia="zh-CN"/>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中共永城市委永城市人民政府信访局</w:t>
      </w:r>
      <w:r>
        <w:rPr>
          <w:rFonts w:hint="eastAsia" w:ascii="黑体" w:hAnsi="黑体" w:eastAsia="黑体" w:cs="黑体"/>
          <w:b/>
          <w:bCs/>
          <w:sz w:val="32"/>
          <w:szCs w:val="32"/>
          <w:lang w:val="en-US" w:eastAsia="zh-CN"/>
        </w:rPr>
        <w:t>单位概况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一、部门机构设置、职能、年度工作任务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中共永城市委永城市人民政府信访局</w:t>
      </w:r>
      <w:r>
        <w:rPr>
          <w:rFonts w:hint="eastAsia" w:ascii="黑体" w:hAnsi="黑体" w:eastAsia="黑体" w:cs="黑体"/>
          <w:b/>
          <w:bCs/>
          <w:sz w:val="32"/>
          <w:szCs w:val="32"/>
          <w:lang w:val="en-US" w:eastAsia="zh-CN"/>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附件：中共永城市委永城市人民政府信访局</w:t>
      </w:r>
      <w:r>
        <w:rPr>
          <w:rFonts w:hint="eastAsia" w:ascii="黑体" w:hAnsi="黑体" w:eastAsia="黑体" w:cs="黑体"/>
          <w:b/>
          <w:bCs/>
          <w:sz w:val="32"/>
          <w:szCs w:val="32"/>
          <w:lang w:val="en-US" w:eastAsia="zh-CN"/>
        </w:rPr>
        <w:t>2018年度部门预算表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部门收支总体情况表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部门收入总体情况表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部门支出总体情况表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一般公共预算基本支出经济分类情况表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财政拨款收支总体情况表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财政拨款支出情况表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政府性基金支出情况表</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jc w:val="center"/>
        <w:rPr>
          <w:rFonts w:hint="eastAsia" w:ascii="Adobe 黑体 Std R" w:hAnsi="Adobe 黑体 Std R" w:eastAsia="Adobe 黑体 Std R" w:cs="Arial"/>
          <w:sz w:val="36"/>
          <w:szCs w:val="36"/>
        </w:rPr>
      </w:pPr>
      <w:r>
        <w:rPr>
          <w:rFonts w:hint="eastAsia" w:ascii="Adobe 黑体 Std R" w:hAnsi="Adobe 黑体 Std R" w:eastAsia="Adobe 黑体 Std R" w:cs="Arial"/>
          <w:sz w:val="36"/>
          <w:szCs w:val="36"/>
        </w:rPr>
        <w:t>中共永城市委永城市人民政府信访局</w:t>
      </w:r>
    </w:p>
    <w:p>
      <w:pPr>
        <w:jc w:val="center"/>
        <w:rPr>
          <w:rFonts w:ascii="Adobe 黑体 Std R" w:hAnsi="Adobe 黑体 Std R" w:eastAsia="Adobe 黑体 Std R"/>
          <w:sz w:val="36"/>
          <w:szCs w:val="36"/>
        </w:rPr>
      </w:pPr>
      <w:r>
        <w:rPr>
          <w:rFonts w:hint="eastAsia" w:ascii="Adobe 黑体 Std R" w:hAnsi="Adobe 黑体 Std R" w:eastAsia="Adobe 黑体 Std R" w:cs="Arial"/>
          <w:sz w:val="36"/>
          <w:szCs w:val="36"/>
        </w:rPr>
        <w:t>2018年预算公开填报说明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中共永城市委永城市人民政府信访局单位概况</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 xml:space="preserve">（一）部门主要职能 </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1．负责受理群众来信来访，畅通信访渠道，规</w:t>
      </w:r>
      <w:bookmarkStart w:id="0" w:name="_GoBack"/>
      <w:bookmarkEnd w:id="0"/>
      <w:r>
        <w:rPr>
          <w:rFonts w:hint="eastAsia" w:ascii="仿宋" w:hAnsi="仿宋" w:eastAsia="仿宋" w:cs="宋体"/>
          <w:color w:val="000000"/>
          <w:kern w:val="0"/>
          <w:sz w:val="32"/>
          <w:szCs w:val="32"/>
        </w:rPr>
        <w:t xml:space="preserve">范信访秩序； </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 xml:space="preserve">2．负责处理中央和省转来的信访事项；对市委、市政府拟办和上级交办的信访事项，负责立案交办、督办和审核结案； </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 xml:space="preserve">3．协调做好群体性、突发性信访事件的处置工作； </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 xml:space="preserve">4．参与协调和调查处理重要信访事项； </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 xml:space="preserve">5．综合反映来信来访中的重要情况和带政策性、倾向性、苗头性的问题和社会动态，为市委、市政府决策提供参谋和服务，并根据领导批示，组织有关单位督办落实； </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 xml:space="preserve">6．检查、指导、协调各乡镇和市级机关各部门、各单位的信访工作； </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 xml:space="preserve">7．负责组织信访干部培训，指导全市信访部门办公自动化建设； </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 xml:space="preserve">8．负责信访工作的宣传和信息发布，为来信、来电、来访人员提供法律、法规和政策咨询。 </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（二）单位设置情况</w:t>
      </w:r>
    </w:p>
    <w:p>
      <w:pPr>
        <w:widowControl/>
        <w:spacing w:line="500" w:lineRule="exac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永城市信访局为市委和市政府主管信访工作的正科级行政机构，内设综合办公室、接访科、办信科、网络信访科、电话信访科、手机短信办、督查督办科、复查复核科、联席会议办公室、网络信息科；驻京省工作站。</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color w:val="000000"/>
          <w:kern w:val="0"/>
          <w:sz w:val="32"/>
          <w:szCs w:val="32"/>
        </w:rPr>
        <w:t xml:space="preserve">（三）部门人员构成 </w:t>
      </w:r>
    </w:p>
    <w:p>
      <w:pPr>
        <w:widowControl/>
        <w:spacing w:line="500" w:lineRule="exac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永城市信访局总编制数13人，其中行政编制数8人，事业编制数5人；现在职人员22人，行政退休人员12人。 </w:t>
      </w:r>
    </w:p>
    <w:p>
      <w:pPr>
        <w:widowControl/>
        <w:spacing w:line="360" w:lineRule="auto"/>
        <w:ind w:firstLine="640" w:firstLineChars="200"/>
        <w:jc w:val="left"/>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（四）部门预算单位构成</w:t>
      </w:r>
    </w:p>
    <w:p>
      <w:pPr>
        <w:widowControl/>
        <w:spacing w:line="500" w:lineRule="exact"/>
        <w:ind w:firstLine="6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中共永城市委永城市人民政府信访局部门预算为中共永城市委永城市人民政府信访局本级预算</w:t>
      </w:r>
      <w:r>
        <w:rPr>
          <w:rFonts w:hint="eastAsia" w:ascii="仿宋" w:hAnsi="仿宋" w:eastAsia="仿宋" w:cs="宋体"/>
          <w:color w:val="000000"/>
          <w:kern w:val="0"/>
          <w:sz w:val="32"/>
          <w:szCs w:val="32"/>
          <w:lang w:eastAsia="zh-CN"/>
        </w:rPr>
        <w:t>，本单位无二级机构。</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中共永城市委永城市人民政府信访局2018年度部门预算情况说明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w:t>
      </w:r>
      <w:r>
        <w:rPr>
          <w:rFonts w:hint="eastAsia" w:ascii="Arial" w:hAnsi="Arial" w:eastAsia="方正小标宋简体" w:cs="Arial"/>
          <w:sz w:val="36"/>
          <w:szCs w:val="36"/>
        </w:rPr>
        <w:t>239.76</w:t>
      </w:r>
      <w:r>
        <w:rPr>
          <w:rFonts w:hint="eastAsia" w:ascii="仿宋_GB2312" w:hAnsi="ˎ̥" w:eastAsia="仿宋_GB2312" w:cs="Arial"/>
          <w:color w:val="000000"/>
          <w:sz w:val="32"/>
          <w:szCs w:val="32"/>
        </w:rPr>
        <w:t>万元，其中，一般公共预算</w:t>
      </w:r>
      <w:r>
        <w:rPr>
          <w:rFonts w:hint="eastAsia" w:ascii="Arial" w:hAnsi="Arial" w:eastAsia="方正小标宋简体" w:cs="Arial"/>
          <w:sz w:val="36"/>
          <w:szCs w:val="36"/>
        </w:rPr>
        <w:t>239.76</w:t>
      </w:r>
      <w:r>
        <w:rPr>
          <w:rFonts w:hint="eastAsia" w:ascii="仿宋_GB2312" w:hAnsi="ˎ̥" w:eastAsia="仿宋_GB2312" w:cs="Arial"/>
          <w:color w:val="000000"/>
          <w:sz w:val="32"/>
          <w:szCs w:val="32"/>
        </w:rPr>
        <w:t>万元，部门财政性资金结转</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w:t>
      </w:r>
      <w:r>
        <w:rPr>
          <w:rFonts w:hint="eastAsia" w:ascii="Arial" w:hAnsi="Arial" w:eastAsia="方正小标宋简体" w:cs="Arial"/>
          <w:sz w:val="36"/>
          <w:szCs w:val="36"/>
        </w:rPr>
        <w:t>239.76</w:t>
      </w:r>
      <w:r>
        <w:rPr>
          <w:rFonts w:hint="eastAsia" w:ascii="仿宋_GB2312" w:hAnsi="ˎ̥" w:eastAsia="仿宋_GB2312" w:cs="Arial"/>
          <w:color w:val="000000"/>
          <w:sz w:val="32"/>
          <w:szCs w:val="32"/>
        </w:rPr>
        <w:t>万元，其中：基本支出</w:t>
      </w:r>
      <w:r>
        <w:rPr>
          <w:rFonts w:hint="eastAsia" w:ascii="Arial" w:hAnsi="Arial" w:eastAsia="方正小标宋简体" w:cs="Arial"/>
          <w:sz w:val="36"/>
          <w:szCs w:val="36"/>
        </w:rPr>
        <w:t>178.76</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rPr>
        <w:t>74.56</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rPr>
        <w:t>61</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rPr>
        <w:t>25.44</w:t>
      </w:r>
      <w:r>
        <w:rPr>
          <w:rFonts w:hint="eastAsia" w:ascii="仿宋_GB2312" w:hAnsi="ˎ̥" w:eastAsia="仿宋_GB2312" w:cs="Arial"/>
          <w:color w:val="000000"/>
          <w:sz w:val="32"/>
          <w:szCs w:val="32"/>
        </w:rPr>
        <w:t>%。</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w:t>
      </w:r>
      <w:r>
        <w:rPr>
          <w:rFonts w:hint="eastAsia" w:ascii="Arial" w:hAnsi="Arial" w:eastAsia="方正小标宋简体" w:cs="Arial"/>
          <w:sz w:val="36"/>
          <w:szCs w:val="36"/>
        </w:rPr>
        <w:t>239.76</w:t>
      </w:r>
      <w:r>
        <w:rPr>
          <w:rFonts w:hint="eastAsia" w:ascii="仿宋_GB2312" w:hAnsi="ˎ̥" w:eastAsia="仿宋_GB2312" w:cs="Arial"/>
          <w:color w:val="000000"/>
          <w:sz w:val="32"/>
          <w:szCs w:val="32"/>
        </w:rPr>
        <w:t>万元，其中财政拨款</w:t>
      </w:r>
      <w:r>
        <w:rPr>
          <w:rFonts w:hint="eastAsia" w:ascii="Arial" w:hAnsi="Arial" w:eastAsia="方正小标宋简体" w:cs="Arial"/>
          <w:sz w:val="36"/>
          <w:szCs w:val="36"/>
        </w:rPr>
        <w:t>239.76</w:t>
      </w:r>
      <w:r>
        <w:rPr>
          <w:rFonts w:hint="eastAsia" w:ascii="仿宋_GB2312" w:hAnsi="ˎ̥" w:eastAsia="仿宋_GB2312" w:cs="Arial"/>
          <w:color w:val="000000"/>
          <w:sz w:val="32"/>
          <w:szCs w:val="32"/>
        </w:rPr>
        <w:t>万元，比上年减少20.87万元，减少0.08%；纳入预算管理的行政事业性收费收入</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万元，比上年增加</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%。主要变化原因：原单位内项目调入财政代编项目。</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before="0" w:beforeAutospacing="0" w:after="0" w:afterAutospacing="0"/>
        <w:ind w:firstLine="640" w:firstLineChars="200"/>
        <w:rPr>
          <w:rFonts w:ascii="仿宋" w:hAnsi="仿宋" w:eastAsia="仿宋" w:cs="Arial"/>
          <w:color w:val="000000"/>
          <w:sz w:val="32"/>
          <w:szCs w:val="32"/>
        </w:rPr>
      </w:pPr>
      <w:r>
        <w:rPr>
          <w:rFonts w:hint="eastAsia" w:ascii="仿宋_GB2312" w:hAnsi="ˎ̥" w:eastAsia="仿宋_GB2312" w:cs="Arial"/>
          <w:color w:val="000000"/>
          <w:sz w:val="32"/>
          <w:szCs w:val="32"/>
        </w:rPr>
        <w:t>2018年支出预算</w:t>
      </w:r>
      <w:r>
        <w:rPr>
          <w:rFonts w:hint="eastAsia" w:ascii="Arial" w:hAnsi="Arial" w:eastAsia="方正小标宋简体" w:cs="Arial"/>
          <w:sz w:val="36"/>
          <w:szCs w:val="36"/>
        </w:rPr>
        <w:t>239.76</w:t>
      </w:r>
      <w:r>
        <w:rPr>
          <w:rFonts w:hint="eastAsia" w:ascii="仿宋_GB2312" w:hAnsi="ˎ̥" w:eastAsia="仿宋_GB2312" w:cs="Arial"/>
          <w:color w:val="000000"/>
          <w:sz w:val="32"/>
          <w:szCs w:val="32"/>
        </w:rPr>
        <w:t>万元，其中财政拨款支出</w:t>
      </w:r>
      <w:r>
        <w:rPr>
          <w:rFonts w:hint="eastAsia" w:ascii="Arial" w:hAnsi="Arial" w:eastAsia="方正小标宋简体" w:cs="Arial"/>
          <w:sz w:val="36"/>
          <w:szCs w:val="36"/>
        </w:rPr>
        <w:t>239.76</w:t>
      </w:r>
      <w:r>
        <w:rPr>
          <w:rFonts w:hint="eastAsia" w:ascii="仿宋_GB2312" w:hAnsi="ˎ̥" w:eastAsia="仿宋_GB2312" w:cs="Arial"/>
          <w:color w:val="000000"/>
          <w:sz w:val="32"/>
          <w:szCs w:val="32"/>
        </w:rPr>
        <w:t>万元，比上年减少</w:t>
      </w:r>
      <w:r>
        <w:rPr>
          <w:rFonts w:hint="eastAsia" w:ascii="仿宋_GB2312" w:hAnsi="ˎ̥" w:eastAsia="仿宋_GB2312" w:cs="Arial"/>
          <w:b/>
          <w:color w:val="000000"/>
          <w:sz w:val="32"/>
          <w:szCs w:val="32"/>
        </w:rPr>
        <w:t>20.87</w:t>
      </w:r>
      <w:r>
        <w:rPr>
          <w:rFonts w:hint="eastAsia" w:ascii="仿宋_GB2312" w:hAnsi="ˎ̥" w:eastAsia="仿宋_GB2312" w:cs="Arial"/>
          <w:color w:val="000000"/>
          <w:sz w:val="32"/>
          <w:szCs w:val="32"/>
        </w:rPr>
        <w:t>万元，减少</w:t>
      </w:r>
      <w:r>
        <w:rPr>
          <w:rFonts w:hint="eastAsia" w:ascii="仿宋_GB2312" w:hAnsi="ˎ̥" w:eastAsia="仿宋_GB2312" w:cs="Arial"/>
          <w:b/>
          <w:color w:val="000000"/>
          <w:sz w:val="32"/>
          <w:szCs w:val="32"/>
        </w:rPr>
        <w:t>8</w:t>
      </w:r>
      <w:r>
        <w:rPr>
          <w:rFonts w:hint="eastAsia" w:ascii="仿宋_GB2312" w:hAnsi="ˎ̥" w:eastAsia="仿宋_GB2312" w:cs="Arial"/>
          <w:color w:val="000000"/>
          <w:sz w:val="32"/>
          <w:szCs w:val="32"/>
        </w:rPr>
        <w:t>%。支出按用途划分为：工资福利支出</w:t>
      </w:r>
      <w:r>
        <w:rPr>
          <w:rFonts w:hint="eastAsia" w:ascii="Arial" w:hAnsi="Arial" w:eastAsia="方正小标宋简体" w:cs="Arial"/>
          <w:sz w:val="36"/>
          <w:szCs w:val="36"/>
        </w:rPr>
        <w:t>160.44</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66.92</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70.87</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79.12</w:t>
      </w:r>
      <w:r>
        <w:rPr>
          <w:rFonts w:hint="eastAsia" w:ascii="仿宋_GB2312" w:hAnsi="ˎ̥" w:eastAsia="仿宋_GB2312" w:cs="Arial"/>
          <w:color w:val="000000"/>
          <w:sz w:val="32"/>
          <w:szCs w:val="32"/>
        </w:rPr>
        <w:t>%；对个人和家庭的补助</w:t>
      </w:r>
      <w:r>
        <w:rPr>
          <w:rFonts w:hint="eastAsia" w:ascii="Arial" w:hAnsi="Arial" w:eastAsia="方正小标宋简体" w:cs="Arial"/>
          <w:sz w:val="36"/>
          <w:szCs w:val="36"/>
        </w:rPr>
        <w:t>1.25</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0.005</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0</w:t>
      </w:r>
      <w:r>
        <w:rPr>
          <w:rFonts w:hint="eastAsia" w:ascii="仿宋_GB2312" w:hAnsi="ˎ̥" w:eastAsia="仿宋_GB2312" w:cs="Arial"/>
          <w:color w:val="000000"/>
          <w:sz w:val="32"/>
          <w:szCs w:val="32"/>
        </w:rPr>
        <w:t>%；商品服务支出</w:t>
      </w:r>
      <w:r>
        <w:rPr>
          <w:rFonts w:hint="eastAsia" w:ascii="Arial" w:hAnsi="Arial" w:eastAsia="方正小标宋简体" w:cs="Arial"/>
          <w:sz w:val="36"/>
          <w:szCs w:val="36"/>
        </w:rPr>
        <w:t>17.07</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0.071</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7.11</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71.38</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rPr>
        <w:t>61</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25.44</w:t>
      </w:r>
      <w:r>
        <w:rPr>
          <w:rFonts w:hint="eastAsia" w:ascii="仿宋_GB2312" w:hAnsi="ˎ̥" w:eastAsia="仿宋_GB2312" w:cs="Arial"/>
          <w:color w:val="000000"/>
          <w:sz w:val="32"/>
          <w:szCs w:val="32"/>
        </w:rPr>
        <w:t>%，比上年减少</w:t>
      </w:r>
      <w:r>
        <w:rPr>
          <w:rFonts w:hint="eastAsia" w:ascii="仿宋_GB2312" w:hAnsi="ˎ̥" w:eastAsia="仿宋_GB2312" w:cs="Arial"/>
          <w:b/>
          <w:color w:val="000000"/>
          <w:sz w:val="32"/>
          <w:szCs w:val="32"/>
        </w:rPr>
        <w:t>47.2</w:t>
      </w:r>
      <w:r>
        <w:rPr>
          <w:rFonts w:hint="eastAsia" w:ascii="仿宋_GB2312" w:hAnsi="ˎ̥" w:eastAsia="仿宋_GB2312" w:cs="Arial"/>
          <w:color w:val="000000"/>
          <w:sz w:val="32"/>
          <w:szCs w:val="32"/>
        </w:rPr>
        <w:t>万元，</w:t>
      </w:r>
      <w:r>
        <w:rPr>
          <w:rFonts w:hint="eastAsia" w:ascii="Arial" w:hAnsi="Arial" w:eastAsia="方正小标宋简体" w:cs="Arial"/>
          <w:sz w:val="36"/>
          <w:szCs w:val="36"/>
        </w:rPr>
        <w:t xml:space="preserve"> </w:t>
      </w:r>
      <w:r>
        <w:rPr>
          <w:rFonts w:hint="eastAsia" w:ascii="仿宋" w:hAnsi="仿宋" w:eastAsia="仿宋" w:cs="Arial"/>
          <w:sz w:val="36"/>
          <w:szCs w:val="36"/>
        </w:rPr>
        <w:t>减少43.62</w:t>
      </w:r>
      <w:r>
        <w:rPr>
          <w:rFonts w:hint="eastAsia" w:ascii="仿宋" w:hAnsi="仿宋" w:eastAsia="仿宋" w:cs="Arial"/>
          <w:color w:val="000000"/>
          <w:sz w:val="32"/>
          <w:szCs w:val="32"/>
        </w:rPr>
        <w:t>%</w:t>
      </w:r>
      <w:r>
        <w:rPr>
          <w:rFonts w:ascii="仿宋" w:hAnsi="仿宋" w:eastAsia="仿宋" w:cs="Arial"/>
          <w:color w:val="000000"/>
          <w:sz w:val="32"/>
          <w:szCs w:val="32"/>
        </w:rPr>
        <w:t>。</w:t>
      </w:r>
      <w:r>
        <w:rPr>
          <w:rFonts w:hint="eastAsia" w:ascii="仿宋" w:hAnsi="仿宋" w:eastAsia="仿宋" w:cs="Arial"/>
          <w:color w:val="000000"/>
          <w:sz w:val="32"/>
          <w:szCs w:val="32"/>
        </w:rPr>
        <w:t>主要变化原因：1、</w:t>
      </w:r>
      <w:r>
        <w:rPr>
          <w:rFonts w:hint="eastAsia" w:ascii="仿宋_GB2312" w:hAnsi="ˎ̥" w:eastAsia="仿宋_GB2312" w:cs="Arial"/>
          <w:color w:val="000000"/>
          <w:sz w:val="32"/>
          <w:szCs w:val="32"/>
        </w:rPr>
        <w:t>原单位内项目调入财政代编项目；2、</w:t>
      </w:r>
      <w:r>
        <w:rPr>
          <w:rFonts w:hint="eastAsia" w:ascii="仿宋" w:hAnsi="仿宋" w:eastAsia="仿宋" w:cs="Arial"/>
          <w:color w:val="000000"/>
          <w:sz w:val="32"/>
          <w:szCs w:val="32"/>
        </w:rPr>
        <w:t>人员增加政策性工资调整。</w:t>
      </w:r>
    </w:p>
    <w:p>
      <w:pPr>
        <w:pStyle w:val="4"/>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ind w:firstLine="640" w:firstLineChars="200"/>
        <w:rPr>
          <w:rFonts w:ascii="黑体" w:hAnsi="黑体" w:eastAsia="黑体" w:cs="Arial"/>
          <w:color w:val="000000"/>
          <w:sz w:val="32"/>
          <w:szCs w:val="32"/>
        </w:rPr>
      </w:pPr>
      <w:r>
        <w:rPr>
          <w:rFonts w:hint="eastAsia" w:ascii="黑体" w:hAnsi="黑体" w:eastAsia="黑体" w:cs="Arial"/>
          <w:color w:val="000000"/>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2018年“三公”经费支出预算</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%。其中：因公出国(境)费用</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%；公务接待费</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%；公务用车运行维护费</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%；公务用车购置</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(一)机关运行经费支出情况</w:t>
      </w:r>
    </w:p>
    <w:p>
      <w:pPr>
        <w:ind w:firstLine="640" w:firstLineChars="200"/>
        <w:rPr>
          <w:rFonts w:ascii="仿宋_GB2312" w:eastAsia="仿宋_GB2312"/>
          <w:sz w:val="32"/>
          <w:szCs w:val="32"/>
        </w:rPr>
      </w:pPr>
      <w:r>
        <w:rPr>
          <w:rFonts w:hint="eastAsia" w:ascii="仿宋_GB2312" w:eastAsia="仿宋_GB2312"/>
          <w:sz w:val="32"/>
          <w:szCs w:val="32"/>
        </w:rPr>
        <w:t xml:space="preserve">办公费2.82万元，邮电费0.98万元，印刷费1.2万元，工会费0.57万元，差旅费1.1万元，福利费1.43万元，物业管理2.88万元，公务交通补贴6.12万元。 </w:t>
      </w:r>
    </w:p>
    <w:p>
      <w:pPr>
        <w:ind w:firstLine="640" w:firstLineChars="200"/>
        <w:rPr>
          <w:rFonts w:ascii="仿宋_GB2312" w:eastAsia="仿宋_GB2312"/>
          <w:sz w:val="32"/>
          <w:szCs w:val="32"/>
        </w:rPr>
      </w:pPr>
      <w:r>
        <w:rPr>
          <w:rFonts w:hint="eastAsia" w:ascii="仿宋_GB2312" w:eastAsia="仿宋_GB2312"/>
          <w:sz w:val="32"/>
          <w:szCs w:val="32"/>
        </w:rPr>
        <w:t>（二）政府采购支出情况</w:t>
      </w:r>
    </w:p>
    <w:p>
      <w:pPr>
        <w:pStyle w:val="4"/>
        <w:widowControl/>
        <w:spacing w:before="0" w:beforeAutospacing="0" w:after="0" w:afterAutospacing="0" w:line="600" w:lineRule="exact"/>
        <w:ind w:firstLine="640"/>
        <w:rPr>
          <w:rFonts w:hint="eastAsia" w:ascii="仿宋_GB2312" w:eastAsia="仿宋_GB2312"/>
          <w:sz w:val="32"/>
          <w:szCs w:val="32"/>
        </w:rPr>
      </w:pPr>
      <w:r>
        <w:rPr>
          <w:rFonts w:hint="eastAsia" w:ascii="仿宋" w:hAnsi="仿宋" w:eastAsia="仿宋" w:cs="仿宋"/>
          <w:color w:val="000000"/>
          <w:sz w:val="32"/>
          <w:szCs w:val="32"/>
        </w:rPr>
        <w:t>2018年政府采购预算安排</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货物类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服务类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,政府采购工程类0万元。</w:t>
      </w:r>
      <w:r>
        <w:rPr>
          <w:rFonts w:hint="eastAsia" w:ascii="仿宋_GB2312" w:eastAsia="仿宋_GB2312"/>
          <w:sz w:val="32"/>
          <w:szCs w:val="32"/>
        </w:rPr>
        <w:t xml:space="preserve"> </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重点项目预算绩效目标</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rPr>
        <w:t>无</w:t>
      </w:r>
    </w:p>
    <w:p>
      <w:pPr>
        <w:numPr>
          <w:ilvl w:val="0"/>
          <w:numId w:val="2"/>
        </w:numPr>
        <w:ind w:left="640" w:leftChars="0"/>
        <w:rPr>
          <w:rFonts w:hint="eastAsia" w:ascii="仿宋_GB2312" w:eastAsia="仿宋_GB2312"/>
          <w:sz w:val="32"/>
          <w:szCs w:val="32"/>
          <w:lang w:eastAsia="zh-CN"/>
        </w:rPr>
      </w:pPr>
      <w:r>
        <w:rPr>
          <w:rFonts w:hint="eastAsia" w:ascii="仿宋_GB2312" w:eastAsia="仿宋_GB2312"/>
          <w:sz w:val="32"/>
          <w:szCs w:val="32"/>
          <w:lang w:eastAsia="zh-CN"/>
        </w:rPr>
        <w:t>国有资产占用情况</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无。</w:t>
      </w:r>
    </w:p>
    <w:p>
      <w:pPr>
        <w:ind w:firstLine="640" w:firstLineChars="200"/>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rPr>
        <w:t>专业性较强的名词解释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sz w:val="32"/>
          <w:szCs w:val="32"/>
        </w:rPr>
        <w:t xml:space="preserve"> </w:t>
      </w:r>
      <w:r>
        <w:rPr>
          <w:rFonts w:hint="eastAsia" w:ascii="仿宋_GB2312" w:eastAsia="仿宋_GB2312"/>
          <w:sz w:val="32"/>
          <w:szCs w:val="32"/>
        </w:rPr>
        <w:t>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Arial Unicode MS"/>
    <w:panose1 w:val="000000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方正兰亭超细黑简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58366DE8"/>
    <w:multiLevelType w:val="singleLevel"/>
    <w:tmpl w:val="58366DE8"/>
    <w:lvl w:ilvl="0" w:tentative="0">
      <w:start w:val="1"/>
      <w:numFmt w:val="chineseCounting"/>
      <w:suff w:val="nothing"/>
      <w:lvlText w:val="%1、"/>
      <w:lvlJc w:val="left"/>
      <w:pPr>
        <w:ind w:left="555"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67640"/>
    <w:rsid w:val="0008416D"/>
    <w:rsid w:val="000F0CDC"/>
    <w:rsid w:val="001F58A6"/>
    <w:rsid w:val="00222C3E"/>
    <w:rsid w:val="00266583"/>
    <w:rsid w:val="002A611F"/>
    <w:rsid w:val="003514E3"/>
    <w:rsid w:val="00352668"/>
    <w:rsid w:val="003A21DC"/>
    <w:rsid w:val="00520E49"/>
    <w:rsid w:val="00537650"/>
    <w:rsid w:val="005F2B3A"/>
    <w:rsid w:val="006061C6"/>
    <w:rsid w:val="00621E6C"/>
    <w:rsid w:val="006549ED"/>
    <w:rsid w:val="006A0411"/>
    <w:rsid w:val="006C62EF"/>
    <w:rsid w:val="006F355A"/>
    <w:rsid w:val="00736852"/>
    <w:rsid w:val="00755988"/>
    <w:rsid w:val="0083385F"/>
    <w:rsid w:val="00845265"/>
    <w:rsid w:val="00877015"/>
    <w:rsid w:val="008E4874"/>
    <w:rsid w:val="009665F5"/>
    <w:rsid w:val="0098498B"/>
    <w:rsid w:val="009C37DB"/>
    <w:rsid w:val="00A62ADE"/>
    <w:rsid w:val="00A80BFE"/>
    <w:rsid w:val="00B60910"/>
    <w:rsid w:val="00B76482"/>
    <w:rsid w:val="00BC7A38"/>
    <w:rsid w:val="00C03991"/>
    <w:rsid w:val="00C1789F"/>
    <w:rsid w:val="00C96031"/>
    <w:rsid w:val="00CB7767"/>
    <w:rsid w:val="00CC2C0F"/>
    <w:rsid w:val="00D45D8B"/>
    <w:rsid w:val="00DF0D44"/>
    <w:rsid w:val="00EC7046"/>
    <w:rsid w:val="00EE1D0E"/>
    <w:rsid w:val="00F15766"/>
    <w:rsid w:val="00F1750A"/>
    <w:rsid w:val="00F51CE1"/>
    <w:rsid w:val="00FE1431"/>
    <w:rsid w:val="169B5996"/>
    <w:rsid w:val="26CD5BAB"/>
    <w:rsid w:val="287F1B30"/>
    <w:rsid w:val="54BE48BC"/>
    <w:rsid w:val="57DF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357</Words>
  <Characters>2039</Characters>
  <Lines>16</Lines>
  <Paragraphs>4</Paragraphs>
  <TotalTime>0</TotalTime>
  <ScaleCrop>false</ScaleCrop>
  <LinksUpToDate>false</LinksUpToDate>
  <CharactersWithSpaces>2392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2019-03-01T03:33:48Z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