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p>
    <w:p>
      <w:pPr>
        <w:jc w:val="center"/>
        <w:rPr>
          <w:rFonts w:hint="eastAsia" w:ascii="Arial" w:hAnsi="Arial" w:eastAsia="方正小标宋简体"/>
          <w:bCs/>
          <w:sz w:val="36"/>
          <w:szCs w:val="36"/>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lang w:eastAsia="zh-CN"/>
        </w:rPr>
      </w:pPr>
      <w:r>
        <w:rPr>
          <w:rStyle w:val="6"/>
          <w:rFonts w:hint="eastAsia" w:asciiTheme="majorEastAsia" w:hAnsiTheme="majorEastAsia" w:eastAsiaTheme="majorEastAsia"/>
          <w:color w:val="000000"/>
          <w:kern w:val="0"/>
          <w:sz w:val="52"/>
          <w:szCs w:val="52"/>
        </w:rPr>
        <w:t>永城市</w:t>
      </w:r>
      <w:r>
        <w:rPr>
          <w:rStyle w:val="6"/>
          <w:rFonts w:hint="eastAsia" w:asciiTheme="majorEastAsia" w:hAnsiTheme="majorEastAsia" w:eastAsiaTheme="majorEastAsia"/>
          <w:color w:val="000000"/>
          <w:kern w:val="0"/>
          <w:sz w:val="52"/>
          <w:szCs w:val="52"/>
          <w:lang w:eastAsia="zh-CN"/>
        </w:rPr>
        <w:t>食品药品监督管理局</w:t>
      </w: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永城市食品药品监督管理局单位概况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永城市食品药品监督管理局2018年度部门预算情况说明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附件：永城市食品药品监督管理局2018年度部门预算表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永城市食品药品监督管理局</w:t>
      </w:r>
    </w:p>
    <w:p>
      <w:pPr>
        <w:jc w:val="center"/>
        <w:rPr>
          <w:rFonts w:ascii="方正小标宋简体" w:eastAsia="方正小标宋简体"/>
          <w:sz w:val="36"/>
          <w:szCs w:val="36"/>
        </w:rPr>
      </w:pPr>
      <w:r>
        <w:rPr>
          <w:rFonts w:hint="eastAsia" w:ascii="方正小标宋简体" w:eastAsia="方正小标宋简体"/>
          <w:sz w:val="36"/>
          <w:szCs w:val="36"/>
        </w:rPr>
        <w:t>2018</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预</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算</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基</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本</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情</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况</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说</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明</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永城市食品药品监督管理局单位概况</w:t>
      </w:r>
    </w:p>
    <w:p>
      <w:pPr>
        <w:pStyle w:val="4"/>
        <w:spacing w:before="0" w:beforeAutospacing="0" w:after="0" w:afterAutospacing="0"/>
        <w:ind w:firstLine="640" w:firstLineChars="2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(一)部门主要职责</w:t>
      </w:r>
    </w:p>
    <w:p>
      <w:pPr>
        <w:pStyle w:val="4"/>
        <w:spacing w:before="0" w:beforeAutospacing="0" w:after="0" w:afterAutospacing="0"/>
        <w:ind w:firstLine="640" w:firstLineChars="2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永城市食品药品监督管理局主要</w:t>
      </w:r>
      <w:r>
        <w:rPr>
          <w:rFonts w:hint="eastAsia" w:ascii="仿宋_GB2312" w:hAnsi="ˎ̥" w:eastAsia="仿宋_GB2312" w:cs="Arial"/>
          <w:color w:val="000000"/>
          <w:sz w:val="32"/>
          <w:szCs w:val="32"/>
          <w:lang w:eastAsia="zh-CN"/>
        </w:rPr>
        <w:t>职责职能</w:t>
      </w:r>
      <w:r>
        <w:rPr>
          <w:rFonts w:hint="eastAsia" w:ascii="仿宋_GB2312" w:hAnsi="ˎ̥" w:eastAsia="仿宋_GB2312" w:cs="Arial"/>
          <w:color w:val="000000"/>
          <w:sz w:val="32"/>
          <w:szCs w:val="32"/>
        </w:rPr>
        <w:t>是贯彻执行国家、河南省食品、药品、医疗器械、化妆品监督管理的方针政策和法律、法规，依法组织实施食品行政许可和质量安全监督管理；监督实施国家药典等药品和医疗器械标准、分类管理制度；负责制定食品、药品、化妆品、医疗器械监督管理的稽查制度并组织实施，组织查处违法违规行为等。</w:t>
      </w:r>
    </w:p>
    <w:p>
      <w:pPr>
        <w:pStyle w:val="4"/>
        <w:numPr>
          <w:ilvl w:val="0"/>
          <w:numId w:val="0"/>
        </w:numPr>
        <w:spacing w:before="0" w:beforeAutospacing="0" w:after="0" w:afterAutospacing="0" w:line="520" w:lineRule="exact"/>
        <w:ind w:firstLine="640" w:firstLineChars="200"/>
        <w:rPr>
          <w:rFonts w:hint="eastAsia" w:ascii="仿宋_GB2312" w:hAnsi="ˎ̥" w:eastAsia="仿宋_GB2312" w:cs="Arial"/>
          <w:color w:val="000000"/>
          <w:sz w:val="32"/>
          <w:szCs w:val="32"/>
        </w:rPr>
      </w:pPr>
      <w:r>
        <w:rPr>
          <w:rFonts w:hint="eastAsia" w:ascii="仿宋_GB2312" w:hAnsi="ˎ̥" w:eastAsia="仿宋_GB2312" w:cs="Arial"/>
          <w:color w:val="000000"/>
          <w:sz w:val="32"/>
          <w:szCs w:val="32"/>
          <w:lang w:eastAsia="zh-CN"/>
        </w:rPr>
        <w:t>（二）</w:t>
      </w:r>
      <w:r>
        <w:rPr>
          <w:rFonts w:hint="eastAsia" w:ascii="仿宋_GB2312" w:hAnsi="ˎ̥" w:eastAsia="仿宋_GB2312" w:cs="Arial"/>
          <w:color w:val="000000"/>
          <w:sz w:val="32"/>
          <w:szCs w:val="32"/>
        </w:rPr>
        <w:t>机构设置情况</w:t>
      </w:r>
    </w:p>
    <w:p>
      <w:pPr>
        <w:pStyle w:val="4"/>
        <w:numPr>
          <w:ilvl w:val="0"/>
          <w:numId w:val="0"/>
        </w:numPr>
        <w:spacing w:before="0" w:beforeAutospacing="0" w:after="0" w:afterAutospacing="0" w:line="520" w:lineRule="exact"/>
        <w:ind w:firstLine="640" w:firstLineChars="2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根据市委市政府的有关要求，</w:t>
      </w:r>
      <w:r>
        <w:rPr>
          <w:rFonts w:hint="eastAsia" w:ascii="仿宋_GB2312" w:hAnsi="ˎ̥" w:eastAsia="仿宋_GB2312" w:cs="Arial"/>
          <w:color w:val="000000"/>
          <w:sz w:val="32"/>
          <w:szCs w:val="32"/>
          <w:lang w:eastAsia="zh-CN"/>
        </w:rPr>
        <w:t>我局</w:t>
      </w:r>
      <w:r>
        <w:rPr>
          <w:rFonts w:hint="eastAsia" w:ascii="仿宋_GB2312" w:hAnsi="ˎ̥" w:eastAsia="仿宋_GB2312" w:cs="Arial"/>
          <w:color w:val="000000"/>
          <w:sz w:val="32"/>
          <w:szCs w:val="32"/>
        </w:rPr>
        <w:t>与2015年年底进行了重新组建，将原永城市食品监督所纳入局编制范围内，成立乡镇食品药品派出机构，将原工商行政管理局食品流通环节以及质量技术监督局生产环节的食品安全监督管理职责划入我局。重新组建后的永城市食品药品监督管理局现设置有7个科室：办公室（政策法规科）、食品安全协调督查科（应急管理科）、食品生产监管科、食品流通监管科、餐饮食品监管科、药品化妆品监管科(医疗器械科)，和29个乡镇食品药品监督管理所</w:t>
      </w:r>
      <w:r>
        <w:rPr>
          <w:rFonts w:hint="eastAsia" w:ascii="仿宋_GB2312" w:hAnsi="ˎ̥" w:eastAsia="仿宋_GB2312" w:cs="Arial"/>
          <w:color w:val="000000"/>
          <w:sz w:val="32"/>
          <w:szCs w:val="32"/>
          <w:lang w:eastAsia="zh-CN"/>
        </w:rPr>
        <w:t>以及</w:t>
      </w:r>
      <w:r>
        <w:rPr>
          <w:rFonts w:hint="eastAsia" w:ascii="仿宋_GB2312" w:hAnsi="ˎ̥" w:eastAsia="仿宋_GB2312" w:cs="Arial"/>
          <w:color w:val="000000"/>
          <w:sz w:val="32"/>
          <w:szCs w:val="32"/>
          <w:lang w:val="en-US" w:eastAsia="zh-CN"/>
        </w:rPr>
        <w:t>1个永城市食品药品检验所</w:t>
      </w:r>
      <w:r>
        <w:rPr>
          <w:rFonts w:hint="eastAsia" w:ascii="仿宋_GB2312" w:hAnsi="ˎ̥" w:eastAsia="仿宋_GB2312" w:cs="Arial"/>
          <w:color w:val="000000"/>
          <w:sz w:val="32"/>
          <w:szCs w:val="32"/>
        </w:rPr>
        <w:t>。</w:t>
      </w:r>
    </w:p>
    <w:p>
      <w:pPr>
        <w:pStyle w:val="4"/>
        <w:numPr>
          <w:ilvl w:val="0"/>
          <w:numId w:val="0"/>
        </w:numPr>
        <w:spacing w:before="0" w:beforeAutospacing="0" w:after="0" w:afterAutospacing="0"/>
        <w:ind w:firstLine="960" w:firstLineChars="300"/>
        <w:rPr>
          <w:rFonts w:hint="eastAsia" w:ascii="仿宋_GB2312" w:hAnsi="ˎ̥" w:eastAsia="仿宋_GB2312" w:cs="Arial"/>
          <w:color w:val="000000"/>
          <w:sz w:val="32"/>
          <w:szCs w:val="32"/>
        </w:rPr>
      </w:pPr>
      <w:r>
        <w:rPr>
          <w:rFonts w:hint="eastAsia" w:ascii="仿宋_GB2312" w:hAnsi="ˎ̥" w:eastAsia="仿宋_GB2312" w:cs="Arial"/>
          <w:color w:val="000000"/>
          <w:sz w:val="32"/>
          <w:szCs w:val="32"/>
          <w:lang w:eastAsia="zh-CN"/>
        </w:rPr>
        <w:t>（三）</w:t>
      </w:r>
      <w:r>
        <w:rPr>
          <w:rFonts w:hint="eastAsia" w:ascii="仿宋_GB2312" w:hAnsi="ˎ̥" w:eastAsia="仿宋_GB2312" w:cs="Arial"/>
          <w:color w:val="000000"/>
          <w:sz w:val="32"/>
          <w:szCs w:val="32"/>
        </w:rPr>
        <w:t>预算年度的主要工作任务</w:t>
      </w:r>
    </w:p>
    <w:p>
      <w:pPr>
        <w:pStyle w:val="4"/>
        <w:numPr>
          <w:ilvl w:val="0"/>
          <w:numId w:val="0"/>
        </w:numPr>
        <w:spacing w:before="0" w:beforeAutospacing="0" w:after="0" w:afterAutospacing="0"/>
        <w:rPr>
          <w:rFonts w:hint="eastAsia" w:ascii="仿宋_GB2312" w:hAnsi="ˎ̥" w:eastAsia="仿宋_GB2312" w:cs="Arial"/>
          <w:color w:val="000000"/>
          <w:sz w:val="32"/>
          <w:szCs w:val="32"/>
          <w:lang w:val="en-US" w:eastAsia="zh-CN"/>
        </w:rPr>
      </w:pPr>
      <w:r>
        <w:rPr>
          <w:rFonts w:hint="eastAsia" w:ascii="仿宋_GB2312" w:hAnsi="ˎ̥" w:eastAsia="仿宋_GB2312" w:cs="Arial"/>
          <w:color w:val="000000"/>
          <w:sz w:val="32"/>
          <w:szCs w:val="32"/>
          <w:lang w:val="en-US" w:eastAsia="zh-CN"/>
        </w:rPr>
        <w:t xml:space="preserve">     2018年我局主要工作任务为：强化检验检测能力建设；加强乡镇所规范化建设；加大执法队伍能力建设；开展餐饮业质量安全提升行动；开展“放心肉菜示范超市”创建行动；开展食品“三小”行业治理行动；开展“药械保化”安全护航行动；开展打击违法犯罪“雷霆”行动；加大招商引资力度；优化行政服务方式；加大抽检监测工作；强化风险隐患排查；完善应急管理体系；促进规范执法，推进政务公开；大力实施科普宣传工程；全面做好监管信息发布；强化企业主体责任落实；严抓作风纪律建设；加强机关党建工作；推进精神文明建设。</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永城市食品药品监督管理局</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lang w:eastAsia="zh-CN"/>
        </w:rPr>
        <w:t>永城市</w:t>
      </w:r>
      <w:r>
        <w:rPr>
          <w:rFonts w:hint="eastAsia" w:ascii="仿宋" w:hAnsi="仿宋" w:eastAsia="仿宋" w:cs="仿宋_GB2312"/>
          <w:color w:val="090909"/>
          <w:kern w:val="0"/>
          <w:sz w:val="32"/>
          <w:szCs w:val="32"/>
          <w:lang w:eastAsia="zh-CN"/>
        </w:rPr>
        <w:t>食品药品监督管理局</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永城市食品药品监督管理局2018年度部门预算情况说明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lang w:val="en-US" w:eastAsia="zh-CN"/>
        </w:rPr>
        <w:t>1835.52</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lang w:val="en-US" w:eastAsia="zh-CN"/>
        </w:rPr>
        <w:t>1512.72</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lang w:val="en-US" w:eastAsia="zh-CN"/>
        </w:rPr>
        <w:t>322.80</w:t>
      </w:r>
      <w:r>
        <w:rPr>
          <w:rFonts w:hint="eastAsia" w:ascii="仿宋_GB2312" w:hAnsi="ˎ̥" w:eastAsia="仿宋_GB2312" w:cs="Arial"/>
          <w:color w:val="000000"/>
          <w:sz w:val="32"/>
          <w:szCs w:val="32"/>
        </w:rPr>
        <w:t>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lang w:val="en-US" w:eastAsia="zh-CN"/>
        </w:rPr>
        <w:t>1835.52</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lang w:val="en-US" w:eastAsia="zh-CN"/>
        </w:rPr>
        <w:t>1375.89</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lang w:val="en-US" w:eastAsia="zh-CN"/>
        </w:rPr>
        <w:t>75</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lang w:val="en-US" w:eastAsia="zh-CN"/>
        </w:rPr>
        <w:t>459.63</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lang w:val="en-US" w:eastAsia="zh-CN"/>
        </w:rPr>
        <w:t>25</w:t>
      </w:r>
      <w:r>
        <w:rPr>
          <w:rFonts w:hint="eastAsia" w:ascii="仿宋_GB2312" w:hAnsi="ˎ̥" w:eastAsia="仿宋_GB2312" w:cs="Arial"/>
          <w:color w:val="000000"/>
          <w:sz w:val="32"/>
          <w:szCs w:val="32"/>
        </w:rPr>
        <w:t>%。</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hint="eastAsia" w:ascii="仿宋_GB2312" w:hAnsi="ˎ̥" w:eastAsia="仿宋_GB2312" w:cs="Arial"/>
          <w:color w:val="000000"/>
          <w:sz w:val="32"/>
          <w:szCs w:val="32"/>
          <w:lang w:eastAsia="zh-CN"/>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lang w:val="en-US" w:eastAsia="zh-CN"/>
        </w:rPr>
        <w:t>1512.72</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lang w:val="en-US" w:eastAsia="zh-CN"/>
        </w:rPr>
        <w:t>1512.72</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lang w:val="en-US" w:eastAsia="zh-CN"/>
        </w:rPr>
        <w:t>378.62</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lang w:val="en-US" w:eastAsia="zh-CN"/>
        </w:rPr>
        <w:t>33</w:t>
      </w:r>
      <w:r>
        <w:rPr>
          <w:rFonts w:hint="eastAsia" w:ascii="仿宋_GB2312" w:hAnsi="ˎ̥" w:eastAsia="仿宋_GB2312" w:cs="Arial"/>
          <w:color w:val="000000"/>
          <w:sz w:val="32"/>
          <w:szCs w:val="32"/>
        </w:rPr>
        <w:t>%；主要变化原因</w:t>
      </w:r>
      <w:r>
        <w:rPr>
          <w:rFonts w:hint="eastAsia" w:ascii="仿宋_GB2312" w:hAnsi="ˎ̥" w:eastAsia="仿宋_GB2312" w:cs="Arial"/>
          <w:color w:val="000000"/>
          <w:sz w:val="32"/>
          <w:szCs w:val="32"/>
          <w:lang w:eastAsia="zh-CN"/>
        </w:rPr>
        <w:t>为工资福利支出中新增养老保险金以及工资涨资部分。</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w:t>
      </w:r>
      <w:r>
        <w:rPr>
          <w:rFonts w:hint="eastAsia" w:ascii="仿宋_GB2312" w:hAnsi="ˎ̥" w:eastAsia="仿宋_GB2312" w:cs="Arial"/>
          <w:color w:val="000000"/>
          <w:sz w:val="32"/>
          <w:szCs w:val="32"/>
          <w:lang w:val="en-US" w:eastAsia="zh-CN"/>
        </w:rPr>
        <w:t>1512.72</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lang w:val="en-US" w:eastAsia="zh-CN"/>
        </w:rPr>
        <w:t>1512.72</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lang w:val="en-US" w:eastAsia="zh-CN"/>
        </w:rPr>
        <w:t>378.62</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lang w:val="en-US" w:eastAsia="zh-CN"/>
        </w:rPr>
        <w:t>33</w:t>
      </w:r>
      <w:r>
        <w:rPr>
          <w:rFonts w:hint="eastAsia" w:ascii="仿宋_GB2312" w:hAnsi="ˎ̥" w:eastAsia="仿宋_GB2312" w:cs="Arial"/>
          <w:color w:val="000000"/>
          <w:sz w:val="32"/>
          <w:szCs w:val="32"/>
        </w:rPr>
        <w:t>%。支出按用途划分为：工资福利支出</w:t>
      </w:r>
      <w:r>
        <w:rPr>
          <w:rFonts w:hint="eastAsia" w:ascii="Arial" w:hAnsi="Arial" w:eastAsia="方正小标宋简体" w:cs="Arial"/>
          <w:sz w:val="36"/>
          <w:szCs w:val="36"/>
          <w:lang w:val="en-US" w:eastAsia="zh-CN"/>
        </w:rPr>
        <w:t>1087.51</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lang w:val="en-US" w:eastAsia="zh-CN"/>
        </w:rPr>
        <w:t>71</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lang w:val="en-US" w:eastAsia="zh-CN"/>
        </w:rPr>
        <w:t>412.21</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lang w:val="en-US" w:eastAsia="zh-CN"/>
        </w:rPr>
        <w:t>61</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lang w:val="en-US" w:eastAsia="zh-CN"/>
        </w:rPr>
        <w:t>18.21</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lang w:val="en-US" w:eastAsia="zh-CN"/>
        </w:rPr>
        <w:t>12</w:t>
      </w:r>
      <w:r>
        <w:rPr>
          <w:rFonts w:hint="eastAsia" w:ascii="仿宋_GB2312" w:hAnsi="ˎ̥" w:eastAsia="仿宋_GB2312" w:cs="Arial"/>
          <w:color w:val="000000"/>
          <w:sz w:val="32"/>
          <w:szCs w:val="32"/>
        </w:rPr>
        <w:t>%，比上年</w:t>
      </w:r>
      <w:r>
        <w:rPr>
          <w:rFonts w:hint="eastAsia" w:ascii="仿宋_GB2312" w:hAnsi="ˎ̥" w:eastAsia="仿宋_GB2312" w:cs="Arial"/>
          <w:color w:val="000000"/>
          <w:sz w:val="32"/>
          <w:szCs w:val="32"/>
          <w:lang w:eastAsia="zh-CN"/>
        </w:rPr>
        <w:t>减少</w:t>
      </w:r>
      <w:r>
        <w:rPr>
          <w:rFonts w:hint="eastAsia" w:ascii="Arial" w:hAnsi="Arial" w:eastAsia="方正小标宋简体" w:cs="Arial"/>
          <w:sz w:val="36"/>
          <w:szCs w:val="36"/>
          <w:lang w:val="en-US" w:eastAsia="zh-CN"/>
        </w:rPr>
        <w:t>49.29</w:t>
      </w:r>
      <w:r>
        <w:rPr>
          <w:rFonts w:hint="eastAsia" w:ascii="仿宋_GB2312" w:hAnsi="ˎ̥" w:eastAsia="仿宋_GB2312" w:cs="Arial"/>
          <w:color w:val="000000"/>
          <w:sz w:val="32"/>
          <w:szCs w:val="32"/>
        </w:rPr>
        <w:t>万元，</w:t>
      </w:r>
      <w:r>
        <w:rPr>
          <w:rFonts w:hint="eastAsia" w:ascii="仿宋_GB2312" w:hAnsi="ˎ̥" w:eastAsia="仿宋_GB2312" w:cs="Arial"/>
          <w:color w:val="000000"/>
          <w:sz w:val="32"/>
          <w:szCs w:val="32"/>
          <w:lang w:eastAsia="zh-CN"/>
        </w:rPr>
        <w:t>减少</w:t>
      </w:r>
      <w:r>
        <w:rPr>
          <w:rFonts w:hint="eastAsia" w:ascii="Arial" w:hAnsi="Arial" w:eastAsia="方正小标宋简体" w:cs="Arial"/>
          <w:sz w:val="36"/>
          <w:szCs w:val="36"/>
          <w:lang w:val="en-US" w:eastAsia="zh-CN"/>
        </w:rPr>
        <w:t>73</w:t>
      </w:r>
      <w:r>
        <w:rPr>
          <w:rFonts w:hint="eastAsia" w:ascii="仿宋_GB2312" w:hAnsi="ˎ̥" w:eastAsia="仿宋_GB2312" w:cs="Arial"/>
          <w:color w:val="000000"/>
          <w:sz w:val="32"/>
          <w:szCs w:val="32"/>
        </w:rPr>
        <w:t>%；商品服务支出</w:t>
      </w:r>
      <w:r>
        <w:rPr>
          <w:rFonts w:hint="eastAsia" w:ascii="Arial" w:hAnsi="Arial" w:eastAsia="方正小标宋简体" w:cs="Arial"/>
          <w:sz w:val="36"/>
          <w:szCs w:val="36"/>
          <w:lang w:val="en-US" w:eastAsia="zh-CN"/>
        </w:rPr>
        <w:t>70.17</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lang w:val="en-US" w:eastAsia="zh-CN"/>
        </w:rPr>
        <w:t>5</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lang w:val="en-US" w:eastAsia="zh-CN"/>
        </w:rPr>
        <w:t>21.97</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lang w:val="en-US" w:eastAsia="zh-CN"/>
        </w:rPr>
        <w:t>45</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lang w:val="en-US" w:eastAsia="zh-CN"/>
        </w:rPr>
        <w:t>336.83</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lang w:val="en-US" w:eastAsia="zh-CN"/>
        </w:rPr>
        <w:t>22</w:t>
      </w:r>
      <w:r>
        <w:rPr>
          <w:rFonts w:hint="eastAsia" w:ascii="仿宋_GB2312" w:hAnsi="ˎ̥" w:eastAsia="仿宋_GB2312" w:cs="Arial"/>
          <w:color w:val="000000"/>
          <w:sz w:val="32"/>
          <w:szCs w:val="32"/>
        </w:rPr>
        <w:t>%，比上年</w:t>
      </w:r>
      <w:r>
        <w:rPr>
          <w:rFonts w:hint="eastAsia" w:ascii="仿宋_GB2312" w:hAnsi="ˎ̥" w:eastAsia="仿宋_GB2312" w:cs="Arial"/>
          <w:color w:val="000000"/>
          <w:sz w:val="32"/>
          <w:szCs w:val="32"/>
          <w:lang w:eastAsia="zh-CN"/>
        </w:rPr>
        <w:t>减少</w:t>
      </w:r>
      <w:r>
        <w:rPr>
          <w:rFonts w:hint="eastAsia" w:ascii="仿宋_GB2312" w:hAnsi="ˎ̥" w:eastAsia="仿宋_GB2312" w:cs="Arial"/>
          <w:color w:val="000000"/>
          <w:sz w:val="32"/>
          <w:szCs w:val="32"/>
          <w:lang w:val="en-US" w:eastAsia="zh-CN"/>
        </w:rPr>
        <w:t>6.27</w:t>
      </w:r>
      <w:r>
        <w:rPr>
          <w:rFonts w:hint="eastAsia" w:ascii="仿宋_GB2312" w:hAnsi="ˎ̥" w:eastAsia="仿宋_GB2312" w:cs="Arial"/>
          <w:color w:val="000000"/>
          <w:sz w:val="32"/>
          <w:szCs w:val="32"/>
        </w:rPr>
        <w:t>万元，</w:t>
      </w:r>
      <w:r>
        <w:rPr>
          <w:rFonts w:hint="eastAsia" w:ascii="仿宋_GB2312" w:hAnsi="ˎ̥" w:eastAsia="仿宋_GB2312" w:cs="Arial"/>
          <w:color w:val="000000"/>
          <w:sz w:val="32"/>
          <w:szCs w:val="32"/>
          <w:lang w:eastAsia="zh-CN"/>
        </w:rPr>
        <w:t>减少</w:t>
      </w:r>
      <w:r>
        <w:rPr>
          <w:rFonts w:hint="eastAsia" w:ascii="Arial" w:hAnsi="Arial" w:eastAsia="方正小标宋简体" w:cs="Arial"/>
          <w:sz w:val="36"/>
          <w:szCs w:val="36"/>
          <w:lang w:val="en-US" w:eastAsia="zh-CN"/>
        </w:rPr>
        <w:t>2</w:t>
      </w:r>
      <w:r>
        <w:rPr>
          <w:rFonts w:hint="eastAsia" w:ascii="仿宋_GB2312" w:hAnsi="ˎ̥" w:eastAsia="仿宋_GB2312" w:cs="Arial"/>
          <w:color w:val="000000"/>
          <w:sz w:val="32"/>
          <w:szCs w:val="32"/>
        </w:rPr>
        <w:t>%</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w:t>
      </w:r>
      <w:r>
        <w:rPr>
          <w:rFonts w:hint="eastAsia" w:ascii="仿宋_GB2312" w:hAnsi="ˎ̥" w:eastAsia="仿宋_GB2312" w:cs="Arial"/>
          <w:color w:val="000000"/>
          <w:sz w:val="32"/>
          <w:szCs w:val="32"/>
          <w:lang w:eastAsia="zh-CN"/>
        </w:rPr>
        <w:t>：工资福利支出主要为新增职工养老保险金及职工工资涨资部分，对个人和家庭补助支出减少原因为退休人员工资改为社保机构发放，财政局不再拨付经费，以及住房公积金科目调整；商品和服务支出增加主要原因为新增公务员编制公务交通补助。</w:t>
      </w:r>
    </w:p>
    <w:p>
      <w:pPr>
        <w:pStyle w:val="4"/>
        <w:numPr>
          <w:numId w:val="0"/>
        </w:numPr>
        <w:rPr>
          <w:rFonts w:hint="eastAsia"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numPr>
          <w:ilvl w:val="0"/>
          <w:numId w:val="0"/>
        </w:numPr>
        <w:rPr>
          <w:rFonts w:hint="eastAsia" w:ascii="仿宋_GB2312" w:hAnsi="ˎ̥" w:eastAsia="仿宋_GB2312" w:cs="Arial"/>
          <w:color w:val="000000"/>
          <w:sz w:val="32"/>
          <w:szCs w:val="32"/>
          <w:lang w:val="en-US" w:eastAsia="zh-CN"/>
        </w:rPr>
      </w:pPr>
      <w:r>
        <w:rPr>
          <w:rFonts w:hint="eastAsia" w:ascii="黑体" w:hAnsi="黑体" w:eastAsia="黑体" w:cs="Arial"/>
          <w:color w:val="000000"/>
          <w:sz w:val="32"/>
          <w:szCs w:val="32"/>
          <w:lang w:val="en-US" w:eastAsia="zh-CN"/>
        </w:rPr>
        <w:t xml:space="preserve">    </w:t>
      </w:r>
      <w:r>
        <w:rPr>
          <w:rFonts w:hint="eastAsia" w:ascii="仿宋_GB2312" w:hAnsi="ˎ̥" w:eastAsia="仿宋_GB2312" w:cs="Arial"/>
          <w:color w:val="000000"/>
          <w:sz w:val="32"/>
          <w:szCs w:val="32"/>
          <w:lang w:val="en-US" w:eastAsia="zh-CN"/>
        </w:rPr>
        <w:t>我单位无政府性基金预算收入。</w:t>
      </w:r>
    </w:p>
    <w:p>
      <w:pPr>
        <w:spacing w:line="560" w:lineRule="exac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ind w:firstLine="640" w:firstLineChars="200"/>
        <w:jc w:val="left"/>
        <w:rPr>
          <w:rFonts w:ascii="仿宋_GB2312" w:eastAsia="仿宋_GB2312"/>
          <w:b/>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lang w:val="en-US" w:eastAsia="zh-CN"/>
        </w:rPr>
        <w:t>56</w:t>
      </w:r>
      <w:r>
        <w:rPr>
          <w:rFonts w:hint="eastAsia" w:ascii="仿宋_GB2312" w:eastAsia="仿宋_GB2312"/>
          <w:sz w:val="32"/>
          <w:szCs w:val="32"/>
        </w:rPr>
        <w:t>万元，较上年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5</w:t>
      </w:r>
      <w:r>
        <w:rPr>
          <w:rFonts w:hint="eastAsia" w:ascii="仿宋_GB2312" w:eastAsia="仿宋_GB2312"/>
          <w:sz w:val="32"/>
          <w:szCs w:val="32"/>
        </w:rPr>
        <w:t>%。其中：因公出国(境)费用</w:t>
      </w:r>
      <w:r>
        <w:rPr>
          <w:rFonts w:hint="eastAsia" w:ascii="Arial" w:hAnsi="Arial" w:eastAsia="方正小标宋简体" w:cs="Arial"/>
          <w:sz w:val="36"/>
          <w:szCs w:val="36"/>
          <w:lang w:val="en-US" w:eastAsia="zh-CN"/>
        </w:rPr>
        <w:t>0</w:t>
      </w:r>
      <w:r>
        <w:rPr>
          <w:rFonts w:hint="eastAsia" w:ascii="仿宋_GB2312" w:eastAsia="仿宋_GB2312"/>
          <w:sz w:val="32"/>
          <w:szCs w:val="32"/>
        </w:rPr>
        <w:t>万元，较上年下降</w:t>
      </w:r>
      <w:r>
        <w:rPr>
          <w:rFonts w:hint="eastAsia" w:ascii="仿宋_GB2312" w:eastAsia="仿宋_GB2312"/>
          <w:sz w:val="32"/>
          <w:szCs w:val="32"/>
          <w:lang w:val="en-US" w:eastAsia="zh-CN"/>
        </w:rPr>
        <w:t>100</w:t>
      </w:r>
      <w:r>
        <w:rPr>
          <w:rFonts w:hint="eastAsia" w:ascii="仿宋_GB2312" w:eastAsia="仿宋_GB2312"/>
          <w:sz w:val="32"/>
          <w:szCs w:val="32"/>
        </w:rPr>
        <w:t>%；公务接待费</w:t>
      </w:r>
      <w:r>
        <w:rPr>
          <w:rFonts w:hint="eastAsia" w:ascii="Arial" w:hAnsi="Arial" w:eastAsia="方正小标宋简体" w:cs="Arial"/>
          <w:sz w:val="36"/>
          <w:szCs w:val="36"/>
          <w:lang w:val="en-US" w:eastAsia="zh-CN"/>
        </w:rPr>
        <w:t>0</w:t>
      </w:r>
      <w:r>
        <w:rPr>
          <w:rFonts w:hint="eastAsia" w:ascii="仿宋_GB2312" w:eastAsia="仿宋_GB2312"/>
          <w:sz w:val="32"/>
          <w:szCs w:val="32"/>
        </w:rPr>
        <w:t>万元，较上年下降</w:t>
      </w:r>
      <w:r>
        <w:rPr>
          <w:rFonts w:hint="eastAsia" w:ascii="仿宋_GB2312" w:eastAsia="仿宋_GB2312"/>
          <w:sz w:val="32"/>
          <w:szCs w:val="32"/>
          <w:lang w:val="en-US" w:eastAsia="zh-CN"/>
        </w:rPr>
        <w:t>100</w:t>
      </w:r>
      <w:r>
        <w:rPr>
          <w:rFonts w:hint="eastAsia" w:ascii="仿宋_GB2312" w:eastAsia="仿宋_GB2312"/>
          <w:sz w:val="32"/>
          <w:szCs w:val="32"/>
        </w:rPr>
        <w:t>%；公务用车运行维护费</w:t>
      </w:r>
      <w:r>
        <w:rPr>
          <w:rFonts w:hint="eastAsia" w:ascii="Arial" w:hAnsi="Arial" w:eastAsia="方正小标宋简体" w:cs="Arial"/>
          <w:sz w:val="36"/>
          <w:szCs w:val="36"/>
          <w:lang w:val="en-US" w:eastAsia="zh-CN"/>
        </w:rPr>
        <w:t>56</w:t>
      </w:r>
      <w:r>
        <w:rPr>
          <w:rFonts w:hint="eastAsia" w:ascii="仿宋_GB2312" w:eastAsia="仿宋_GB2312"/>
          <w:sz w:val="32"/>
          <w:szCs w:val="32"/>
        </w:rPr>
        <w:t>万元，较上年</w:t>
      </w:r>
      <w:r>
        <w:rPr>
          <w:rFonts w:hint="eastAsia" w:ascii="仿宋_GB2312" w:eastAsia="仿宋_GB2312"/>
          <w:sz w:val="32"/>
          <w:szCs w:val="32"/>
          <w:lang w:eastAsia="zh-CN"/>
        </w:rPr>
        <w:t>无</w:t>
      </w:r>
      <w:r>
        <w:rPr>
          <w:rFonts w:hint="eastAsia" w:ascii="仿宋_GB2312" w:eastAsia="仿宋_GB2312"/>
          <w:sz w:val="32"/>
          <w:szCs w:val="32"/>
        </w:rPr>
        <w:t>增长；公务用车购置</w:t>
      </w:r>
      <w:r>
        <w:rPr>
          <w:rFonts w:hint="eastAsia" w:ascii="Arial" w:hAnsi="Arial" w:eastAsia="方正小标宋简体" w:cs="Arial"/>
          <w:sz w:val="36"/>
          <w:szCs w:val="36"/>
          <w:lang w:val="en-US" w:eastAsia="zh-CN"/>
        </w:rPr>
        <w:t>0</w:t>
      </w:r>
      <w:r>
        <w:rPr>
          <w:rFonts w:hint="eastAsia" w:ascii="仿宋_GB2312" w:eastAsia="仿宋_GB2312"/>
          <w:sz w:val="32"/>
          <w:szCs w:val="32"/>
        </w:rPr>
        <w:t>万元，较上年下降</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b/>
          <w:sz w:val="32"/>
          <w:szCs w:val="32"/>
        </w:rPr>
        <w:t>主要变化原因：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公车改革实施后，公务用车保有量下降，</w:t>
      </w:r>
      <w:r>
        <w:rPr>
          <w:rFonts w:hint="eastAsia" w:ascii="仿宋_GB2312" w:eastAsia="仿宋_GB2312"/>
          <w:sz w:val="32"/>
          <w:szCs w:val="32"/>
        </w:rPr>
        <w:t>严格公务车辆出行管理，</w:t>
      </w:r>
      <w:r>
        <w:rPr>
          <w:rFonts w:hint="eastAsia" w:ascii="仿宋_GB2312" w:eastAsia="仿宋_GB2312"/>
          <w:sz w:val="32"/>
          <w:szCs w:val="32"/>
          <w:lang w:eastAsia="zh-CN"/>
        </w:rPr>
        <w:t>但因机构改革，职能和人员增加，</w:t>
      </w:r>
      <w:r>
        <w:rPr>
          <w:rFonts w:ascii="仿宋_GB2312" w:eastAsia="仿宋_GB2312"/>
          <w:sz w:val="32"/>
          <w:szCs w:val="32"/>
        </w:rPr>
        <w:t>公务用车运行维护费</w:t>
      </w:r>
      <w:r>
        <w:rPr>
          <w:rFonts w:hint="eastAsia" w:ascii="仿宋_GB2312" w:eastAsia="仿宋_GB2312"/>
          <w:sz w:val="32"/>
          <w:szCs w:val="32"/>
          <w:lang w:eastAsia="zh-CN"/>
        </w:rPr>
        <w:t>与上年预算没有变化</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hint="eastAsia" w:ascii="仿宋_GB2312" w:eastAsia="仿宋_GB2312"/>
          <w:sz w:val="32"/>
          <w:szCs w:val="32"/>
        </w:rPr>
      </w:pPr>
      <w:r>
        <w:rPr>
          <w:rFonts w:hint="eastAsia" w:ascii="仿宋_GB2312" w:eastAsia="仿宋_GB2312"/>
          <w:sz w:val="32"/>
          <w:szCs w:val="32"/>
        </w:rPr>
        <w:t>(一)机关运行经费支出情况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2018年机关运行经费支出预算情况为：办公费13.2万元，印刷费6.3万元，水费0.4万元，电费2.5万元，邮电费1.2万元，物业管理费1.5万元，差旅费10.74万元，培训费1.0万元，工会经费2.67万元，福利费6.67万元，公务用车运行维护费6.0万元，其他交通费用（公务用车补助）18.00万元。</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政府采购支出情况</w:t>
      </w:r>
    </w:p>
    <w:p>
      <w:pPr>
        <w:pStyle w:val="4"/>
        <w:widowControl/>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80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38" w:leftChars="304" w:firstLine="0" w:firstLineChars="0"/>
      </w:pP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（三）重点项目绩效公开（逐步公开）</w:t>
      </w:r>
    </w:p>
    <w:p>
      <w:pPr>
        <w:widowControl/>
        <w:spacing w:before="156" w:beforeLines="50" w:after="156" w:afterLines="50" w:line="432" w:lineRule="auto"/>
        <w:ind w:firstLine="48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永城市食品药品监督管理局2018年预算项目支出共计91.83万元，分别为：食品药品监督管理（含检测费）31.83万元、食品安全示范市创建20万元、名优小吃推介40万元。食品药品监督管理（含检测费）：2018年全年计划抽查检验700余批次食品，以确保人民群众饮食安全；食品安全示范市创建：将继续巩固和扩展食品安全示范市创建成果，加强食品安全质量监管，保障全市人民饮食健康，名优小吃推介：积极推广永城市名优小吃，将永城市名优小吃发扬光大，并加强全市餐饮食品行业监督管理。2018年，我单位将积极推进预算绩效管理工作，不断提高预算绩效管理工作的质量和水平，提高财政资金使用效益，争取预算绩效工作取得较好成效。对项目预算收入资金进行量化分解，设置评价项目目标。在预算执行时严格按照预算项目进行实施，在资金使用过程中进行监督，对照项目目标进行绩效评价。我们将在以下方面努力做好预算绩效管理工作：一是加强项目资金使用过程的全程监控，提高资金使用的规范性和时效性；二是加强绩效评价的沟通汇报工作，将绩效评价作为预算管理和安排以后年度预算的重要依据；三是强化评价结果的应用，发现问题及时改进，加强评价结果与项目资金安排的衔接。同时继续落实贯彻《预算法》，提高财政资金的使用效益，努力提高我单位绩效管理工作水平。</w:t>
      </w:r>
    </w:p>
    <w:p>
      <w:pPr>
        <w:numPr>
          <w:ilvl w:val="0"/>
          <w:numId w:val="3"/>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numPr>
          <w:ilvl w:val="0"/>
          <w:numId w:val="0"/>
        </w:numPr>
        <w:ind w:left="1280" w:leftChars="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rPr>
        <w:rFonts w:hint="eastAsia"/>
      </w:rPr>
    </w:lvl>
  </w:abstractNum>
  <w:abstractNum w:abstractNumId="2">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9F"/>
    <w:rsid w:val="0008416D"/>
    <w:rsid w:val="00537650"/>
    <w:rsid w:val="006549ED"/>
    <w:rsid w:val="006F355A"/>
    <w:rsid w:val="00755988"/>
    <w:rsid w:val="0083385F"/>
    <w:rsid w:val="00845265"/>
    <w:rsid w:val="00B60910"/>
    <w:rsid w:val="00B76482"/>
    <w:rsid w:val="00BC7A38"/>
    <w:rsid w:val="00C1789F"/>
    <w:rsid w:val="00C96031"/>
    <w:rsid w:val="00CC2C0F"/>
    <w:rsid w:val="01D901B8"/>
    <w:rsid w:val="14A81C27"/>
    <w:rsid w:val="1BD15266"/>
    <w:rsid w:val="1E1E3AA8"/>
    <w:rsid w:val="276949FA"/>
    <w:rsid w:val="27960C61"/>
    <w:rsid w:val="30F2122C"/>
    <w:rsid w:val="35A81DCE"/>
    <w:rsid w:val="60DB377A"/>
    <w:rsid w:val="66D037C1"/>
    <w:rsid w:val="74D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264</Words>
  <Characters>1505</Characters>
  <Lines>12</Lines>
  <Paragraphs>3</Paragraphs>
  <TotalTime>0</TotalTime>
  <ScaleCrop>false</ScaleCrop>
  <LinksUpToDate>false</LinksUpToDate>
  <CharactersWithSpaces>1766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cp:lastPrinted>2018-04-20T01:31:00Z</cp:lastPrinted>
  <dcterms:modified xsi:type="dcterms:W3CDTF">2019-03-04T00:32:56Z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