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中国共产党永城市委员会统战部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中国共产党永城市委员会统战部单位概况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中国共产党永城市委员会统战部2018年度部门预算情况说明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附件：中国共产党永城市委员会统战部2018年度部门预算表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中国共产党永城市委员会统战部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中国共产党永城市委员会统战部单位概况</w:t>
      </w:r>
    </w:p>
    <w:p>
      <w:pPr>
        <w:spacing w:line="520" w:lineRule="exact"/>
        <w:ind w:left="105" w:leftChars="5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（一）部门基本情况</w:t>
      </w:r>
    </w:p>
    <w:p>
      <w:pPr>
        <w:spacing w:line="520" w:lineRule="exact"/>
        <w:ind w:left="105" w:leftChars="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城市委统战部是市委重要组成部门之一，下设办公室、理论宣传科、党外干部科、经济联络科，单位实有人数24人，公务用车1辆。单位主要任务负责党外人士安排、联系非公有制经济、侨、台、民族宗教、统一战线各项工作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统战部（含台办）编制13名，其中行政编制10名，事业编制3名，在职财政供给18人，离退休人员13人，其中离休2人。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中国共产党永城市委员会统战部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中国共产党永城市委员会统战部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中国共产党永城市委员会统战部2018年度部门预算情况说明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仿宋" w:hAnsi="仿宋" w:eastAsia="仿宋" w:cs="Arial"/>
          <w:sz w:val="32"/>
          <w:szCs w:val="32"/>
        </w:rPr>
        <w:t>265.78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万元。其中，一般公共预算265.78万元，部门财政性资金结转0万元。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2018年支出合计</w:t>
      </w:r>
      <w:r>
        <w:rPr>
          <w:rFonts w:hint="eastAsia" w:ascii="仿宋" w:hAnsi="仿宋" w:eastAsia="仿宋" w:cs="Arial"/>
          <w:sz w:val="36"/>
          <w:szCs w:val="36"/>
        </w:rPr>
        <w:t>265.78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Arial"/>
          <w:sz w:val="36"/>
          <w:szCs w:val="36"/>
        </w:rPr>
        <w:t>204.78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Arial"/>
          <w:sz w:val="36"/>
          <w:szCs w:val="36"/>
        </w:rPr>
        <w:t>77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Arial"/>
          <w:sz w:val="36"/>
          <w:szCs w:val="36"/>
        </w:rPr>
        <w:t>61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Arial"/>
          <w:sz w:val="36"/>
          <w:szCs w:val="36"/>
        </w:rPr>
        <w:t>23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265.78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265.78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</w:t>
      </w:r>
      <w:r>
        <w:rPr>
          <w:rFonts w:hint="eastAsia" w:ascii="Arial" w:hAnsi="Arial" w:eastAsia="方正小标宋简体" w:cs="Arial"/>
          <w:sz w:val="36"/>
          <w:szCs w:val="36"/>
        </w:rPr>
        <w:t>5.49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%。主要变化原因：退休人员工资转社保代发。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265.78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265.78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</w:t>
      </w:r>
      <w:r>
        <w:rPr>
          <w:rFonts w:hint="eastAsia" w:ascii="Arial" w:hAnsi="Arial" w:eastAsia="方正小标宋简体" w:cs="Arial"/>
          <w:sz w:val="36"/>
          <w:szCs w:val="36"/>
        </w:rPr>
        <w:t>5.49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163.53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61.5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41.6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33.5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15.34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5.7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sz w:val="36"/>
          <w:szCs w:val="36"/>
        </w:rPr>
        <w:t>58.65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79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25.91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9.7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8.56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49.34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61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22.9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8.93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主要变化原因：退休人员工资转社保代发。</w:t>
      </w: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%。其中：因公出国(境)费用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%；公务接待费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%；公务用车购置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b/>
          <w:sz w:val="32"/>
          <w:szCs w:val="32"/>
        </w:rPr>
        <w:t>主要变化原因：无增减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商品和服务支出共计25.91万元。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其中：1、办公费9.58万元。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2、印刷费5.2万元。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3、水费0.8万元。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4、邮电费0.99万元。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5、差旅费3.2万元。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6、维修（护）费1.1万元。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7、会议费3.15万元。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8、工会经费0.54万元。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9、福利费1.35万元。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第三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部分</w:t>
      </w:r>
      <w:r>
        <w:rPr>
          <w:rFonts w:hint="eastAsia" w:ascii="黑体" w:hAnsi="黑体" w:eastAsia="黑体"/>
          <w:sz w:val="32"/>
          <w:szCs w:val="32"/>
        </w:rPr>
        <w:t>、专业性较强的名词解释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1411F"/>
    <w:rsid w:val="00047D48"/>
    <w:rsid w:val="0008416D"/>
    <w:rsid w:val="000E4B24"/>
    <w:rsid w:val="00120AA2"/>
    <w:rsid w:val="001560C8"/>
    <w:rsid w:val="00174336"/>
    <w:rsid w:val="0029790C"/>
    <w:rsid w:val="00352E1A"/>
    <w:rsid w:val="00374963"/>
    <w:rsid w:val="003F4D69"/>
    <w:rsid w:val="00425F0E"/>
    <w:rsid w:val="00436390"/>
    <w:rsid w:val="004C3A78"/>
    <w:rsid w:val="004E34C1"/>
    <w:rsid w:val="00537650"/>
    <w:rsid w:val="005D230A"/>
    <w:rsid w:val="005F3642"/>
    <w:rsid w:val="006549ED"/>
    <w:rsid w:val="00655707"/>
    <w:rsid w:val="00693BF3"/>
    <w:rsid w:val="006E1A0D"/>
    <w:rsid w:val="006F355A"/>
    <w:rsid w:val="00755988"/>
    <w:rsid w:val="008021CF"/>
    <w:rsid w:val="0083385F"/>
    <w:rsid w:val="00845265"/>
    <w:rsid w:val="00A06A45"/>
    <w:rsid w:val="00AE0EAE"/>
    <w:rsid w:val="00B11BDC"/>
    <w:rsid w:val="00B60910"/>
    <w:rsid w:val="00B76482"/>
    <w:rsid w:val="00BC152F"/>
    <w:rsid w:val="00BC7A38"/>
    <w:rsid w:val="00BF1838"/>
    <w:rsid w:val="00C01100"/>
    <w:rsid w:val="00C051DE"/>
    <w:rsid w:val="00C1789F"/>
    <w:rsid w:val="00C96031"/>
    <w:rsid w:val="00CC2C0F"/>
    <w:rsid w:val="00D16185"/>
    <w:rsid w:val="00D236C0"/>
    <w:rsid w:val="00D531B7"/>
    <w:rsid w:val="00D95C0E"/>
    <w:rsid w:val="00DD2120"/>
    <w:rsid w:val="00EB4F70"/>
    <w:rsid w:val="00EC6A0C"/>
    <w:rsid w:val="00F551C5"/>
    <w:rsid w:val="00F55BF3"/>
    <w:rsid w:val="4B263A82"/>
    <w:rsid w:val="5D8D5D87"/>
    <w:rsid w:val="7F9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309</Words>
  <Characters>1767</Characters>
  <Lines>14</Lines>
  <Paragraphs>4</Paragraphs>
  <TotalTime>1</TotalTime>
  <ScaleCrop>false</ScaleCrop>
  <LinksUpToDate>false</LinksUpToDate>
  <CharactersWithSpaces>2072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2019-03-01T09:26:51Z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