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Arial" w:hAnsi="Arial" w:eastAsia="方正小标宋简体"/>
          <w:bCs/>
          <w:sz w:val="36"/>
          <w:szCs w:val="36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</w:pPr>
      <w:r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  <w:t>永城市</w:t>
      </w:r>
      <w:r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  <w:t>水利局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永城市水利局单位概况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永城市水利局2018年度部门预算情况说明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附件：永城市水利局2018年度部门预算表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永城市水利局2018年预算基本情况说明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永城市水利局单位概况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　(一)部门主要职责和机构设置情况：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永城市水利局设有六个内设机构和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个二级机构。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职能：贯彻执行国家、省有关水行政管理方针政策和法律法规，拟定有关规范性文件，负责保障水资源的合理开发利用，拟定全市水利战略规划和政策，起草有关规范性文件并监督实施；组织编制河湖库的防洪规划和流域、区域综合规划，负责提出水利固定资产投资规模和方向以及国家、省及市财政性资金安排的建议并组织实施。负责生活、生产经营和生态环境用水的统筹兼顾和保障。负责节约用水工作，指导水利行业供水和乡镇供水工作，发布水资源公报。组织、指导水利设施、市管河道水域及其岸线的管理与保护，指导水利工程建设与运行管理，承担水利工程移民管理工作，组织协调农田水利基本建设，指导农村饮水安全、节水灌溉等工程建设与管理工作，承办人民政府和省水利厅交办的其他事项。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实际在职人员653人，公务用车1辆。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财政供给人员情况：我局现有在职财供人员176人，离休人员3人，退休人员121人，享受遗属补助人员72人，享受伤残补助人员2人。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1280" w:firstLineChars="4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预算年度的主要工作任务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　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</w:rPr>
        <w:t>　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今年主要工作任务是：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、加强水资源的优化配置和统一调度，规范取水许可制度，合理配置水资源，加强生态水系建 设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Calibri" w:hAnsi="Calibri" w:eastAsia="微软雅黑" w:cs="Calibri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、加大灌区续建配套与高效节水改造项目投入力度，恢复 改善灌溉面积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Calibri" w:hAnsi="Calibri" w:eastAsia="微软雅黑" w:cs="Calibri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、完成小型农田水利重点县项目年度建设任务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Calibri" w:hAnsi="Calibri" w:eastAsia="微软雅黑" w:cs="Calibri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、夯实水利基础设施，汛前完成堤防工程主休工程建议设任务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Calibri" w:hAnsi="Calibri" w:eastAsia="微软雅黑" w:cs="Calibri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严格落实各项防汛制度和措施，确保防汛责任制、防汛物资、抢险队伍，防汛预案，应急工程建设、防汛调度等到位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Calibri" w:hAnsi="Calibri" w:eastAsia="微软雅黑" w:cs="Calibri"/>
          <w:color w:val="000000"/>
          <w:sz w:val="32"/>
          <w:szCs w:val="32"/>
          <w:shd w:val="clear" w:color="auto" w:fill="FFFFFF"/>
        </w:rPr>
        <w:t>6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、加大农村人畜饮水项目的建设，确保人畜饮水的安全。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7.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全面深化河长制，充分发挥市河长办的职能，牵头抓好全市河湖政治工作。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  <w:t>（三）部门预算单位构成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永城市水利局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永城市水利局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以及水利工程管理处、水政水资办、节水办、水政监察大队、设计队、灌溉技术指导站、水产技术推广站七个二级机构的预算。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永城市水利局2018年度部门预算情况说明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</w:t>
      </w:r>
      <w:r>
        <w:rPr>
          <w:rFonts w:hint="eastAsia" w:ascii="Arial" w:hAnsi="Arial" w:eastAsia="方正小标宋简体" w:cs="Arial"/>
          <w:sz w:val="36"/>
          <w:szCs w:val="36"/>
        </w:rPr>
        <w:t>2375.57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万元，其中，一般公共预算</w:t>
      </w:r>
      <w:r>
        <w:rPr>
          <w:rFonts w:hint="eastAsia" w:ascii="Arial" w:hAnsi="Arial" w:eastAsia="方正小标宋简体" w:cs="Arial"/>
          <w:sz w:val="36"/>
          <w:szCs w:val="36"/>
        </w:rPr>
        <w:t>2375.57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2018年支出合计</w:t>
      </w:r>
      <w:r>
        <w:rPr>
          <w:rFonts w:hint="eastAsia" w:ascii="Arial" w:hAnsi="Arial" w:eastAsia="方正小标宋简体" w:cs="Arial"/>
          <w:sz w:val="36"/>
          <w:szCs w:val="36"/>
        </w:rPr>
        <w:t>2375.57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万元，其中：基本支出</w:t>
      </w:r>
      <w:r>
        <w:rPr>
          <w:rFonts w:hint="eastAsia" w:ascii="Arial" w:hAnsi="Arial" w:eastAsia="方正小标宋简体" w:cs="Arial"/>
          <w:sz w:val="36"/>
          <w:szCs w:val="36"/>
        </w:rPr>
        <w:t>1098.99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46.26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6"/>
          <w:szCs w:val="36"/>
        </w:rPr>
        <w:t>1276.58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53.74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</w:t>
      </w:r>
      <w:r>
        <w:rPr>
          <w:rFonts w:hint="eastAsia" w:ascii="Arial" w:hAnsi="Arial" w:eastAsia="方正小标宋简体" w:cs="Arial"/>
          <w:sz w:val="36"/>
          <w:szCs w:val="36"/>
        </w:rPr>
        <w:t>2375.57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</w:t>
      </w:r>
      <w:r>
        <w:rPr>
          <w:rFonts w:hint="eastAsia" w:ascii="Arial" w:hAnsi="Arial" w:eastAsia="方正小标宋简体" w:cs="Arial"/>
          <w:sz w:val="36"/>
          <w:szCs w:val="36"/>
        </w:rPr>
        <w:t>2375.57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万元，比上年减少</w:t>
      </w:r>
      <w:r>
        <w:rPr>
          <w:rFonts w:hint="eastAsia" w:ascii="Arial" w:hAnsi="Arial" w:eastAsia="方正小标宋简体" w:cs="Arial"/>
          <w:sz w:val="36"/>
          <w:szCs w:val="36"/>
        </w:rPr>
        <w:t>36.06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万元，减少</w:t>
      </w:r>
      <w:r>
        <w:rPr>
          <w:rFonts w:hint="eastAsia" w:ascii="Arial" w:hAnsi="Arial" w:eastAsia="方正小标宋简体" w:cs="Arial"/>
          <w:sz w:val="36"/>
          <w:szCs w:val="36"/>
        </w:rPr>
        <w:t>1.5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%。主要变化原因：政策因素调整导致人员经费的变动及项目实施费用的变动。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b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</w:t>
      </w:r>
      <w:r>
        <w:rPr>
          <w:rFonts w:hint="eastAsia" w:ascii="Arial" w:hAnsi="Arial" w:eastAsia="方正小标宋简体" w:cs="Arial"/>
          <w:sz w:val="36"/>
          <w:szCs w:val="36"/>
        </w:rPr>
        <w:t>2375.57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万元，其中财政拨款支出</w:t>
      </w:r>
      <w:r>
        <w:rPr>
          <w:rFonts w:hint="eastAsia" w:ascii="Arial" w:hAnsi="Arial" w:eastAsia="方正小标宋简体" w:cs="Arial"/>
          <w:sz w:val="36"/>
          <w:szCs w:val="36"/>
        </w:rPr>
        <w:t>2375.57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万元，比上年减少</w:t>
      </w:r>
      <w:r>
        <w:rPr>
          <w:rFonts w:hint="eastAsia" w:ascii="Arial" w:hAnsi="Arial" w:eastAsia="方正小标宋简体" w:cs="Arial"/>
          <w:sz w:val="36"/>
          <w:szCs w:val="36"/>
        </w:rPr>
        <w:t>36.06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万元，减少</w:t>
      </w:r>
      <w:r>
        <w:rPr>
          <w:rFonts w:hint="eastAsia" w:ascii="Arial" w:hAnsi="Arial" w:eastAsia="方正小标宋简体" w:cs="Arial"/>
          <w:sz w:val="36"/>
          <w:szCs w:val="36"/>
        </w:rPr>
        <w:t>1.5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%。支出按用途划分为：工资福利支出</w:t>
      </w:r>
      <w:r>
        <w:rPr>
          <w:rFonts w:hint="eastAsia" w:ascii="Arial" w:hAnsi="Arial" w:eastAsia="方正小标宋简体" w:cs="Arial"/>
          <w:sz w:val="36"/>
          <w:szCs w:val="36"/>
        </w:rPr>
        <w:t>949.16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40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327.54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52.69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%；对个人和家庭的补助</w:t>
      </w:r>
      <w:r>
        <w:rPr>
          <w:rFonts w:hint="eastAsia" w:ascii="Arial" w:hAnsi="Arial" w:eastAsia="方正小标宋简体" w:cs="Arial"/>
          <w:sz w:val="36"/>
          <w:szCs w:val="36"/>
        </w:rPr>
        <w:t>84.91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3.6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%，比上年减少</w:t>
      </w:r>
      <w:r>
        <w:rPr>
          <w:rFonts w:hint="eastAsia" w:ascii="Arial" w:hAnsi="Arial" w:eastAsia="方正小标宋简体" w:cs="Arial"/>
          <w:sz w:val="36"/>
          <w:szCs w:val="36"/>
        </w:rPr>
        <w:t>416.27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万元，减少</w:t>
      </w:r>
      <w:r>
        <w:rPr>
          <w:rFonts w:hint="eastAsia" w:ascii="Arial" w:hAnsi="Arial" w:eastAsia="方正小标宋简体" w:cs="Arial"/>
          <w:sz w:val="36"/>
          <w:szCs w:val="36"/>
        </w:rPr>
        <w:t>83.06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%；商品服务支出</w:t>
      </w:r>
      <w:r>
        <w:rPr>
          <w:rFonts w:hint="eastAsia" w:ascii="Arial" w:hAnsi="Arial" w:eastAsia="方正小标宋简体" w:cs="Arial"/>
          <w:sz w:val="36"/>
          <w:szCs w:val="36"/>
        </w:rPr>
        <w:t>64.92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2.73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22.99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54.83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6"/>
          <w:szCs w:val="36"/>
        </w:rPr>
        <w:t>1276.58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53.74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29.68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2.38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</w:t>
      </w:r>
      <w:r>
        <w:rPr>
          <w:rFonts w:ascii="仿宋_GB2312" w:hAnsi="ˎ̥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主要变化原因：政策因素调整导致人员经费的变动及项目实施费用的变动。</w:t>
      </w:r>
    </w:p>
    <w:p>
      <w:pPr>
        <w:pStyle w:val="4"/>
        <w:ind w:firstLine="640" w:firstLineChars="200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本单位2018年度无政府性基金预算支出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</w:t>
      </w:r>
      <w:r>
        <w:rPr>
          <w:rFonts w:hint="eastAsia" w:ascii="Arial" w:hAnsi="Arial" w:eastAsia="方正小标宋简体" w:cs="Arial"/>
          <w:sz w:val="36"/>
          <w:szCs w:val="36"/>
        </w:rPr>
        <w:t>5.42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hint="eastAsia" w:ascii="Arial" w:hAnsi="Arial" w:eastAsia="方正小标宋简体" w:cs="Arial"/>
          <w:sz w:val="36"/>
          <w:szCs w:val="36"/>
        </w:rPr>
        <w:t>0.18</w:t>
      </w:r>
      <w:r>
        <w:rPr>
          <w:rFonts w:hint="eastAsia" w:ascii="仿宋_GB2312" w:eastAsia="仿宋_GB2312"/>
          <w:sz w:val="32"/>
          <w:szCs w:val="32"/>
        </w:rPr>
        <w:t>%。其中：公务用车运行维护费</w:t>
      </w:r>
      <w:r>
        <w:rPr>
          <w:rFonts w:hint="eastAsia" w:ascii="Arial" w:hAnsi="Arial" w:eastAsia="方正小标宋简体" w:cs="Arial"/>
          <w:sz w:val="36"/>
          <w:szCs w:val="36"/>
        </w:rPr>
        <w:t>5.42</w:t>
      </w:r>
      <w:r>
        <w:rPr>
          <w:rFonts w:hint="eastAsia" w:ascii="仿宋_GB2312" w:eastAsia="仿宋_GB2312"/>
          <w:sz w:val="32"/>
          <w:szCs w:val="32"/>
        </w:rPr>
        <w:t>万元，较上年下降0.18%。</w:t>
      </w:r>
      <w:r>
        <w:rPr>
          <w:rFonts w:hint="eastAsia" w:ascii="仿宋_GB2312" w:eastAsia="仿宋_GB2312"/>
          <w:b/>
          <w:sz w:val="32"/>
          <w:szCs w:val="32"/>
        </w:rPr>
        <w:t>主要变化原因：</w:t>
      </w:r>
      <w:r>
        <w:rPr>
          <w:rFonts w:ascii="仿宋_GB2312" w:eastAsia="仿宋_GB2312"/>
          <w:sz w:val="32"/>
          <w:szCs w:val="32"/>
        </w:rPr>
        <w:t>严格执行《党政机关国内公务接待管理规定》等办法，</w:t>
      </w:r>
      <w:r>
        <w:rPr>
          <w:rFonts w:hint="eastAsia" w:ascii="仿宋_GB2312" w:eastAsia="仿宋_GB2312"/>
          <w:sz w:val="32"/>
          <w:szCs w:val="32"/>
        </w:rPr>
        <w:t>坚持</w:t>
      </w:r>
      <w:r>
        <w:rPr>
          <w:rFonts w:ascii="仿宋_GB2312" w:eastAsia="仿宋_GB2312"/>
          <w:sz w:val="32"/>
          <w:szCs w:val="32"/>
        </w:rPr>
        <w:t>厉行勤俭节约，不断压缩公务接待费支出</w:t>
      </w:r>
      <w:r>
        <w:rPr>
          <w:rFonts w:hint="eastAsia" w:ascii="仿宋_GB2312" w:eastAsia="仿宋_GB2312"/>
          <w:sz w:val="32"/>
          <w:szCs w:val="32"/>
        </w:rPr>
        <w:t>;</w:t>
      </w:r>
      <w:r>
        <w:rPr>
          <w:rFonts w:ascii="仿宋_GB2312" w:eastAsia="仿宋_GB2312"/>
          <w:sz w:val="32"/>
          <w:szCs w:val="32"/>
        </w:rPr>
        <w:t xml:space="preserve"> 公车改革实施后，公务用车保有量下降，</w:t>
      </w:r>
      <w:r>
        <w:rPr>
          <w:rFonts w:hint="eastAsia" w:ascii="仿宋_GB2312" w:eastAsia="仿宋_GB2312"/>
          <w:sz w:val="32"/>
          <w:szCs w:val="32"/>
        </w:rPr>
        <w:t>严格公务车辆出行管理，</w:t>
      </w:r>
      <w:r>
        <w:rPr>
          <w:rFonts w:ascii="仿宋_GB2312" w:eastAsia="仿宋_GB2312"/>
          <w:sz w:val="32"/>
          <w:szCs w:val="32"/>
        </w:rPr>
        <w:t>公务用车运行维护费降低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(一)机关运行经费支出情况：</w:t>
      </w:r>
    </w:p>
    <w:p>
      <w:pPr>
        <w:numPr>
          <w:ilvl w:val="0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员经费1034.07万元。主要包括：基本工资490.59万元、津补贴218.14万元、奖金10.08万元、基本养老保险缴费141.75万元、职工基本医疗保险缴费37.89万元、住房公积金50.71万元、离休费27.61万元、退休费3.5万元、生活补助42.29万元、其他对个人和家庭补助11.51万元。</w:t>
      </w:r>
    </w:p>
    <w:p>
      <w:pPr>
        <w:numPr>
          <w:ilvl w:val="0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公用经费64.92万元。主要包括：办公费15.62万元、印刷费1.0万元、水费1.85万元、电费6.80万元、邮电费1.0万元、差旅费13.9万元、工会经费3.38万元、福利费8.45万元、公务用车运行维护费5.42万元。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政府采购支出情况</w:t>
      </w:r>
    </w:p>
    <w:p>
      <w:pPr>
        <w:pStyle w:val="4"/>
        <w:widowControl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货物类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,政府采购工程类0万元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重点项目预算绩效目标（逐步公开)</w:t>
      </w:r>
    </w:p>
    <w:p>
      <w:pPr>
        <w:keepNext w:val="0"/>
        <w:keepLines w:val="0"/>
        <w:widowControl/>
        <w:suppressLineNumbers w:val="0"/>
        <w:spacing w:before="158" w:beforeAutospacing="0" w:after="158" w:afterAutospacing="0" w:line="60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永城市水利局2018年预算项目支出共计16万元，分别为：红旗渠精神杯竞赛项目、水产技术推广项目。其中，红旗渠精神杯竞赛项目10万元，对农田水利基本建设，中小河流综合整治老旧损毁供水管网进行维修，使得水利设施得到完善，改善了农民的生产生活条件，提升了人民满意度。水产技术推广项目6万元，对全市水产品养殖，改善水生态平衡，促进水产品健康发展，为永城市社会经济发展提供了有力保障。    </w:t>
      </w:r>
    </w:p>
    <w:p>
      <w:pPr>
        <w:keepNext w:val="0"/>
        <w:keepLines w:val="0"/>
        <w:widowControl/>
        <w:suppressLineNumbers w:val="0"/>
        <w:spacing w:before="158" w:beforeAutospacing="0" w:after="158" w:afterAutospacing="0" w:line="600" w:lineRule="atLeast"/>
        <w:ind w:left="0" w:right="0" w:firstLine="35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2018年，我单位将积极推进预算绩效管理工作，在预算执行时严格按照预算项目进行实施，在资金使用过程中进行监督，对照项目目标进行绩效评价。我们将在以下方面努力做好预算绩效管理工作：一是加强项目资金使用过程的全程监控，提高资金使用的规范性和时效性；二是加强绩效评价的沟通汇报工作，将绩效评价作为预算管理和安排以后年度预算的重要依据；三是强化评价结果的应用，发现问题及时改进，加强评价结果与项目资金安排的衔接。同时继续落实贯彻《预算法》，提高财政资金的使用效益，努力提高我单位绩效管理工作水平。</w:t>
      </w:r>
    </w:p>
    <w:p>
      <w:pPr>
        <w:numPr>
          <w:ilvl w:val="0"/>
          <w:numId w:val="3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keepNext w:val="0"/>
        <w:keepLines w:val="0"/>
        <w:widowControl/>
        <w:suppressLineNumbers w:val="0"/>
        <w:spacing w:before="158" w:beforeAutospacing="0" w:after="158" w:afterAutospacing="0" w:line="600" w:lineRule="atLeast"/>
        <w:ind w:left="0" w:right="0" w:firstLine="35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10"/>
        <w:spacing w:line="360" w:lineRule="auto"/>
        <w:ind w:left="42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宋体" w:eastAsia="黑体"/>
          <w:sz w:val="32"/>
          <w:szCs w:val="32"/>
          <w:lang w:eastAsia="zh-CN"/>
        </w:rPr>
        <w:t>第三部分</w:t>
      </w:r>
      <w:r>
        <w:rPr>
          <w:rFonts w:hint="eastAsia" w:ascii="宋体" w:eastAsia="黑体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专业性较强的名词解释</w:t>
      </w:r>
    </w:p>
    <w:p>
      <w:pPr>
        <w:pStyle w:val="10"/>
        <w:spacing w:line="360" w:lineRule="auto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pStyle w:val="10"/>
        <w:spacing w:line="360" w:lineRule="auto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pStyle w:val="10"/>
        <w:spacing w:line="360" w:lineRule="auto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spacing w:line="360" w:lineRule="auto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pStyle w:val="10"/>
        <w:spacing w:line="360" w:lineRule="auto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pStyle w:val="10"/>
        <w:spacing w:line="360" w:lineRule="auto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pStyle w:val="10"/>
        <w:spacing w:line="360" w:lineRule="auto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pStyle w:val="10"/>
        <w:spacing w:line="360" w:lineRule="auto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pStyle w:val="10"/>
        <w:spacing w:line="360" w:lineRule="auto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pacing w:line="360" w:lineRule="auto"/>
        <w:rPr>
          <w:rFonts w:ascii="宋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tabs>
          <w:tab w:val="left" w:pos="312"/>
        </w:tabs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40"/>
          <w:szCs w:val="4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rPr>
          <w:rFonts w:ascii="仿宋_GB2312" w:eastAsia="仿宋_GB2312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9F"/>
    <w:rsid w:val="0008416D"/>
    <w:rsid w:val="00537650"/>
    <w:rsid w:val="006549ED"/>
    <w:rsid w:val="0065657F"/>
    <w:rsid w:val="006F355A"/>
    <w:rsid w:val="00755988"/>
    <w:rsid w:val="0083385F"/>
    <w:rsid w:val="00845265"/>
    <w:rsid w:val="00B60910"/>
    <w:rsid w:val="00B76482"/>
    <w:rsid w:val="00BC7A38"/>
    <w:rsid w:val="00C1789F"/>
    <w:rsid w:val="00C96031"/>
    <w:rsid w:val="00CC2C0F"/>
    <w:rsid w:val="00F16F65"/>
    <w:rsid w:val="00F24DD0"/>
    <w:rsid w:val="084850AA"/>
    <w:rsid w:val="2DAD18F2"/>
    <w:rsid w:val="33F10D44"/>
    <w:rsid w:val="3CC31ABC"/>
    <w:rsid w:val="40D250C3"/>
    <w:rsid w:val="47C92F94"/>
    <w:rsid w:val="57E53C82"/>
    <w:rsid w:val="6B5B2279"/>
    <w:rsid w:val="71CB11AF"/>
    <w:rsid w:val="72CA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418</Words>
  <Characters>2387</Characters>
  <Lines>19</Lines>
  <Paragraphs>5</Paragraphs>
  <TotalTime>1</TotalTime>
  <ScaleCrop>false</ScaleCrop>
  <LinksUpToDate>false</LinksUpToDate>
  <CharactersWithSpaces>2800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cp:lastPrinted>2018-04-13T08:36:00Z</cp:lastPrinted>
  <dcterms:modified xsi:type="dcterms:W3CDTF">2019-03-04T00:16:52Z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