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Arial" w:hAnsi="Arial" w:eastAsia="方正小标宋简体"/>
          <w:bCs/>
          <w:sz w:val="36"/>
          <w:szCs w:val="36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</w:pPr>
      <w:r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</w:rPr>
        <w:t>永城市</w:t>
      </w:r>
      <w:r>
        <w:rPr>
          <w:rStyle w:val="6"/>
          <w:rFonts w:hint="eastAsia" w:asciiTheme="majorEastAsia" w:hAnsiTheme="majorEastAsia" w:eastAsiaTheme="majorEastAsia"/>
          <w:color w:val="000000"/>
          <w:kern w:val="0"/>
          <w:sz w:val="52"/>
          <w:szCs w:val="52"/>
          <w:lang w:eastAsia="zh-CN"/>
        </w:rPr>
        <w:t>司法局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  <w:lang w:val="en-US" w:eastAsia="zh-CN"/>
        </w:rPr>
        <w:t>2018年1月20日</w:t>
      </w: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center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b/>
          <w:bCs/>
          <w:sz w:val="48"/>
          <w:szCs w:val="48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240" w:leftChars="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永城市司法局单位概况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一、部门机构设置、职能、年度工作任务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420"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永城市司法局2018年度部门预算情况说明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第三部分 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附件：永城市司法局2018年度部门预算表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部门收入总体情况表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部门支出总体情况表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一般公共预算基本支出经济分类情况表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财政拨款收支总体情况表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财政拨款支出情况表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ind w:left="555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政府性基金支出情况表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永城市司法局</w:t>
      </w:r>
      <w:r>
        <w:rPr>
          <w:rFonts w:hint="eastAsia" w:ascii="宋体" w:hAnsi="宋体" w:eastAsia="宋体" w:cs="宋体"/>
          <w:sz w:val="44"/>
          <w:szCs w:val="44"/>
        </w:rPr>
        <w:t>2018年预算基本情况说明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第一部分  永城市司法局单位概况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（一）基本情况：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/>
        <w:textAlignment w:val="auto"/>
        <w:outlineLvl w:val="9"/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永城市司法局为市政府工作部门，内设办公室、法制科、法制宣传科、律师工作指导科、基层工作指导科（刑释解教管理科）、司法鉴定管理科、法律援助工作科、计财装备科、政治部（警务督察大队）、永城市公证处、社区矫正执法大队（社区矫正管理中心）11个科室，29个乡镇司法所为司法局的派出机构，一个事业单位法律援助中心，其主要职责是：</w:t>
      </w:r>
    </w:p>
    <w:p>
      <w:pPr>
        <w:widowControl w:val="0"/>
        <w:numPr>
          <w:ilvl w:val="0"/>
          <w:numId w:val="0"/>
        </w:numPr>
        <w:shd w:val="solid" w:color="FFFFFF" w:fill="auto"/>
        <w:wordWrap/>
        <w:autoSpaceDN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认真贯彻落实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中央、河南省和永城市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关于司法行政工作的方针、政策、法律、法规，制订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永城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市司法行政工作的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中长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期规划、年度计划并组织实施。</w:t>
      </w:r>
    </w:p>
    <w:p>
      <w:pPr>
        <w:widowControl w:val="0"/>
        <w:numPr>
          <w:ilvl w:val="0"/>
          <w:numId w:val="0"/>
        </w:numPr>
        <w:shd w:val="solid" w:color="FFFFFF" w:fill="auto"/>
        <w:wordWrap/>
        <w:autoSpaceDN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研究制订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全市法治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宣传教育工作的总体规划，组织、指导、协调全市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法治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宣传教育工作。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管理、指导司法所工作、人民调解工作、基层法律服务工作。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管理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全市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的律师事务所，指导和监督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全市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的律师和法律顾问工作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负责监督、指导全市的法律援助工作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负责监督、指导全市的公证工作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7、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负责全市司法鉴定人和司法鉴定机构登记审核和管理工作，监督指导全市面向社会的司法鉴定工作。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8、负责社区矫正工作，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被判处管制、宣告缓刑、假释或者暂予监外执行的罪犯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，实行监督管理教育。</w:t>
      </w:r>
    </w:p>
    <w:p>
      <w:pPr>
        <w:widowControl w:val="0"/>
        <w:numPr>
          <w:ilvl w:val="0"/>
          <w:numId w:val="0"/>
        </w:numPr>
        <w:shd w:val="solid" w:color="FFFFFF" w:fill="auto"/>
        <w:wordWrap/>
        <w:autoSpaceDN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9、负责安置帮教工作，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对刑满释放、解除矫正人员进行引导、扶助、教育、管理。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10、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负责全市司法行政队伍建设和思想作风、工作作风建设。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val="en-US" w:eastAsia="zh-CN" w:bidi="ar-SA"/>
        </w:rPr>
        <w:t>（二）部门预算单位构成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  <w:lang w:eastAsia="zh-CN"/>
        </w:rPr>
        <w:t>永城市司法局</w:t>
      </w:r>
      <w:r>
        <w:rPr>
          <w:rFonts w:hint="eastAsia" w:ascii="仿宋" w:hAnsi="仿宋" w:eastAsia="仿宋" w:cs="仿宋_GB2312"/>
          <w:color w:val="090909"/>
          <w:kern w:val="0"/>
          <w:sz w:val="32"/>
          <w:szCs w:val="32"/>
        </w:rPr>
        <w:t>门预算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永城市司法局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本级预算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，本单位无二级机构。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第二部分 永城市司法局2018年度部门预算情况说明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一、一般公共预算收支预算情况说明</w:t>
      </w:r>
    </w:p>
    <w:p>
      <w:pPr>
        <w:pStyle w:val="10"/>
        <w:spacing w:before="0" w:beforeAutospacing="0" w:after="0" w:afterAutospacing="0"/>
        <w:ind w:left="105" w:leftChars="5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（一）部门收入预算总体情况说明</w:t>
      </w:r>
    </w:p>
    <w:p>
      <w:pPr>
        <w:pStyle w:val="10"/>
        <w:spacing w:before="0" w:beforeAutospacing="0" w:after="0" w:afterAutospacing="0"/>
        <w:ind w:left="105" w:leftChars="50" w:firstLine="838" w:firstLineChars="26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2018年收入合计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956.61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万元，其中，一般公共预算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956.61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万元。</w:t>
      </w:r>
    </w:p>
    <w:p>
      <w:pPr>
        <w:pStyle w:val="10"/>
        <w:spacing w:before="0" w:beforeAutospacing="0" w:after="0" w:afterAutospacing="0"/>
        <w:ind w:left="105" w:leftChars="5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（二）部门支出预算总体情况说明</w:t>
      </w:r>
    </w:p>
    <w:p>
      <w:pPr>
        <w:pStyle w:val="10"/>
        <w:spacing w:before="0" w:beforeAutospacing="0" w:after="0" w:afterAutospacing="0"/>
        <w:ind w:left="105" w:leftChars="50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2018年支出合计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956.61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740.97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215.64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</w:p>
    <w:p>
      <w:pPr>
        <w:pStyle w:val="10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color w:val="000000"/>
          <w:sz w:val="32"/>
          <w:szCs w:val="32"/>
        </w:rPr>
        <w:t>（三）财政拨款收入预算情况说明</w:t>
      </w:r>
    </w:p>
    <w:p>
      <w:pPr>
        <w:pStyle w:val="10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2018年收入预算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956.61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万元，其中财政拨款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956.61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195.27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25.65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pStyle w:val="10"/>
        <w:spacing w:before="0" w:beforeAutospacing="0" w:after="0" w:afterAutospacing="0"/>
        <w:ind w:firstLine="640" w:firstLineChars="2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Style w:val="6"/>
          <w:rFonts w:hint="eastAsia" w:ascii="仿宋" w:hAnsi="仿宋" w:eastAsia="仿宋" w:cs="仿宋"/>
          <w:b w:val="0"/>
          <w:color w:val="000000"/>
          <w:sz w:val="32"/>
          <w:szCs w:val="32"/>
        </w:rPr>
        <w:t>（四）财政拨款支出预算情况说明</w:t>
      </w:r>
    </w:p>
    <w:p>
      <w:pPr>
        <w:pStyle w:val="10"/>
        <w:numPr>
          <w:ilvl w:val="0"/>
          <w:numId w:val="0"/>
        </w:numPr>
        <w:wordWrap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黑体" w:hAnsi="黑体" w:eastAsia="黑体" w:cs="Arial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2018年支出预算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956.61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万元，其中财政拨款支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956.61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万元，比上年增加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195.27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25.65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%。支出按用途划分为：工资福利支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740.97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501.07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%；对个人和家庭的补助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2.17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0.002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%；商品服务支出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114.05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75.31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%；项目支出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99.42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万元，占总支出的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%，比上年增加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%。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主要变化原因：工资福利支出的增加，因本年度工资正常上调的增加；因本年在商品服务支出中增加了公务交通补贴的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61.26万元，因此比上一年度支出大大增加；项目支出和上一年度相同，无增减。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二、政府性基金预算收支预算情况说明</w:t>
      </w:r>
    </w:p>
    <w:p>
      <w:pPr>
        <w:pStyle w:val="10"/>
        <w:numPr>
          <w:ilvl w:val="0"/>
          <w:numId w:val="0"/>
        </w:numPr>
        <w:wordWrap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2018年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度无</w:t>
      </w:r>
      <w:r>
        <w:rPr>
          <w:rFonts w:hint="eastAsia" w:ascii="仿宋" w:hAnsi="仿宋" w:eastAsia="仿宋" w:cs="仿宋"/>
          <w:sz w:val="32"/>
          <w:szCs w:val="32"/>
        </w:rPr>
        <w:t>政府性基金预算支出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三、“三公”经费支出预算情况说明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2018年“三公”经费支出预算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万元，较上年下降(或增长)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%。其中：因公出国(境)费用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万元，较上年下降(或增长)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%；公务接待费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万元，较上年下降(或增长)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%；公务用车运行维护费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万元，较上年下降(或增长)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%；公务用车购置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万元，较上年下降(或增长)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主要变化原因：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lang w:eastAsia="zh-CN"/>
        </w:rPr>
        <w:t>永城市司法局认真贯彻落实中央“八项”规定要求，</w:t>
      </w:r>
      <w:r>
        <w:rPr>
          <w:rFonts w:hint="eastAsia" w:ascii="仿宋" w:hAnsi="仿宋" w:eastAsia="仿宋" w:cs="仿宋"/>
          <w:sz w:val="32"/>
          <w:szCs w:val="32"/>
        </w:rPr>
        <w:t>严格执行《党政机关国内公务接待管理规定》等办法，坚持厉行勤俭节约，不断压缩公务接待费支出; 公车改革实施后，公务用车保有量下降，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剩余车辆均为执法执勤车辆，</w:t>
      </w:r>
      <w:r>
        <w:rPr>
          <w:rFonts w:hint="eastAsia" w:ascii="仿宋" w:hAnsi="仿宋" w:eastAsia="仿宋" w:cs="仿宋"/>
          <w:sz w:val="32"/>
          <w:szCs w:val="32"/>
        </w:rPr>
        <w:t>严格公务车辆出行管理，公务用车运行维护费降低。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四、其他重要事项的情况说明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(一)机关运行经费支出情况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办公费6万元，印刷费8万元，水费0.8万元，电费10万元，邮电费2.5万元，物业费7万元，差旅费3.5万元，工会经费2.54万元。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(二)政府采购支出情况</w:t>
      </w:r>
    </w:p>
    <w:p>
      <w:pPr>
        <w:pStyle w:val="4"/>
        <w:widowControl/>
        <w:spacing w:before="0" w:beforeAutospacing="0" w:after="0" w:afterAutospacing="0" w:line="600" w:lineRule="exact"/>
        <w:ind w:firstLine="64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货物类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政府采购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服务类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,政府采购工程类0万元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（三）重要项目绩效公开</w:t>
      </w:r>
    </w:p>
    <w:p>
      <w:pPr>
        <w:widowControl/>
        <w:spacing w:beforeLines="50" w:afterLines="50" w:line="432" w:lineRule="auto"/>
        <w:ind w:firstLine="48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永城市司法局201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年预算项目支出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法律援助费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20万元，主要用于法律援助案件补贴及律师值班补贴。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普法经费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13.5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主要</w:t>
      </w:r>
      <w:r>
        <w:rPr>
          <w:rFonts w:hint="eastAsia" w:ascii="仿宋" w:hAnsi="仿宋" w:eastAsia="仿宋" w:cs="仿宋"/>
          <w:kern w:val="0"/>
          <w:sz w:val="32"/>
          <w:szCs w:val="32"/>
        </w:rPr>
        <w:t>用于在永城市电视台播出法治经纬栏目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，在永城市广播电台播出</w:t>
      </w:r>
      <w:r>
        <w:rPr>
          <w:rFonts w:hint="eastAsia" w:ascii="仿宋" w:hAnsi="仿宋" w:eastAsia="仿宋" w:cs="仿宋"/>
          <w:kern w:val="0"/>
          <w:sz w:val="32"/>
          <w:szCs w:val="32"/>
        </w:rPr>
        <w:t>法治园地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栏目及法律十进活动，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将法治精神浸润到群众心间，从知法学法到自觉用法，近年来，“遇事找法”“依法维权”的理念在群众中蔚然成风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干部普法培训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7万元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主要用于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eastAsia="zh-CN"/>
        </w:rPr>
        <w:t>领导干部带头学法用法，有效提高了政府依法执政、依法决策、依法管理、依法办事的能力和水平。</w:t>
      </w:r>
    </w:p>
    <w:p>
      <w:pPr>
        <w:widowControl/>
        <w:spacing w:beforeLines="50" w:afterLines="50" w:line="432" w:lineRule="auto"/>
        <w:ind w:firstLine="48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32"/>
          <w:szCs w:val="32"/>
        </w:rPr>
        <w:t>年，我单位将积极推进预算绩效管理工作，在预算执行时严格按照预算项目进行实施，在资金使用过程中进行监督，对照项目目标进行绩效评价。我们将在以下方面努力做好预算绩效管理工作：一是加强项目资金使用过程的全程监控，提高资金使用的规范性和时效性；二是加强绩效评价的沟通汇报工作，将绩效评价作为预算管理和安排以后年度预算的重要依据；三是强化评价结果的应用，发现问题及时改进，加强评价结果与项目资金安排的衔接。同时继续落实贯彻《预算法》，提高财政资金的使用效益，努力提高我单位绩效管理工作水平。</w:t>
      </w:r>
    </w:p>
    <w:p>
      <w:pPr>
        <w:numPr>
          <w:ilvl w:val="0"/>
          <w:numId w:val="3"/>
        </w:numPr>
        <w:ind w:left="640" w:left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国有资产占用情况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无。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第三部分 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专业性较强的名词解释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1、财政拨款收入：是指市级财政当年拨付的资金。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2、事业收入：是指事业单位开展专业活动及辅助活动所取 得的收入。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3、其他收入：是指部门取得的除“财政拨款”、“事业收入”、“事业单位经营收入”等以外的收入。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7、项目支出：是指在基本支出之外，为完成特定的行政工作任务或事业发展目标所发生的支出。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8、一般公共服务（类）事务（款）：是指用于保障机构正常运行、开展业务等活动的支出。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（1）行政运行（项）：是指为保障机构正常运转、完成日常工作任务安排的支出。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（2）一般行政管理事务（项）：是指单位的项目支出。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（3）机关服务（项）：是指为单位提供后勤保障服务的机关服务局的支出。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（4）事业运行（项）：是指事业单位用于保障机构正常运转的基本支出。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85AC7A"/>
    <w:multiLevelType w:val="singleLevel"/>
    <w:tmpl w:val="B585AC7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62AA8F"/>
    <w:multiLevelType w:val="singleLevel"/>
    <w:tmpl w:val="4662AA8F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8366DE8"/>
    <w:multiLevelType w:val="singleLevel"/>
    <w:tmpl w:val="58366DE8"/>
    <w:lvl w:ilvl="0" w:tentative="0">
      <w:start w:val="1"/>
      <w:numFmt w:val="chineseCounting"/>
      <w:suff w:val="nothing"/>
      <w:lvlText w:val="%1、"/>
      <w:lvlJc w:val="left"/>
      <w:pPr>
        <w:ind w:left="55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67385F"/>
    <w:rsid w:val="31AB282B"/>
    <w:rsid w:val="39262425"/>
    <w:rsid w:val="3BB5601D"/>
    <w:rsid w:val="5DE25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0"/>
    <w:rPr>
      <w:sz w:val="18"/>
      <w:szCs w:val="18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264</Words>
  <Characters>1505</Characters>
  <Lines>12</Lines>
  <Paragraphs>3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2018-03-28T16:35:00Z</dcterms:created>
  <dc:creator>china</dc:creator>
  <cp:lastModifiedBy>Administrator</cp:lastModifiedBy>
  <dcterms:modified xsi:type="dcterms:W3CDTF">2019-03-04T00:15:40Z</dcterms:modified>
  <dc:title>china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