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Theme="minorEastAsia" w:hAnsiTheme="minorEastAsia"/>
          <w:b/>
          <w:sz w:val="52"/>
          <w:szCs w:val="52"/>
        </w:rPr>
      </w:pPr>
    </w:p>
    <w:p>
      <w:pPr>
        <w:jc w:val="center"/>
        <w:rPr>
          <w:rFonts w:hint="eastAsia" w:ascii="Arial" w:hAnsi="Arial" w:eastAsia="方正小标宋简体" w:cs="Arial"/>
          <w:sz w:val="36"/>
          <w:szCs w:val="36"/>
        </w:rPr>
      </w:pPr>
      <w:r>
        <w:rPr>
          <w:rFonts w:hint="eastAsia" w:asciiTheme="minorEastAsia" w:hAnsiTheme="minorEastAsia"/>
          <w:b/>
          <w:sz w:val="52"/>
          <w:szCs w:val="52"/>
        </w:rPr>
        <w:t>永城市</w:t>
      </w:r>
      <w:r>
        <w:rPr>
          <w:rFonts w:hint="eastAsia" w:cs="Arial" w:asciiTheme="minorEastAsia" w:hAnsiTheme="minorEastAsia" w:eastAsiaTheme="minorEastAsia"/>
          <w:b/>
          <w:sz w:val="52"/>
          <w:szCs w:val="52"/>
        </w:rPr>
        <w:t>粮食局</w:t>
      </w:r>
    </w:p>
    <w:p>
      <w:pPr>
        <w:jc w:val="center"/>
        <w:rPr>
          <w:rStyle w:val="6"/>
          <w:rFonts w:cs="Arial" w:asciiTheme="majorEastAsia" w:hAnsiTheme="majorEastAsia" w:eastAsiaTheme="majorEastAsia"/>
          <w:color w:val="000000"/>
          <w:kern w:val="0"/>
        </w:rPr>
      </w:pPr>
      <w:r>
        <w:rPr>
          <w:rStyle w:val="6"/>
          <w:rFonts w:hint="eastAsia" w:cs="Arial" w:asciiTheme="majorEastAsia" w:hAnsiTheme="majorEastAsia" w:eastAsiaTheme="majorEastAsia"/>
          <w:color w:val="000000"/>
          <w:kern w:val="0"/>
          <w:sz w:val="52"/>
          <w:szCs w:val="52"/>
        </w:rPr>
        <w:t>2018年预算基本情况说明</w:t>
      </w: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p>
    <w:p>
      <w:pPr>
        <w:jc w:val="center"/>
        <w:rPr>
          <w:rStyle w:val="6"/>
          <w:rFonts w:cs="Arial" w:asciiTheme="majorEastAsia" w:hAnsiTheme="majorEastAsia" w:eastAsiaTheme="majorEastAsia"/>
          <w:color w:val="000000"/>
          <w:kern w:val="0"/>
          <w:sz w:val="52"/>
          <w:szCs w:val="52"/>
        </w:rPr>
      </w:pPr>
      <w:r>
        <w:rPr>
          <w:rStyle w:val="6"/>
          <w:rFonts w:hint="eastAsia" w:cs="Arial" w:asciiTheme="majorEastAsia" w:hAnsiTheme="majorEastAsia" w:eastAsiaTheme="majorEastAsia"/>
          <w:color w:val="000000"/>
          <w:kern w:val="0"/>
          <w:sz w:val="52"/>
          <w:szCs w:val="52"/>
        </w:rPr>
        <w:t>2018年1月20日</w:t>
      </w: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rPr>
          <w:rStyle w:val="6"/>
          <w:rFonts w:cs="Arial" w:asciiTheme="majorEastAsia" w:hAnsiTheme="majorEastAsia" w:eastAsiaTheme="majorEastAsia"/>
          <w:color w:val="000000"/>
          <w:kern w:val="0"/>
          <w:sz w:val="44"/>
          <w:szCs w:val="44"/>
        </w:rPr>
      </w:pPr>
    </w:p>
    <w:p>
      <w:pPr>
        <w:jc w:val="both"/>
        <w:rPr>
          <w:rStyle w:val="6"/>
          <w:rFonts w:cs="Arial" w:asciiTheme="majorEastAsia" w:hAnsiTheme="majorEastAsia" w:eastAsiaTheme="majorEastAsia"/>
          <w:color w:val="000000"/>
          <w:kern w:val="0"/>
          <w:sz w:val="44"/>
          <w:szCs w:val="44"/>
        </w:rPr>
      </w:pPr>
    </w:p>
    <w:p>
      <w:pPr>
        <w:jc w:val="center"/>
        <w:rPr>
          <w:rStyle w:val="6"/>
          <w:rFonts w:cs="Arial" w:asciiTheme="majorEastAsia" w:hAnsiTheme="majorEastAsia" w:eastAsiaTheme="majorEastAsia"/>
          <w:color w:val="000000"/>
          <w:kern w:val="0"/>
          <w:sz w:val="44"/>
          <w:szCs w:val="44"/>
        </w:rPr>
      </w:pPr>
    </w:p>
    <w:p>
      <w:pPr>
        <w:spacing w:line="720" w:lineRule="auto"/>
        <w:ind w:firstLine="3585" w:firstLineChars="744"/>
        <w:rPr>
          <w:rFonts w:ascii="黑体" w:hAnsi="黑体" w:eastAsia="黑体" w:cs="黑体"/>
          <w:sz w:val="48"/>
          <w:szCs w:val="48"/>
        </w:rPr>
      </w:pPr>
      <w:r>
        <w:rPr>
          <w:rFonts w:hint="eastAsia" w:ascii="黑体" w:hAnsi="黑体" w:eastAsia="黑体" w:cs="黑体"/>
          <w:b/>
          <w:bCs/>
          <w:sz w:val="48"/>
          <w:szCs w:val="48"/>
        </w:rPr>
        <w:t>目录</w:t>
      </w:r>
    </w:p>
    <w:p>
      <w:pPr>
        <w:numPr>
          <w:ilvl w:val="0"/>
          <w:numId w:val="1"/>
        </w:numPr>
        <w:spacing w:line="720" w:lineRule="auto"/>
        <w:ind w:left="240"/>
        <w:jc w:val="left"/>
        <w:rPr>
          <w:rFonts w:ascii="黑体" w:hAnsi="黑体" w:eastAsia="黑体" w:cs="黑体"/>
          <w:b/>
          <w:bCs/>
          <w:sz w:val="32"/>
          <w:szCs w:val="32"/>
        </w:rPr>
      </w:pPr>
      <w:r>
        <w:rPr>
          <w:rFonts w:hint="eastAsia" w:ascii="黑体" w:hAnsi="黑体" w:eastAsia="黑体" w:cs="黑体"/>
          <w:b/>
          <w:bCs/>
          <w:sz w:val="32"/>
          <w:szCs w:val="32"/>
        </w:rPr>
        <w:t>永城市</w:t>
      </w:r>
      <w:r>
        <w:rPr>
          <w:rFonts w:hint="eastAsia" w:ascii="黑体" w:hAnsi="黑体" w:eastAsia="黑体" w:cs="Arial"/>
          <w:b/>
          <w:sz w:val="32"/>
          <w:szCs w:val="32"/>
        </w:rPr>
        <w:t>粮食局</w:t>
      </w:r>
      <w:r>
        <w:rPr>
          <w:rFonts w:hint="eastAsia" w:ascii="黑体" w:hAnsi="黑体" w:eastAsia="黑体" w:cs="黑体"/>
          <w:b/>
          <w:bCs/>
          <w:sz w:val="32"/>
          <w:szCs w:val="32"/>
        </w:rPr>
        <w:t>单位概况</w:t>
      </w:r>
    </w:p>
    <w:p>
      <w:pPr>
        <w:spacing w:line="720" w:lineRule="auto"/>
        <w:ind w:left="420"/>
        <w:rPr>
          <w:rFonts w:ascii="黑体" w:hAnsi="黑体" w:eastAsia="黑体" w:cs="黑体"/>
          <w:sz w:val="32"/>
          <w:szCs w:val="32"/>
        </w:rPr>
      </w:pPr>
      <w:r>
        <w:rPr>
          <w:rFonts w:hint="eastAsia" w:ascii="黑体" w:hAnsi="黑体" w:eastAsia="黑体" w:cs="黑体"/>
          <w:sz w:val="32"/>
          <w:szCs w:val="32"/>
        </w:rPr>
        <w:t>一、部门机构设置、职能、年度工作任务</w:t>
      </w:r>
    </w:p>
    <w:p>
      <w:pPr>
        <w:spacing w:line="720" w:lineRule="auto"/>
        <w:ind w:left="420"/>
        <w:rPr>
          <w:rFonts w:ascii="黑体" w:hAnsi="黑体" w:eastAsia="黑体" w:cs="黑体"/>
          <w:sz w:val="32"/>
          <w:szCs w:val="32"/>
        </w:rPr>
      </w:pPr>
      <w:r>
        <w:rPr>
          <w:rFonts w:hint="eastAsia" w:ascii="黑体" w:hAnsi="黑体" w:eastAsia="黑体" w:cs="黑体"/>
          <w:sz w:val="32"/>
          <w:szCs w:val="32"/>
        </w:rPr>
        <w:t>二、部门预算单位构成</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粮食局</w:t>
      </w:r>
      <w:r>
        <w:rPr>
          <w:rFonts w:hint="eastAsia" w:ascii="黑体" w:hAnsi="黑体" w:eastAsia="黑体" w:cs="黑体"/>
          <w:b/>
          <w:bCs/>
          <w:sz w:val="32"/>
          <w:szCs w:val="32"/>
        </w:rPr>
        <w:t>2018年度部门预算情况说明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keepNext w:val="0"/>
        <w:keepLines w:val="0"/>
        <w:pageBreakBefore w:val="0"/>
        <w:kinsoku/>
        <w:wordWrap/>
        <w:overflowPunct/>
        <w:topLinePunct w:val="0"/>
        <w:autoSpaceDE/>
        <w:autoSpaceDN/>
        <w:bidi w:val="0"/>
        <w:adjustRightInd/>
        <w:snapToGrid/>
        <w:spacing w:before="313" w:beforeLines="100" w:after="313" w:afterLines="100"/>
        <w:ind w:firstLine="640" w:firstLineChars="200"/>
        <w:jc w:val="left"/>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三</w:t>
      </w:r>
      <w:r>
        <w:rPr>
          <w:rFonts w:hint="eastAsia" w:ascii="黑体" w:hAnsi="黑体" w:eastAsia="黑体" w:cs="Arial"/>
          <w:color w:val="000000"/>
          <w:sz w:val="32"/>
          <w:szCs w:val="32"/>
        </w:rPr>
        <w:t>、“三公”经费支出预算情况说明</w:t>
      </w:r>
    </w:p>
    <w:p>
      <w:pPr>
        <w:pStyle w:val="4"/>
        <w:keepNext w:val="0"/>
        <w:keepLines w:val="0"/>
        <w:pageBreakBefore w:val="0"/>
        <w:kinsoku/>
        <w:wordWrap/>
        <w:overflowPunct/>
        <w:topLinePunct w:val="0"/>
        <w:autoSpaceDE/>
        <w:autoSpaceDN/>
        <w:bidi w:val="0"/>
        <w:adjustRightInd/>
        <w:snapToGrid/>
        <w:spacing w:before="313" w:beforeLines="100" w:beforeAutospacing="0" w:after="313" w:afterLines="100" w:afterAutospacing="0"/>
        <w:ind w:firstLine="640" w:firstLineChars="200"/>
        <w:textAlignment w:val="auto"/>
        <w:rPr>
          <w:rFonts w:ascii="黑体" w:hAnsi="黑体" w:eastAsia="黑体" w:cs="Arial"/>
          <w:color w:val="000000"/>
          <w:sz w:val="32"/>
          <w:szCs w:val="32"/>
        </w:rPr>
      </w:pPr>
      <w:r>
        <w:rPr>
          <w:rFonts w:hint="eastAsia" w:ascii="黑体" w:hAnsi="黑体" w:eastAsia="黑体" w:cs="Arial"/>
          <w:color w:val="000000"/>
          <w:sz w:val="32"/>
          <w:szCs w:val="32"/>
          <w:lang w:eastAsia="zh-CN"/>
        </w:rPr>
        <w:t>四</w:t>
      </w:r>
      <w:r>
        <w:rPr>
          <w:rFonts w:hint="eastAsia" w:ascii="黑体" w:hAnsi="黑体" w:eastAsia="黑体" w:cs="Arial"/>
          <w:color w:val="000000"/>
          <w:sz w:val="32"/>
          <w:szCs w:val="32"/>
        </w:rPr>
        <w:t>、其他重要事项的情况说明</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第三部分 名词解释</w:t>
      </w: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hint="eastAsia" w:ascii="黑体" w:hAnsi="黑体" w:eastAsia="黑体" w:cs="黑体"/>
          <w:b/>
          <w:bCs/>
          <w:sz w:val="32"/>
          <w:szCs w:val="32"/>
        </w:rPr>
      </w:pPr>
    </w:p>
    <w:p>
      <w:pPr>
        <w:spacing w:line="720" w:lineRule="auto"/>
        <w:rPr>
          <w:rFonts w:ascii="黑体" w:hAnsi="黑体" w:eastAsia="黑体" w:cs="黑体"/>
          <w:b/>
          <w:bCs/>
          <w:sz w:val="32"/>
          <w:szCs w:val="32"/>
        </w:rPr>
      </w:pPr>
      <w:r>
        <w:rPr>
          <w:rFonts w:hint="eastAsia" w:ascii="黑体" w:hAnsi="黑体" w:eastAsia="黑体" w:cs="黑体"/>
          <w:b/>
          <w:bCs/>
          <w:sz w:val="32"/>
          <w:szCs w:val="32"/>
        </w:rPr>
        <w:t>附件：永城市</w:t>
      </w:r>
      <w:r>
        <w:rPr>
          <w:rFonts w:hint="eastAsia" w:ascii="黑体" w:hAnsi="黑体" w:eastAsia="黑体" w:cs="Arial"/>
          <w:b/>
          <w:sz w:val="32"/>
          <w:szCs w:val="32"/>
        </w:rPr>
        <w:t>粮食局</w:t>
      </w:r>
      <w:r>
        <w:rPr>
          <w:rFonts w:hint="eastAsia" w:ascii="黑体" w:hAnsi="黑体" w:eastAsia="黑体" w:cs="黑体"/>
          <w:b/>
          <w:bCs/>
          <w:sz w:val="32"/>
          <w:szCs w:val="32"/>
        </w:rPr>
        <w:t>2018年度部门预算表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部门收入总体情况表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部门支出总体情况表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一般公共预算基本支出经济分类情况表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财政拨款收支总体情况表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财政拨款支出情况表</w:t>
      </w:r>
    </w:p>
    <w:p>
      <w:pPr>
        <w:numPr>
          <w:ilvl w:val="0"/>
          <w:numId w:val="2"/>
        </w:numPr>
        <w:spacing w:line="720" w:lineRule="auto"/>
        <w:rPr>
          <w:rFonts w:ascii="黑体" w:hAnsi="黑体" w:eastAsia="黑体" w:cs="黑体"/>
          <w:sz w:val="32"/>
          <w:szCs w:val="32"/>
        </w:rPr>
      </w:pPr>
      <w:r>
        <w:rPr>
          <w:rFonts w:hint="eastAsia" w:ascii="黑体" w:hAnsi="黑体" w:eastAsia="黑体" w:cs="黑体"/>
          <w:sz w:val="32"/>
          <w:szCs w:val="32"/>
        </w:rPr>
        <w:t>政府性基金支出情况表</w:t>
      </w: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hint="eastAsia" w:ascii="Arial" w:hAnsi="Arial" w:eastAsia="方正小标宋简体" w:cs="Arial"/>
          <w:sz w:val="36"/>
          <w:szCs w:val="36"/>
        </w:rPr>
      </w:pPr>
    </w:p>
    <w:p>
      <w:pPr>
        <w:jc w:val="center"/>
        <w:rPr>
          <w:rFonts w:ascii="方正小标宋简体" w:eastAsia="方正小标宋简体"/>
          <w:sz w:val="36"/>
          <w:szCs w:val="36"/>
        </w:rPr>
      </w:pPr>
      <w:r>
        <w:rPr>
          <w:rFonts w:hint="eastAsia" w:ascii="Arial" w:hAnsi="Arial" w:eastAsia="方正小标宋简体" w:cs="Arial"/>
          <w:sz w:val="36"/>
          <w:szCs w:val="36"/>
        </w:rPr>
        <w:t>永城市粮食局</w:t>
      </w:r>
      <w:r>
        <w:rPr>
          <w:rFonts w:hint="eastAsia" w:ascii="方正小标宋简体" w:eastAsia="方正小标宋简体"/>
          <w:sz w:val="36"/>
          <w:szCs w:val="36"/>
        </w:rPr>
        <w:t>2018年预算基本情况说明</w:t>
      </w:r>
    </w:p>
    <w:p>
      <w:pPr>
        <w:numPr>
          <w:numId w:val="0"/>
        </w:numPr>
        <w:spacing w:line="720" w:lineRule="auto"/>
        <w:ind w:left="240" w:leftChars="0"/>
        <w:jc w:val="left"/>
        <w:rPr>
          <w:rFonts w:ascii="黑体" w:hAnsi="黑体" w:eastAsia="黑体" w:cs="黑体"/>
          <w:b/>
          <w:bCs/>
          <w:sz w:val="32"/>
          <w:szCs w:val="32"/>
        </w:rPr>
      </w:pPr>
      <w:r>
        <w:rPr>
          <w:rFonts w:hint="eastAsia" w:ascii="黑体" w:hAnsi="黑体" w:eastAsia="黑体" w:cs="黑体"/>
          <w:b/>
          <w:bCs/>
          <w:sz w:val="32"/>
          <w:szCs w:val="32"/>
          <w:lang w:eastAsia="zh-CN"/>
        </w:rPr>
        <w:t>第一部分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粮食局</w:t>
      </w:r>
      <w:r>
        <w:rPr>
          <w:rFonts w:hint="eastAsia" w:ascii="黑体" w:hAnsi="黑体" w:eastAsia="黑体" w:cs="黑体"/>
          <w:b/>
          <w:bCs/>
          <w:sz w:val="32"/>
          <w:szCs w:val="32"/>
        </w:rPr>
        <w:t>单位概况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　　(一)部门主要职责</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1、贯彻执行国家和省粮食流通和粮油储备的法律、法规和方针、政策；拟定全市粮食流通体制、地方粮油储备管理体制改革方案并组织实施；推动国有粮食企业改革；研究提出现代粮食流通产业发展战略的建议。</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2、会同有关部门研究提出全市粮食流通和地方粮油储备中长期规划的建议；承担粮油监测预警、应急责任；指导协调最低收购价粮食等政策性粮食购销和粮食产销合作。</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3、负责全市粮食流通监督检查工作。监督检查国家和省、市粮食流通、粮油储备有关法律、法规和政策的贯彻落实情况；制定全市粮食流通监督检查制度并组织实施；对粮食收购、储存环节的粮食质量安全和原粮卫生进行监督管理；监督检查粮食经营者从事粮食收购、储存、运输、政策性用粮购销活动，以及执行国家粮食流通统计制度情况。</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4、承担市级储备粮油行政管理责任。</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5、负责粮食流通的行业管理，指导粮食流通的科技进步、技术改造和新技术推广；提出粮食质量标准和粮食收购市场准入建议；负责全市粮油收购资格审核和核查以及全市社会粮食流通统计工作；开展粮食流通的对外合作及交流。</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6、指导全市粮食系统产业化经营、多种经营、连锁经营、主食厨房工程和行业安全生产工作；拟订粮食系统粮油加工发展规划；指导全市粮油加工行业管理和质量、计量、标准工作；配合有关部门打击粮油商品生产经营中的假冒伪劣行为。</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7、拟订全市粮食市场体系建设与发展规划并组织实施，编制全市粮油流通、仓储、加工设施建设规划；参与管理有管理粮食流通市级投资项目的论证。</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8、指导全市粮食系统财务和内审工作。负责所属事业单位的财务监管和内审工作；监管所属事业单位的固定资产。</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（二）机构设置情况</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永城市粮食局机关内设四个职能股室和三个二级机构。</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（三）预算年度的主要工作任务</w:t>
      </w:r>
    </w:p>
    <w:p>
      <w:pPr>
        <w:pStyle w:val="4"/>
        <w:spacing w:line="360" w:lineRule="auto"/>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确保全市粮食流通监督检查工作顺利实施，指导协调最低收购价粮食等政策性粮食购销和粮食产销合作。拟订全市粮食市场体系建设与发展规划并组织实施。</w:t>
      </w:r>
    </w:p>
    <w:p>
      <w:pPr>
        <w:widowControl/>
        <w:spacing w:line="360" w:lineRule="auto"/>
        <w:ind w:firstLine="640" w:firstLineChars="200"/>
        <w:jc w:val="left"/>
        <w:rPr>
          <w:rFonts w:ascii="仿宋_GB2312" w:hAnsi="ˎ̥" w:eastAsia="仿宋_GB2312" w:cs="Arial"/>
          <w:color w:val="000000"/>
          <w:kern w:val="0"/>
          <w:sz w:val="32"/>
          <w:szCs w:val="32"/>
        </w:rPr>
      </w:pPr>
      <w:r>
        <w:rPr>
          <w:rFonts w:hint="eastAsia" w:ascii="仿宋_GB2312" w:hAnsi="ˎ̥" w:eastAsia="仿宋_GB2312" w:cs="Arial"/>
          <w:color w:val="000000"/>
          <w:kern w:val="0"/>
          <w:sz w:val="32"/>
          <w:szCs w:val="32"/>
        </w:rPr>
        <w:t>（四）部门预算单位构成</w:t>
      </w:r>
    </w:p>
    <w:p>
      <w:pPr>
        <w:widowControl/>
        <w:spacing w:line="360" w:lineRule="auto"/>
        <w:ind w:firstLine="640" w:firstLineChars="200"/>
        <w:jc w:val="left"/>
        <w:rPr>
          <w:rFonts w:hint="eastAsia" w:ascii="仿宋" w:hAnsi="仿宋" w:eastAsia="仿宋" w:cs="仿宋"/>
          <w:color w:val="000000"/>
          <w:kern w:val="0"/>
          <w:sz w:val="32"/>
          <w:szCs w:val="32"/>
        </w:rPr>
      </w:pPr>
      <w:r>
        <w:rPr>
          <w:rFonts w:hint="eastAsia" w:ascii="仿宋" w:hAnsi="仿宋" w:eastAsia="仿宋" w:cs="仿宋_GB2312"/>
          <w:color w:val="090909"/>
          <w:kern w:val="0"/>
          <w:sz w:val="32"/>
          <w:szCs w:val="32"/>
        </w:rPr>
        <w:t>永城市粮食局部门预算</w:t>
      </w:r>
      <w:r>
        <w:rPr>
          <w:rFonts w:hint="eastAsia" w:ascii="仿宋" w:hAnsi="仿宋" w:eastAsia="仿宋" w:cs="仿宋"/>
          <w:color w:val="000000"/>
          <w:kern w:val="0"/>
          <w:sz w:val="32"/>
          <w:szCs w:val="32"/>
        </w:rPr>
        <w:t>为</w:t>
      </w:r>
      <w:r>
        <w:rPr>
          <w:rFonts w:hint="eastAsia" w:ascii="仿宋" w:hAnsi="仿宋" w:eastAsia="仿宋" w:cs="仿宋"/>
          <w:bCs/>
          <w:kern w:val="0"/>
          <w:sz w:val="32"/>
          <w:szCs w:val="32"/>
        </w:rPr>
        <w:t>永城市粮食局</w:t>
      </w:r>
      <w:r>
        <w:rPr>
          <w:rFonts w:hint="eastAsia" w:ascii="仿宋" w:hAnsi="仿宋" w:eastAsia="仿宋" w:cs="仿宋"/>
          <w:color w:val="000000"/>
          <w:kern w:val="0"/>
          <w:sz w:val="32"/>
          <w:szCs w:val="32"/>
        </w:rPr>
        <w:t>本级预算，本单位无二级机构。</w:t>
      </w:r>
    </w:p>
    <w:p>
      <w:pPr>
        <w:spacing w:line="720" w:lineRule="auto"/>
        <w:rPr>
          <w:rFonts w:hint="eastAsia" w:ascii="黑体" w:hAnsi="黑体" w:eastAsia="黑体" w:cs="黑体"/>
          <w:b/>
          <w:bCs/>
          <w:sz w:val="32"/>
          <w:szCs w:val="32"/>
        </w:rPr>
      </w:pPr>
      <w:r>
        <w:rPr>
          <w:rFonts w:hint="eastAsia" w:ascii="黑体" w:hAnsi="黑体" w:eastAsia="黑体" w:cs="黑体"/>
          <w:b/>
          <w:bCs/>
          <w:sz w:val="32"/>
          <w:szCs w:val="32"/>
        </w:rPr>
        <w:t>第二部分</w:t>
      </w:r>
      <w:r>
        <w:rPr>
          <w:rFonts w:hint="eastAsia" w:ascii="黑体" w:hAnsi="黑体" w:eastAsia="黑体" w:cs="黑体"/>
          <w:b/>
          <w:bCs/>
          <w:sz w:val="32"/>
          <w:szCs w:val="32"/>
          <w:lang w:val="en-US" w:eastAsia="zh-CN"/>
        </w:rPr>
        <w:t xml:space="preserve"> </w:t>
      </w:r>
      <w:r>
        <w:rPr>
          <w:rFonts w:hint="eastAsia" w:ascii="黑体" w:hAnsi="黑体" w:eastAsia="黑体" w:cs="黑体"/>
          <w:b/>
          <w:bCs/>
          <w:sz w:val="32"/>
          <w:szCs w:val="32"/>
        </w:rPr>
        <w:t>永城市</w:t>
      </w:r>
      <w:r>
        <w:rPr>
          <w:rFonts w:hint="eastAsia" w:ascii="黑体" w:hAnsi="黑体" w:eastAsia="黑体" w:cs="Arial"/>
          <w:b/>
          <w:sz w:val="32"/>
          <w:szCs w:val="32"/>
        </w:rPr>
        <w:t>粮食局</w:t>
      </w:r>
      <w:r>
        <w:rPr>
          <w:rFonts w:hint="eastAsia" w:ascii="黑体" w:hAnsi="黑体" w:eastAsia="黑体" w:cs="黑体"/>
          <w:b/>
          <w:bCs/>
          <w:sz w:val="32"/>
          <w:szCs w:val="32"/>
        </w:rPr>
        <w:t>2018年度部门预算情况说明</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一</w:t>
      </w:r>
      <w:r>
        <w:rPr>
          <w:rFonts w:hint="eastAsia" w:ascii="黑体" w:hAnsi="黑体" w:eastAsia="黑体" w:cs="Arial"/>
          <w:color w:val="000000"/>
          <w:sz w:val="32"/>
          <w:szCs w:val="32"/>
        </w:rPr>
        <w:t>、一般公共预算收支预算情况说明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（一）部门收入预算总体情况说明</w:t>
      </w:r>
    </w:p>
    <w:p>
      <w:pPr>
        <w:pStyle w:val="4"/>
        <w:spacing w:before="0" w:beforeAutospacing="0" w:after="0" w:afterAutospacing="0"/>
        <w:ind w:left="105" w:leftChars="50" w:firstLine="838" w:firstLineChars="262"/>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2018年收入合计</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万元，其中，一般公共预算</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万元，部门财政性资金结转0万元。</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（二）部门支出预算总体情况说明</w:t>
      </w:r>
    </w:p>
    <w:p>
      <w:pPr>
        <w:pStyle w:val="4"/>
        <w:spacing w:before="0" w:beforeAutospacing="0" w:after="0" w:afterAutospacing="0"/>
        <w:ind w:left="105" w:leftChars="50"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2018年支出合计</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万元，其中：基本支出</w:t>
      </w:r>
      <w:r>
        <w:rPr>
          <w:rFonts w:hint="eastAsia" w:ascii="Arial" w:hAnsi="Arial" w:eastAsia="方正小标宋简体" w:cs="Arial"/>
          <w:sz w:val="36"/>
          <w:szCs w:val="36"/>
        </w:rPr>
        <w:t>224.17</w:t>
      </w:r>
      <w:r>
        <w:rPr>
          <w:rFonts w:hint="eastAsia" w:ascii="仿宋_GB2312" w:hAnsi="ˎ̥" w:eastAsia="仿宋_GB2312" w:cs="Arial"/>
          <w:color w:val="000000"/>
          <w:sz w:val="32"/>
          <w:szCs w:val="32"/>
        </w:rPr>
        <w:t>万元，占55.29%；项目支出</w:t>
      </w:r>
      <w:r>
        <w:rPr>
          <w:rFonts w:hint="eastAsia" w:ascii="Arial" w:hAnsi="Arial" w:eastAsia="方正小标宋简体" w:cs="Arial"/>
          <w:sz w:val="36"/>
          <w:szCs w:val="36"/>
        </w:rPr>
        <w:t>181.3</w:t>
      </w:r>
      <w:r>
        <w:rPr>
          <w:rFonts w:hint="eastAsia" w:ascii="仿宋_GB2312" w:hAnsi="ˎ̥" w:eastAsia="仿宋_GB2312" w:cs="Arial"/>
          <w:color w:val="000000"/>
          <w:sz w:val="32"/>
          <w:szCs w:val="32"/>
        </w:rPr>
        <w:t>万元，占</w:t>
      </w:r>
      <w:r>
        <w:rPr>
          <w:rFonts w:hint="eastAsia" w:ascii="Arial" w:hAnsi="Arial" w:eastAsia="方正小标宋简体" w:cs="Arial"/>
          <w:sz w:val="36"/>
          <w:szCs w:val="36"/>
        </w:rPr>
        <w:t>44.71</w:t>
      </w:r>
      <w:r>
        <w:rPr>
          <w:rFonts w:hint="eastAsia" w:ascii="仿宋_GB2312" w:hAnsi="ˎ̥" w:eastAsia="仿宋_GB2312" w:cs="Arial"/>
          <w:color w:val="000000"/>
          <w:sz w:val="32"/>
          <w:szCs w:val="32"/>
        </w:rPr>
        <w:t>%。</w:t>
      </w:r>
    </w:p>
    <w:p>
      <w:pPr>
        <w:pStyle w:val="4"/>
        <w:spacing w:before="0" w:beforeAutospacing="0" w:after="0" w:afterAutospacing="0"/>
        <w:ind w:firstLine="640" w:firstLineChars="200"/>
        <w:rPr>
          <w:rFonts w:ascii="仿宋_GB2312" w:hAnsi="ˎ̥" w:eastAsia="仿宋_GB2312" w:cs="Arial"/>
          <w:color w:val="000000"/>
          <w:sz w:val="32"/>
          <w:szCs w:val="32"/>
        </w:rPr>
      </w:pPr>
      <w:r>
        <w:rPr>
          <w:rStyle w:val="6"/>
          <w:rFonts w:hint="eastAsia" w:ascii="仿宋_GB2312" w:hAnsi="ˎ̥" w:eastAsia="仿宋_GB2312" w:cs="Arial"/>
          <w:b w:val="0"/>
          <w:color w:val="000000"/>
          <w:sz w:val="32"/>
          <w:szCs w:val="32"/>
        </w:rPr>
        <w:t>（三）财政拨款收入预算情况说明</w:t>
      </w:r>
    </w:p>
    <w:p>
      <w:pPr>
        <w:pStyle w:val="4"/>
        <w:spacing w:before="0" w:beforeAutospacing="0" w:after="0" w:afterAutospacing="0"/>
        <w:ind w:firstLine="640" w:firstLineChars="200"/>
        <w:rPr>
          <w:rFonts w:ascii="仿宋_GB2312" w:hAnsi="ˎ̥" w:eastAsia="仿宋_GB2312" w:cs="Arial"/>
          <w:color w:val="000000"/>
          <w:sz w:val="32"/>
          <w:szCs w:val="32"/>
        </w:rPr>
      </w:pPr>
      <w:r>
        <w:rPr>
          <w:rFonts w:hint="eastAsia" w:ascii="仿宋_GB2312" w:hAnsi="ˎ̥" w:eastAsia="仿宋_GB2312" w:cs="Arial"/>
          <w:color w:val="000000"/>
          <w:sz w:val="32"/>
          <w:szCs w:val="32"/>
        </w:rPr>
        <w:t>2018年收入预算</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万元，其中财政拨款</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w:t>
      </w:r>
      <w:bookmarkStart w:id="0" w:name="_Hlk511995168"/>
      <w:r>
        <w:rPr>
          <w:rFonts w:hint="eastAsia" w:ascii="仿宋_GB2312" w:hAnsi="ˎ̥" w:eastAsia="仿宋_GB2312" w:cs="Arial"/>
          <w:color w:val="000000"/>
          <w:sz w:val="32"/>
          <w:szCs w:val="32"/>
        </w:rPr>
        <w:t>比上年减少77.01万元，减少15.96%</w:t>
      </w:r>
      <w:bookmarkEnd w:id="0"/>
      <w:r>
        <w:rPr>
          <w:rFonts w:hint="eastAsia" w:ascii="仿宋_GB2312" w:hAnsi="ˎ̥" w:eastAsia="仿宋_GB2312" w:cs="Arial"/>
          <w:color w:val="000000"/>
          <w:sz w:val="32"/>
          <w:szCs w:val="32"/>
        </w:rPr>
        <w:t>；纳入预算管理的行政事业性收费收入0万元，比上年增加0万元，增长0%。主要变化原因：2018年预算收入减少主要是退休人员工资由社保机构发放。</w:t>
      </w:r>
    </w:p>
    <w:p>
      <w:pPr>
        <w:pStyle w:val="4"/>
        <w:spacing w:before="0" w:beforeAutospacing="0" w:after="0" w:afterAutospacing="0"/>
        <w:ind w:firstLine="640" w:firstLineChars="200"/>
        <w:rPr>
          <w:rFonts w:ascii="仿宋_GB2312" w:hAnsi="ˎ̥" w:eastAsia="仿宋_GB2312" w:cs="Arial"/>
          <w:b/>
          <w:color w:val="000000"/>
          <w:sz w:val="32"/>
          <w:szCs w:val="32"/>
        </w:rPr>
      </w:pPr>
      <w:r>
        <w:rPr>
          <w:rStyle w:val="6"/>
          <w:rFonts w:hint="eastAsia" w:ascii="仿宋_GB2312" w:hAnsi="ˎ̥" w:eastAsia="仿宋_GB2312" w:cs="Arial"/>
          <w:b w:val="0"/>
          <w:color w:val="000000"/>
          <w:sz w:val="32"/>
          <w:szCs w:val="32"/>
        </w:rPr>
        <w:t>（四）财政拨款支出预算情况说明</w:t>
      </w:r>
    </w:p>
    <w:p>
      <w:pPr>
        <w:pStyle w:val="4"/>
        <w:spacing w:line="360" w:lineRule="auto"/>
        <w:rPr>
          <w:rFonts w:ascii="仿宋_GB2312" w:hAnsi="ˎ̥" w:eastAsia="仿宋_GB2312" w:cs="Arial"/>
          <w:color w:val="000000"/>
          <w:sz w:val="32"/>
          <w:szCs w:val="32"/>
        </w:rPr>
      </w:pPr>
      <w:r>
        <w:rPr>
          <w:rFonts w:hint="eastAsia" w:ascii="仿宋_GB2312" w:hAnsi="ˎ̥" w:eastAsia="仿宋_GB2312" w:cs="Arial"/>
          <w:color w:val="000000"/>
          <w:sz w:val="32"/>
          <w:szCs w:val="32"/>
        </w:rPr>
        <w:t>2018年支出预算</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万元，其中财政拨款支出</w:t>
      </w:r>
      <w:r>
        <w:rPr>
          <w:rFonts w:hint="eastAsia" w:ascii="Arial" w:hAnsi="Arial" w:eastAsia="方正小标宋简体" w:cs="Arial"/>
          <w:sz w:val="36"/>
          <w:szCs w:val="36"/>
        </w:rPr>
        <w:t>405.47</w:t>
      </w:r>
      <w:r>
        <w:rPr>
          <w:rFonts w:hint="eastAsia" w:ascii="仿宋_GB2312" w:hAnsi="ˎ̥" w:eastAsia="仿宋_GB2312" w:cs="Arial"/>
          <w:color w:val="000000"/>
          <w:sz w:val="32"/>
          <w:szCs w:val="32"/>
        </w:rPr>
        <w:t>万元，比上年减少77.01万元，减少15.96%。支出按用途划分为：工资福利支出</w:t>
      </w:r>
      <w:r>
        <w:rPr>
          <w:rFonts w:hint="eastAsia" w:ascii="Arial" w:hAnsi="Arial" w:eastAsia="方正小标宋简体" w:cs="Arial"/>
          <w:sz w:val="36"/>
          <w:szCs w:val="36"/>
        </w:rPr>
        <w:t>170.18</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41.97</w:t>
      </w:r>
      <w:r>
        <w:rPr>
          <w:rFonts w:hint="eastAsia" w:ascii="仿宋_GB2312" w:hAnsi="ˎ̥" w:eastAsia="仿宋_GB2312" w:cs="Arial"/>
          <w:color w:val="000000"/>
          <w:sz w:val="32"/>
          <w:szCs w:val="32"/>
        </w:rPr>
        <w:t>%，比上年增加36.89万元，增长27.68%；对个人和家庭的补助</w:t>
      </w:r>
      <w:r>
        <w:rPr>
          <w:rFonts w:hint="eastAsia" w:ascii="Arial" w:hAnsi="Arial" w:eastAsia="方正小标宋简体" w:cs="Arial"/>
          <w:sz w:val="36"/>
          <w:szCs w:val="36"/>
        </w:rPr>
        <w:t>38.32</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9.45</w:t>
      </w:r>
      <w:r>
        <w:rPr>
          <w:rFonts w:hint="eastAsia" w:ascii="仿宋_GB2312" w:hAnsi="ˎ̥" w:eastAsia="仿宋_GB2312" w:cs="Arial"/>
          <w:color w:val="000000"/>
          <w:sz w:val="32"/>
          <w:szCs w:val="32"/>
        </w:rPr>
        <w:t>%，比上年减少194.63万元，减少83.55%；商品服务支出</w:t>
      </w:r>
      <w:r>
        <w:rPr>
          <w:rFonts w:hint="eastAsia" w:ascii="Arial" w:hAnsi="Arial" w:eastAsia="方正小标宋简体" w:cs="Arial"/>
          <w:sz w:val="36"/>
          <w:szCs w:val="36"/>
        </w:rPr>
        <w:t>15.67</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3.86</w:t>
      </w:r>
      <w:r>
        <w:rPr>
          <w:rFonts w:hint="eastAsia" w:ascii="仿宋_GB2312" w:hAnsi="ˎ̥" w:eastAsia="仿宋_GB2312" w:cs="Arial"/>
          <w:color w:val="000000"/>
          <w:sz w:val="32"/>
          <w:szCs w:val="32"/>
        </w:rPr>
        <w:t>%，比上年增加1.23万元，增长</w:t>
      </w:r>
      <w:r>
        <w:rPr>
          <w:rFonts w:hint="eastAsia" w:ascii="Arial" w:hAnsi="Arial" w:eastAsia="方正小标宋简体" w:cs="Arial"/>
          <w:sz w:val="36"/>
          <w:szCs w:val="36"/>
        </w:rPr>
        <w:t>8.52</w:t>
      </w:r>
      <w:r>
        <w:rPr>
          <w:rFonts w:hint="eastAsia" w:ascii="仿宋_GB2312" w:hAnsi="ˎ̥" w:eastAsia="仿宋_GB2312" w:cs="Arial"/>
          <w:color w:val="000000"/>
          <w:sz w:val="32"/>
          <w:szCs w:val="32"/>
        </w:rPr>
        <w:t>%；项目支出</w:t>
      </w:r>
      <w:r>
        <w:rPr>
          <w:rFonts w:hint="eastAsia" w:ascii="Arial" w:hAnsi="Arial" w:eastAsia="方正小标宋简体" w:cs="Arial"/>
          <w:sz w:val="36"/>
          <w:szCs w:val="36"/>
        </w:rPr>
        <w:t>181.3</w:t>
      </w:r>
      <w:r>
        <w:rPr>
          <w:rFonts w:hint="eastAsia" w:ascii="仿宋_GB2312" w:hAnsi="ˎ̥" w:eastAsia="仿宋_GB2312" w:cs="Arial"/>
          <w:color w:val="000000"/>
          <w:sz w:val="32"/>
          <w:szCs w:val="32"/>
        </w:rPr>
        <w:t>万元，占总支出的</w:t>
      </w:r>
      <w:r>
        <w:rPr>
          <w:rFonts w:hint="eastAsia" w:ascii="Arial" w:hAnsi="Arial" w:eastAsia="方正小标宋简体" w:cs="Arial"/>
          <w:sz w:val="36"/>
          <w:szCs w:val="36"/>
        </w:rPr>
        <w:t>44.71</w:t>
      </w:r>
      <w:r>
        <w:rPr>
          <w:rFonts w:hint="eastAsia" w:ascii="仿宋_GB2312" w:hAnsi="ˎ̥" w:eastAsia="仿宋_GB2312" w:cs="Arial"/>
          <w:color w:val="000000"/>
          <w:sz w:val="32"/>
          <w:szCs w:val="32"/>
        </w:rPr>
        <w:t>%，比上年增加79.5万元，增长78.09%</w:t>
      </w:r>
      <w:r>
        <w:rPr>
          <w:rFonts w:ascii="仿宋_GB2312" w:hAnsi="ˎ̥" w:eastAsia="仿宋_GB2312" w:cs="Arial"/>
          <w:color w:val="000000"/>
          <w:sz w:val="32"/>
          <w:szCs w:val="32"/>
        </w:rPr>
        <w:t>。</w:t>
      </w:r>
      <w:r>
        <w:rPr>
          <w:rFonts w:hint="eastAsia" w:ascii="仿宋_GB2312" w:hAnsi="ˎ̥" w:eastAsia="仿宋_GB2312" w:cs="Arial"/>
          <w:color w:val="000000"/>
          <w:sz w:val="32"/>
          <w:szCs w:val="32"/>
        </w:rPr>
        <w:t>主要变化原因：由于执行新工资标准，粮食局人员编制少，人员多，财政拨的工资数少于实际发放的工资数，新增差额56.8万元，差额部分由永城市东方粮油贸易公司弥补，差额款由永城市东方粮油贸易公司转入粮食局，由粮食局上交财政非税收入管理局，然后由财政非税收入管理局返还，新增监管费22.68万元。</w:t>
      </w:r>
    </w:p>
    <w:p>
      <w:pPr>
        <w:pStyle w:val="4"/>
        <w:spacing w:before="0" w:beforeAutospacing="0" w:after="0" w:afterAutospacing="0"/>
        <w:ind w:firstLine="640" w:firstLineChars="200"/>
        <w:rPr>
          <w:rFonts w:ascii="黑体" w:hAnsi="黑体" w:eastAsia="黑体" w:cs="Arial"/>
          <w:color w:val="000000"/>
          <w:sz w:val="32"/>
          <w:szCs w:val="32"/>
        </w:rPr>
      </w:pPr>
      <w:r>
        <w:rPr>
          <w:rFonts w:hint="eastAsia" w:ascii="黑体" w:hAnsi="黑体" w:eastAsia="黑体" w:cs="Arial"/>
          <w:color w:val="000000"/>
          <w:sz w:val="32"/>
          <w:szCs w:val="32"/>
          <w:lang w:eastAsia="zh-CN"/>
        </w:rPr>
        <w:t>二</w:t>
      </w:r>
      <w:r>
        <w:rPr>
          <w:rFonts w:hint="eastAsia" w:ascii="黑体" w:hAnsi="黑体" w:eastAsia="黑体" w:cs="Arial"/>
          <w:color w:val="000000"/>
          <w:sz w:val="32"/>
          <w:szCs w:val="32"/>
        </w:rPr>
        <w:t>、政府性基金预算收支预算情况说明：无。</w:t>
      </w:r>
    </w:p>
    <w:p>
      <w:pPr>
        <w:spacing w:line="560" w:lineRule="exact"/>
        <w:ind w:firstLine="640" w:firstLineChars="200"/>
        <w:rPr>
          <w:rFonts w:ascii="黑体" w:hAnsi="黑体" w:eastAsia="黑体"/>
          <w:sz w:val="32"/>
          <w:szCs w:val="32"/>
        </w:rPr>
      </w:pPr>
      <w:r>
        <w:rPr>
          <w:rFonts w:hint="eastAsia" w:ascii="黑体" w:hAnsi="黑体" w:eastAsia="黑体"/>
          <w:sz w:val="32"/>
          <w:szCs w:val="32"/>
          <w:lang w:eastAsia="zh-CN"/>
        </w:rPr>
        <w:t>三</w:t>
      </w:r>
      <w:r>
        <w:rPr>
          <w:rFonts w:hint="eastAsia" w:ascii="黑体" w:hAnsi="黑体" w:eastAsia="黑体"/>
          <w:sz w:val="32"/>
          <w:szCs w:val="32"/>
        </w:rPr>
        <w:t>、“三公”经费支出预算情况说明</w:t>
      </w:r>
    </w:p>
    <w:p>
      <w:pPr>
        <w:ind w:firstLine="640" w:firstLineChars="200"/>
        <w:jc w:val="left"/>
        <w:rPr>
          <w:rFonts w:ascii="仿宋_GB2312" w:eastAsia="仿宋_GB2312"/>
          <w:b/>
          <w:sz w:val="32"/>
          <w:szCs w:val="32"/>
        </w:rPr>
      </w:pPr>
      <w:r>
        <w:rPr>
          <w:rFonts w:hint="eastAsia" w:ascii="仿宋_GB2312" w:eastAsia="仿宋_GB2312"/>
          <w:sz w:val="32"/>
          <w:szCs w:val="32"/>
        </w:rPr>
        <w:t>2018年“三公”经费支出预算5万元，较上年下降(或增长)0%。其中：因公出国(境)费用0万元，较上年下降(或增长)0%；公务接待费5万元，较上年下降(或增长)0%；公务用车运行维护费0万元，较上年下降(或增长)0%；公务用车购置0万元，较上年下降(或增长)0%。</w:t>
      </w:r>
      <w:r>
        <w:rPr>
          <w:rFonts w:hint="eastAsia" w:ascii="仿宋_GB2312" w:eastAsia="仿宋_GB2312"/>
          <w:b/>
          <w:sz w:val="32"/>
          <w:szCs w:val="32"/>
        </w:rPr>
        <w:t>主要变化原因：</w:t>
      </w:r>
      <w:r>
        <w:rPr>
          <w:rFonts w:ascii="仿宋_GB2312" w:eastAsia="仿宋_GB2312"/>
          <w:sz w:val="32"/>
          <w:szCs w:val="32"/>
        </w:rPr>
        <w:t>严格执行《党政机关国内公务接待管理规定》等办法，</w:t>
      </w:r>
      <w:r>
        <w:rPr>
          <w:rFonts w:hint="eastAsia" w:ascii="仿宋_GB2312" w:eastAsia="仿宋_GB2312"/>
          <w:sz w:val="32"/>
          <w:szCs w:val="32"/>
        </w:rPr>
        <w:t>坚持</w:t>
      </w:r>
      <w:r>
        <w:rPr>
          <w:rFonts w:ascii="仿宋_GB2312" w:eastAsia="仿宋_GB2312"/>
          <w:sz w:val="32"/>
          <w:szCs w:val="32"/>
        </w:rPr>
        <w:t>厉行勤俭节约，不断压缩公务接待费支出</w:t>
      </w:r>
      <w:r>
        <w:rPr>
          <w:rFonts w:hint="eastAsia" w:ascii="仿宋_GB2312" w:eastAsia="仿宋_GB2312"/>
          <w:sz w:val="32"/>
          <w:szCs w:val="32"/>
        </w:rPr>
        <w:t>;</w:t>
      </w:r>
      <w:r>
        <w:rPr>
          <w:rFonts w:ascii="仿宋_GB2312" w:eastAsia="仿宋_GB2312"/>
          <w:sz w:val="32"/>
          <w:szCs w:val="32"/>
        </w:rPr>
        <w:t xml:space="preserve"> 公车改革实施后，公务用车</w:t>
      </w:r>
      <w:r>
        <w:rPr>
          <w:rFonts w:hint="eastAsia" w:ascii="仿宋_GB2312" w:eastAsia="仿宋_GB2312"/>
          <w:sz w:val="32"/>
          <w:szCs w:val="32"/>
        </w:rPr>
        <w:t>封存，</w:t>
      </w:r>
      <w:r>
        <w:rPr>
          <w:rFonts w:ascii="仿宋_GB2312" w:eastAsia="仿宋_GB2312"/>
          <w:sz w:val="32"/>
          <w:szCs w:val="32"/>
        </w:rPr>
        <w:t>公务用车运行维护费</w:t>
      </w:r>
      <w:r>
        <w:rPr>
          <w:rFonts w:hint="eastAsia" w:ascii="仿宋_GB2312" w:eastAsia="仿宋_GB2312"/>
          <w:sz w:val="32"/>
          <w:szCs w:val="32"/>
        </w:rPr>
        <w:t>为零。</w:t>
      </w:r>
    </w:p>
    <w:p>
      <w:pPr>
        <w:ind w:firstLine="640" w:firstLineChars="200"/>
        <w:rPr>
          <w:rFonts w:ascii="黑体" w:hAnsi="黑体" w:eastAsia="黑体"/>
          <w:sz w:val="32"/>
          <w:szCs w:val="32"/>
        </w:rPr>
      </w:pPr>
      <w:r>
        <w:rPr>
          <w:rFonts w:hint="eastAsia" w:ascii="黑体" w:hAnsi="黑体" w:eastAsia="黑体"/>
          <w:sz w:val="32"/>
          <w:szCs w:val="32"/>
          <w:lang w:eastAsia="zh-CN"/>
        </w:rPr>
        <w:t>四</w:t>
      </w:r>
      <w:r>
        <w:rPr>
          <w:rFonts w:hint="eastAsia" w:ascii="黑体" w:hAnsi="黑体" w:eastAsia="黑体"/>
          <w:sz w:val="32"/>
          <w:szCs w:val="32"/>
        </w:rPr>
        <w:t>、其他重要事项的情况说明</w:t>
      </w:r>
    </w:p>
    <w:p>
      <w:pPr>
        <w:ind w:firstLine="640" w:firstLineChars="200"/>
        <w:rPr>
          <w:rFonts w:ascii="仿宋_GB2312" w:eastAsia="仿宋_GB2312"/>
          <w:sz w:val="32"/>
          <w:szCs w:val="32"/>
        </w:rPr>
      </w:pPr>
      <w:r>
        <w:rPr>
          <w:rFonts w:hint="eastAsia" w:ascii="仿宋_GB2312" w:eastAsia="仿宋_GB2312"/>
          <w:sz w:val="32"/>
          <w:szCs w:val="32"/>
        </w:rPr>
        <w:t>　　(一)机关运行经费支出情况：2018年商品服务支出15.67万元，其中：办公费7.5万元，公务接待费5万元，工会经费0.82万元，职工福利费2.05万元，其他商品和服务支出0.3万元。</w:t>
      </w:r>
    </w:p>
    <w:p>
      <w:pPr>
        <w:ind w:firstLine="640" w:firstLineChars="200"/>
        <w:rPr>
          <w:rFonts w:ascii="仿宋_GB2312" w:eastAsia="仿宋_GB2312"/>
          <w:sz w:val="32"/>
          <w:szCs w:val="32"/>
        </w:rPr>
      </w:pPr>
      <w:r>
        <w:rPr>
          <w:rFonts w:hint="eastAsia" w:ascii="仿宋_GB2312" w:eastAsia="仿宋_GB2312"/>
          <w:sz w:val="32"/>
          <w:szCs w:val="32"/>
        </w:rPr>
        <w:t>　　(二)政府采购支出情况</w:t>
      </w:r>
    </w:p>
    <w:p>
      <w:pPr>
        <w:pStyle w:val="4"/>
        <w:spacing w:before="0" w:beforeAutospacing="0" w:after="0" w:afterAutospacing="0" w:line="600" w:lineRule="exact"/>
        <w:ind w:firstLine="640"/>
        <w:rPr>
          <w:rFonts w:ascii="仿宋" w:hAnsi="仿宋" w:eastAsia="仿宋" w:cs="仿宋"/>
          <w:color w:val="000000"/>
          <w:sz w:val="32"/>
          <w:szCs w:val="32"/>
        </w:rPr>
      </w:pPr>
      <w:r>
        <w:rPr>
          <w:rFonts w:hint="eastAsia" w:ascii="仿宋" w:hAnsi="仿宋" w:eastAsia="仿宋" w:cs="仿宋"/>
          <w:color w:val="000000"/>
          <w:sz w:val="32"/>
          <w:szCs w:val="32"/>
        </w:rPr>
        <w:t>2018年政府采购预算安排0万元，其中：政府采购货物类0万元，政府采购服务类0万元,政府采购工程类0万元。</w:t>
      </w:r>
    </w:p>
    <w:p>
      <w:pPr>
        <w:ind w:left="640"/>
        <w:rPr>
          <w:rFonts w:ascii="仿宋_GB2312" w:eastAsia="仿宋_GB2312"/>
          <w:sz w:val="32"/>
          <w:szCs w:val="32"/>
        </w:rPr>
      </w:pPr>
      <w:r>
        <w:rPr>
          <w:rFonts w:hint="eastAsia" w:ascii="仿宋_GB2312" w:eastAsia="仿宋_GB2312"/>
          <w:sz w:val="32"/>
          <w:szCs w:val="32"/>
        </w:rPr>
        <w:t>（三）重点项目预算绩效目标</w:t>
      </w:r>
    </w:p>
    <w:p>
      <w:pPr>
        <w:ind w:left="640"/>
        <w:rPr>
          <w:rFonts w:ascii="仿宋_GB2312" w:eastAsia="仿宋_GB2312"/>
          <w:sz w:val="32"/>
          <w:szCs w:val="32"/>
        </w:rPr>
      </w:pPr>
      <w:r>
        <w:rPr>
          <w:rFonts w:hint="eastAsia" w:ascii="仿宋_GB2312" w:eastAsia="仿宋_GB2312"/>
          <w:sz w:val="32"/>
          <w:szCs w:val="32"/>
        </w:rPr>
        <w:t>无</w:t>
      </w:r>
    </w:p>
    <w:p>
      <w:pPr>
        <w:numPr>
          <w:ilvl w:val="0"/>
          <w:numId w:val="3"/>
        </w:numPr>
        <w:ind w:left="640"/>
        <w:rPr>
          <w:rFonts w:ascii="仿宋_GB2312" w:eastAsia="仿宋_GB2312"/>
          <w:sz w:val="32"/>
          <w:szCs w:val="32"/>
        </w:rPr>
      </w:pPr>
      <w:r>
        <w:rPr>
          <w:rFonts w:hint="eastAsia" w:ascii="仿宋_GB2312" w:eastAsia="仿宋_GB2312"/>
          <w:sz w:val="32"/>
          <w:szCs w:val="32"/>
        </w:rPr>
        <w:t>国有资产占用情况</w:t>
      </w:r>
    </w:p>
    <w:p>
      <w:pPr>
        <w:rPr>
          <w:rFonts w:ascii="仿宋_GB2312" w:eastAsia="仿宋_GB2312"/>
          <w:sz w:val="32"/>
          <w:szCs w:val="32"/>
        </w:rPr>
      </w:pPr>
      <w:r>
        <w:rPr>
          <w:rFonts w:hint="eastAsia" w:ascii="仿宋_GB2312" w:eastAsia="仿宋_GB2312"/>
          <w:sz w:val="32"/>
          <w:szCs w:val="32"/>
        </w:rPr>
        <w:t xml:space="preserve">    无。</w:t>
      </w:r>
    </w:p>
    <w:p>
      <w:pPr>
        <w:ind w:firstLine="643" w:firstLineChars="200"/>
        <w:rPr>
          <w:rFonts w:ascii="黑体" w:hAnsi="黑体" w:eastAsia="黑体"/>
          <w:b/>
          <w:bCs/>
          <w:sz w:val="32"/>
          <w:szCs w:val="32"/>
        </w:rPr>
      </w:pPr>
      <w:bookmarkStart w:id="1" w:name="_GoBack"/>
      <w:r>
        <w:rPr>
          <w:rFonts w:hint="eastAsia" w:ascii="黑体" w:hAnsi="黑体" w:eastAsia="黑体"/>
          <w:b/>
          <w:bCs/>
          <w:sz w:val="32"/>
          <w:szCs w:val="32"/>
          <w:lang w:eastAsia="zh-CN"/>
        </w:rPr>
        <w:t>第三部分</w:t>
      </w:r>
      <w:r>
        <w:rPr>
          <w:rFonts w:hint="eastAsia" w:ascii="黑体" w:hAnsi="黑体" w:eastAsia="黑体"/>
          <w:b/>
          <w:bCs/>
          <w:sz w:val="32"/>
          <w:szCs w:val="32"/>
        </w:rPr>
        <w:t>、专业性较强的名词解释</w:t>
      </w:r>
    </w:p>
    <w:bookmarkEnd w:id="1"/>
    <w:p>
      <w:pPr>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、财政拨款收入：是指市级财政当年拨付的资金。</w:t>
      </w:r>
    </w:p>
    <w:p>
      <w:pPr>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、事业收入：是指事业单位开展专业活动及辅助活动所取得的收入。</w:t>
      </w:r>
    </w:p>
    <w:p>
      <w:pPr>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、其他收入：是指部门取得的除“财政拨款”、“事业收入”、“事业单位经营收入”等以外的收入。</w:t>
      </w:r>
    </w:p>
    <w:p>
      <w:pPr>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ind w:firstLine="640" w:firstLineChars="200"/>
        <w:rPr>
          <w:rFonts w:ascii="仿宋_GB2312" w:eastAsia="仿宋_GB2312"/>
          <w:sz w:val="32"/>
          <w:szCs w:val="32"/>
        </w:rPr>
      </w:pPr>
      <w:r>
        <w:rPr>
          <w:rFonts w:ascii="仿宋_GB2312" w:eastAsia="仿宋_GB2312"/>
          <w:sz w:val="32"/>
          <w:szCs w:val="32"/>
        </w:rPr>
        <w:t>5</w:t>
      </w:r>
      <w:r>
        <w:rPr>
          <w:rFonts w:hint="eastAsia" w:ascii="仿宋_GB2312" w:eastAsia="仿宋_GB2312"/>
          <w:sz w:val="32"/>
          <w:szCs w:val="32"/>
        </w:rPr>
        <w:t>、上年结转和结余：是指以前年度支出预算因客观条件变化未执行完毕、结转到本年度按有关规定继续使用的资金，既包括财政拨款结转和结余，也包括事业收入、经营收入、其他收入的结转和结余。</w:t>
      </w:r>
    </w:p>
    <w:p>
      <w:pPr>
        <w:ind w:firstLine="640" w:firstLineChars="200"/>
        <w:rPr>
          <w:rFonts w:ascii="仿宋_GB2312" w:eastAsia="仿宋_GB2312"/>
          <w:sz w:val="32"/>
          <w:szCs w:val="32"/>
        </w:rPr>
      </w:pPr>
      <w:r>
        <w:rPr>
          <w:rFonts w:ascii="仿宋_GB2312" w:eastAsia="仿宋_GB2312"/>
          <w:sz w:val="32"/>
          <w:szCs w:val="32"/>
        </w:rPr>
        <w:t>6</w:t>
      </w:r>
      <w:r>
        <w:rPr>
          <w:rFonts w:hint="eastAsia" w:ascii="仿宋_GB2312" w:eastAsia="仿宋_GB2312"/>
          <w:sz w:val="32"/>
          <w:szCs w:val="32"/>
        </w:rPr>
        <w:t>、基本支出：是指为保障机构正常运转、完成日常工作任务所必需的开支，其内容包括人员经费和日常公用经费两部分。</w:t>
      </w:r>
    </w:p>
    <w:p>
      <w:pPr>
        <w:ind w:firstLine="640" w:firstLineChars="200"/>
        <w:rPr>
          <w:rFonts w:ascii="仿宋_GB2312" w:eastAsia="仿宋_GB2312"/>
          <w:sz w:val="32"/>
          <w:szCs w:val="32"/>
        </w:rPr>
      </w:pPr>
      <w:r>
        <w:rPr>
          <w:rFonts w:ascii="仿宋_GB2312" w:eastAsia="仿宋_GB2312"/>
          <w:sz w:val="32"/>
          <w:szCs w:val="32"/>
        </w:rPr>
        <w:t>7</w:t>
      </w:r>
      <w:r>
        <w:rPr>
          <w:rFonts w:hint="eastAsia" w:ascii="仿宋_GB2312" w:eastAsia="仿宋_GB2312"/>
          <w:sz w:val="32"/>
          <w:szCs w:val="32"/>
        </w:rPr>
        <w:t>、项目支出：是指在基本支出之外，为完成特定的行政工作任务或事业发展目标所发生的支出。</w:t>
      </w:r>
    </w:p>
    <w:p>
      <w:pPr>
        <w:ind w:firstLine="640" w:firstLineChars="200"/>
        <w:rPr>
          <w:rFonts w:ascii="仿宋_GB2312" w:eastAsia="仿宋_GB2312"/>
          <w:sz w:val="32"/>
          <w:szCs w:val="32"/>
        </w:rPr>
      </w:pPr>
      <w:r>
        <w:rPr>
          <w:rFonts w:ascii="仿宋_GB2312" w:eastAsia="仿宋_GB2312"/>
          <w:sz w:val="32"/>
          <w:szCs w:val="32"/>
        </w:rPr>
        <w:t>8</w:t>
      </w:r>
      <w:r>
        <w:rPr>
          <w:rFonts w:hint="eastAsia" w:ascii="仿宋_GB2312" w:eastAsia="仿宋_GB2312"/>
          <w:sz w:val="32"/>
          <w:szCs w:val="32"/>
        </w:rPr>
        <w:t>、一般公共服务（类）事务（款）：是指用于保障机构正常运行、开展业务等活动的支出。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1</w:t>
      </w:r>
      <w:r>
        <w:rPr>
          <w:rFonts w:hint="eastAsia" w:ascii="仿宋_GB2312" w:eastAsia="仿宋_GB2312"/>
          <w:sz w:val="32"/>
          <w:szCs w:val="32"/>
        </w:rPr>
        <w:t>）行政运行（项）：是指为保障机构正常运转、完成日常工作任务安排的支出。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2</w:t>
      </w:r>
      <w:r>
        <w:rPr>
          <w:rFonts w:hint="eastAsia" w:ascii="仿宋_GB2312" w:eastAsia="仿宋_GB2312"/>
          <w:sz w:val="32"/>
          <w:szCs w:val="32"/>
        </w:rPr>
        <w:t>）一般行政管理事务（项）：是指单位的项目支出。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3</w:t>
      </w:r>
      <w:r>
        <w:rPr>
          <w:rFonts w:hint="eastAsia" w:ascii="仿宋_GB2312" w:eastAsia="仿宋_GB2312"/>
          <w:sz w:val="32"/>
          <w:szCs w:val="32"/>
        </w:rPr>
        <w:t>）机关服务（项）：是指为单位提供后勤保障服务的机关服务局的支出。</w:t>
      </w:r>
    </w:p>
    <w:p>
      <w:pPr>
        <w:ind w:firstLine="640" w:firstLineChars="200"/>
        <w:rPr>
          <w:rFonts w:ascii="仿宋_GB2312" w:eastAsia="仿宋_GB2312"/>
          <w:sz w:val="32"/>
          <w:szCs w:val="32"/>
        </w:rPr>
      </w:pPr>
      <w:r>
        <w:rPr>
          <w:rFonts w:hint="eastAsia" w:ascii="仿宋_GB2312" w:eastAsia="仿宋_GB2312"/>
          <w:sz w:val="32"/>
          <w:szCs w:val="32"/>
        </w:rPr>
        <w:t>（</w:t>
      </w:r>
      <w:r>
        <w:rPr>
          <w:rFonts w:ascii="仿宋_GB2312" w:eastAsia="仿宋_GB2312"/>
          <w:sz w:val="32"/>
          <w:szCs w:val="32"/>
        </w:rPr>
        <w:t>4</w:t>
      </w:r>
      <w:r>
        <w:rPr>
          <w:rFonts w:hint="eastAsia" w:ascii="仿宋_GB2312" w:eastAsia="仿宋_GB2312"/>
          <w:sz w:val="32"/>
          <w:szCs w:val="32"/>
        </w:rPr>
        <w:t>）事业运行（项）：是指事业单位用于保障机构正常运转的基本支出。</w:t>
      </w:r>
    </w:p>
    <w:p>
      <w:pPr>
        <w:ind w:firstLine="640" w:firstLineChars="200"/>
        <w:rPr>
          <w:rFonts w:ascii="仿宋_GB2312" w:eastAsia="仿宋_GB2312"/>
          <w:sz w:val="32"/>
          <w:szCs w:val="32"/>
        </w:rPr>
      </w:pPr>
      <w:r>
        <w:rPr>
          <w:rFonts w:ascii="仿宋_GB2312" w:eastAsia="仿宋_GB2312"/>
          <w:sz w:val="32"/>
          <w:szCs w:val="32"/>
        </w:rPr>
        <w:t>9</w:t>
      </w:r>
      <w:r>
        <w:rPr>
          <w:rFonts w:hint="eastAsia" w:ascii="仿宋_GB2312" w:eastAsia="仿宋_GB2312"/>
          <w:sz w:val="32"/>
          <w:szCs w:val="32"/>
        </w:rPr>
        <w:t>、“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640" w:firstLineChars="200"/>
        <w:rPr>
          <w:rFonts w:ascii="仿宋_GB2312" w:eastAsia="仿宋_GB2312"/>
          <w:sz w:val="32"/>
          <w:szCs w:val="32"/>
        </w:rPr>
      </w:pPr>
      <w:r>
        <w:rPr>
          <w:rFonts w:ascii="仿宋_GB2312" w:eastAsia="仿宋_GB2312"/>
          <w:sz w:val="32"/>
          <w:szCs w:val="32"/>
        </w:rPr>
        <w:t>10</w:t>
      </w:r>
      <w:r>
        <w:rPr>
          <w:rFonts w:hint="eastAsia" w:ascii="仿宋_GB2312" w:eastAsia="仿宋_GB2312"/>
          <w:sz w:val="32"/>
          <w:szCs w:val="32"/>
        </w:rPr>
        <w:t>、机关运行经费：是指为保障行政单位（含参照公务员法管理的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ind w:firstLine="640" w:firstLineChars="200"/>
        <w:rPr>
          <w:rFonts w:ascii="黑体" w:hAnsi="黑体" w:eastAsia="黑体"/>
          <w:sz w:val="32"/>
          <w:szCs w:val="32"/>
        </w:rPr>
      </w:pPr>
    </w:p>
    <w:p/>
    <w:sectPr>
      <w:pgSz w:w="11906" w:h="16838"/>
      <w:pgMar w:top="1440" w:right="1800" w:bottom="1440" w:left="1800" w:header="851" w:footer="992" w:gutter="0"/>
      <w:cols w:space="720" w:num="1"/>
      <w:docGrid w:type="lines" w:linePitch="312" w:charSpace="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85AC7A"/>
    <w:multiLevelType w:val="singleLevel"/>
    <w:tmpl w:val="B585AC7A"/>
    <w:lvl w:ilvl="0" w:tentative="0">
      <w:start w:val="4"/>
      <w:numFmt w:val="chineseCounting"/>
      <w:suff w:val="nothing"/>
      <w:lvlText w:val="（%1）"/>
      <w:lvlJc w:val="left"/>
      <w:rPr>
        <w:rFonts w:hint="eastAsia"/>
      </w:rPr>
    </w:lvl>
  </w:abstractNum>
  <w:abstractNum w:abstractNumId="1">
    <w:nsid w:val="4662AA8F"/>
    <w:multiLevelType w:val="singleLevel"/>
    <w:tmpl w:val="4662AA8F"/>
    <w:lvl w:ilvl="0" w:tentative="0">
      <w:start w:val="1"/>
      <w:numFmt w:val="chineseCounting"/>
      <w:suff w:val="space"/>
      <w:lvlText w:val="第%1部分"/>
      <w:lvlJc w:val="left"/>
      <w:pPr>
        <w:ind w:left="0" w:firstLine="0"/>
      </w:pPr>
    </w:lvl>
  </w:abstractNum>
  <w:abstractNum w:abstractNumId="2">
    <w:nsid w:val="58366DE8"/>
    <w:multiLevelType w:val="singleLevel"/>
    <w:tmpl w:val="58366DE8"/>
    <w:lvl w:ilvl="0" w:tentative="0">
      <w:start w:val="1"/>
      <w:numFmt w:val="chineseCounting"/>
      <w:suff w:val="nothing"/>
      <w:lvlText w:val="%1、"/>
      <w:lvlJc w:val="left"/>
      <w:pPr>
        <w:ind w:left="555" w:firstLine="0"/>
      </w:pPr>
    </w:lvl>
  </w:abstractNum>
  <w:num w:numId="1">
    <w:abstractNumId w:val="1"/>
    <w:lvlOverride w:ilvl="0">
      <w:startOverride w:val="1"/>
    </w:lvlOverride>
  </w:num>
  <w:num w:numId="2">
    <w:abstractNumId w:val="2"/>
    <w:lvlOverride w:ilvl="0">
      <w:startOverride w:val="1"/>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789F"/>
    <w:rsid w:val="0008416D"/>
    <w:rsid w:val="00176D1D"/>
    <w:rsid w:val="001E2F97"/>
    <w:rsid w:val="003E3146"/>
    <w:rsid w:val="004B5A36"/>
    <w:rsid w:val="00537650"/>
    <w:rsid w:val="006549ED"/>
    <w:rsid w:val="006F355A"/>
    <w:rsid w:val="00755988"/>
    <w:rsid w:val="007A3C14"/>
    <w:rsid w:val="0083385F"/>
    <w:rsid w:val="00845265"/>
    <w:rsid w:val="00977D0F"/>
    <w:rsid w:val="009A5FC4"/>
    <w:rsid w:val="009A62B3"/>
    <w:rsid w:val="00B60910"/>
    <w:rsid w:val="00B76482"/>
    <w:rsid w:val="00BC7A38"/>
    <w:rsid w:val="00BD7956"/>
    <w:rsid w:val="00C1789F"/>
    <w:rsid w:val="00C20578"/>
    <w:rsid w:val="00C45542"/>
    <w:rsid w:val="00C96031"/>
    <w:rsid w:val="00CC2C0F"/>
    <w:rsid w:val="00D15F2B"/>
    <w:rsid w:val="00EE1C9B"/>
    <w:rsid w:val="00F163A3"/>
    <w:rsid w:val="02F35A92"/>
    <w:rsid w:val="05D60E44"/>
    <w:rsid w:val="0DAF7E0A"/>
    <w:rsid w:val="1CBF0BDB"/>
    <w:rsid w:val="25FA2FEF"/>
    <w:rsid w:val="3C61473F"/>
    <w:rsid w:val="51006AF1"/>
    <w:rsid w:val="52F81C52"/>
    <w:rsid w:val="543D7C36"/>
    <w:rsid w:val="5A542E93"/>
    <w:rsid w:val="629C0D41"/>
    <w:rsid w:val="7C2761E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6">
    <w:name w:val="Strong"/>
    <w:qFormat/>
    <w:uiPriority w:val="0"/>
    <w:rPr>
      <w:b/>
      <w:bCs/>
    </w:rPr>
  </w:style>
  <w:style w:type="character" w:customStyle="1" w:styleId="8">
    <w:name w:val="页眉 Char"/>
    <w:basedOn w:val="5"/>
    <w:link w:val="3"/>
    <w:qFormat/>
    <w:uiPriority w:val="99"/>
    <w:rPr>
      <w:sz w:val="18"/>
      <w:szCs w:val="18"/>
    </w:rPr>
  </w:style>
  <w:style w:type="character" w:customStyle="1" w:styleId="9">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481</Words>
  <Characters>2745</Characters>
  <Lines>22</Lines>
  <Paragraphs>6</Paragraphs>
  <TotalTime>1</TotalTime>
  <ScaleCrop>false</ScaleCrop>
  <LinksUpToDate>false</LinksUpToDate>
  <CharactersWithSpaces>3220</CharactersWithSpaces>
  <Application>WPS Office_11.1.0.8213_F1E327BC-269C-435d-A152-05C5408002CA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2018-03-28T00:35:00Z</dcterms:created>
  <dc:creator>china</dc:creator>
  <cp:lastModifiedBy>Administrator</cp:lastModifiedBy>
  <dcterms:modified xsi:type="dcterms:W3CDTF">2019-03-04T01:46:23Z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